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B6D6D" w:rsidRDefault="00BE5AF9">
      <w:pPr>
        <w:pStyle w:val="Heading1"/>
        <w:jc w:val="center"/>
        <w:rPr>
          <w:sz w:val="22"/>
          <w:szCs w:val="22"/>
          <w:u w:val="single"/>
        </w:rPr>
      </w:pPr>
      <w:r w:rsidRPr="00EB6D6D">
        <w:rPr>
          <w:sz w:val="22"/>
          <w:szCs w:val="22"/>
          <w:u w:val="single"/>
        </w:rPr>
        <w:t>N</w:t>
      </w:r>
      <w:r w:rsidR="007E6896" w:rsidRPr="00EB6D6D">
        <w:rPr>
          <w:sz w:val="22"/>
          <w:szCs w:val="22"/>
          <w:u w:val="single"/>
        </w:rPr>
        <w:t>ATIONAL ASSEMBLY</w:t>
      </w:r>
    </w:p>
    <w:p w:rsidR="00E238C2" w:rsidRPr="00EB6D6D" w:rsidRDefault="00E238C2">
      <w:pPr>
        <w:jc w:val="both"/>
        <w:rPr>
          <w:b/>
          <w:szCs w:val="22"/>
          <w:u w:val="single"/>
        </w:rPr>
      </w:pPr>
    </w:p>
    <w:p w:rsidR="00E238C2" w:rsidRPr="00EB6D6D" w:rsidRDefault="00E238C2">
      <w:pPr>
        <w:pStyle w:val="BodyText"/>
        <w:rPr>
          <w:b/>
          <w:bCs/>
          <w:szCs w:val="22"/>
          <w:u w:val="single"/>
        </w:rPr>
      </w:pPr>
      <w:r w:rsidRPr="00EB6D6D">
        <w:rPr>
          <w:b/>
          <w:bCs/>
          <w:szCs w:val="22"/>
          <w:u w:val="single"/>
        </w:rPr>
        <w:t xml:space="preserve">FOR </w:t>
      </w:r>
      <w:r w:rsidR="00A4066B" w:rsidRPr="00EB6D6D">
        <w:rPr>
          <w:b/>
          <w:bCs/>
          <w:szCs w:val="22"/>
          <w:u w:val="single"/>
        </w:rPr>
        <w:t>WRITTEN</w:t>
      </w:r>
      <w:r w:rsidR="003548B4" w:rsidRPr="00EB6D6D">
        <w:rPr>
          <w:b/>
          <w:bCs/>
          <w:szCs w:val="22"/>
          <w:u w:val="single"/>
        </w:rPr>
        <w:t xml:space="preserve"> </w:t>
      </w:r>
      <w:r w:rsidRPr="00EB6D6D">
        <w:rPr>
          <w:b/>
          <w:bCs/>
          <w:szCs w:val="22"/>
          <w:u w:val="single"/>
        </w:rPr>
        <w:t>REPLY</w:t>
      </w:r>
    </w:p>
    <w:p w:rsidR="00E238C2" w:rsidRPr="00EB6D6D" w:rsidRDefault="00E238C2">
      <w:pPr>
        <w:pStyle w:val="BodyText"/>
        <w:rPr>
          <w:b/>
          <w:bCs/>
          <w:szCs w:val="22"/>
          <w:u w:val="single"/>
        </w:rPr>
      </w:pPr>
    </w:p>
    <w:p w:rsidR="00E238C2" w:rsidRPr="00EB6D6D" w:rsidRDefault="005E1FBC">
      <w:pPr>
        <w:pStyle w:val="BodyText"/>
        <w:rPr>
          <w:b/>
          <w:bCs/>
          <w:szCs w:val="22"/>
          <w:u w:val="single"/>
        </w:rPr>
      </w:pPr>
      <w:r w:rsidRPr="00EB6D6D">
        <w:rPr>
          <w:b/>
          <w:bCs/>
          <w:szCs w:val="22"/>
          <w:u w:val="single"/>
        </w:rPr>
        <w:t xml:space="preserve">QUESTION NO. </w:t>
      </w:r>
      <w:r w:rsidR="005905DA" w:rsidRPr="00EB6D6D">
        <w:rPr>
          <w:b/>
          <w:bCs/>
          <w:szCs w:val="22"/>
          <w:u w:val="single"/>
        </w:rPr>
        <w:t>1</w:t>
      </w:r>
      <w:r w:rsidR="00005568">
        <w:rPr>
          <w:b/>
          <w:bCs/>
          <w:szCs w:val="22"/>
          <w:u w:val="single"/>
        </w:rPr>
        <w:t>709</w:t>
      </w:r>
    </w:p>
    <w:p w:rsidR="003548B4" w:rsidRPr="00EB6D6D" w:rsidRDefault="003548B4">
      <w:pPr>
        <w:pStyle w:val="BodyText"/>
        <w:rPr>
          <w:b/>
          <w:bCs/>
          <w:szCs w:val="22"/>
          <w:u w:val="single"/>
        </w:rPr>
      </w:pPr>
    </w:p>
    <w:p w:rsidR="00E238C2" w:rsidRPr="00EB6D6D" w:rsidRDefault="00E238C2">
      <w:pPr>
        <w:pStyle w:val="BodyText"/>
        <w:rPr>
          <w:b/>
          <w:bCs/>
          <w:szCs w:val="22"/>
          <w:u w:val="single"/>
        </w:rPr>
      </w:pPr>
      <w:r w:rsidRPr="00EB6D6D">
        <w:rPr>
          <w:b/>
          <w:bCs/>
          <w:szCs w:val="22"/>
          <w:u w:val="single"/>
        </w:rPr>
        <w:t xml:space="preserve">DATE OF PUBLICATION IN INTERNAL QUESTION PAPER: </w:t>
      </w:r>
      <w:r w:rsidR="0011298E" w:rsidRPr="00EB6D6D">
        <w:rPr>
          <w:b/>
          <w:bCs/>
          <w:szCs w:val="22"/>
          <w:u w:val="single"/>
        </w:rPr>
        <w:t>06 MAY</w:t>
      </w:r>
      <w:r w:rsidR="00CC6497" w:rsidRPr="00EB6D6D">
        <w:rPr>
          <w:b/>
          <w:bCs/>
          <w:szCs w:val="22"/>
          <w:u w:val="single"/>
        </w:rPr>
        <w:t xml:space="preserve"> </w:t>
      </w:r>
      <w:r w:rsidRPr="00EB6D6D">
        <w:rPr>
          <w:b/>
          <w:bCs/>
          <w:szCs w:val="22"/>
          <w:u w:val="single"/>
        </w:rPr>
        <w:t>20</w:t>
      </w:r>
      <w:r w:rsidR="004F6DCB" w:rsidRPr="00EB6D6D">
        <w:rPr>
          <w:b/>
          <w:bCs/>
          <w:szCs w:val="22"/>
          <w:u w:val="single"/>
        </w:rPr>
        <w:t>2</w:t>
      </w:r>
      <w:r w:rsidR="00FB2947" w:rsidRPr="00EB6D6D">
        <w:rPr>
          <w:b/>
          <w:bCs/>
          <w:szCs w:val="22"/>
          <w:u w:val="single"/>
        </w:rPr>
        <w:t>2</w:t>
      </w:r>
      <w:r w:rsidRPr="00EB6D6D">
        <w:rPr>
          <w:b/>
          <w:bCs/>
          <w:szCs w:val="22"/>
          <w:u w:val="single"/>
        </w:rPr>
        <w:t xml:space="preserve">   </w:t>
      </w:r>
    </w:p>
    <w:p w:rsidR="00E238C2" w:rsidRPr="00EB6D6D" w:rsidRDefault="00E238C2" w:rsidP="006664AE">
      <w:pPr>
        <w:spacing w:after="240"/>
        <w:rPr>
          <w:b/>
          <w:bCs/>
          <w:szCs w:val="22"/>
          <w:u w:val="single"/>
        </w:rPr>
      </w:pPr>
      <w:r w:rsidRPr="00EB6D6D">
        <w:rPr>
          <w:b/>
          <w:bCs/>
          <w:szCs w:val="22"/>
          <w:u w:val="single"/>
        </w:rPr>
        <w:t xml:space="preserve">(INTERNAL QUESTION PAPER NO. </w:t>
      </w:r>
      <w:r w:rsidR="00FB2947" w:rsidRPr="00EB6D6D">
        <w:rPr>
          <w:b/>
          <w:bCs/>
          <w:szCs w:val="22"/>
          <w:u w:val="single"/>
        </w:rPr>
        <w:t>1</w:t>
      </w:r>
      <w:r w:rsidR="0011298E" w:rsidRPr="00EB6D6D">
        <w:rPr>
          <w:b/>
          <w:bCs/>
          <w:szCs w:val="22"/>
          <w:u w:val="single"/>
        </w:rPr>
        <w:t>6</w:t>
      </w:r>
      <w:r w:rsidRPr="00EB6D6D">
        <w:rPr>
          <w:b/>
          <w:bCs/>
          <w:szCs w:val="22"/>
          <w:u w:val="single"/>
        </w:rPr>
        <w:t>)</w:t>
      </w:r>
    </w:p>
    <w:p w:rsidR="00005568" w:rsidRPr="00005568" w:rsidRDefault="00005568" w:rsidP="00005568">
      <w:pPr>
        <w:spacing w:before="100" w:beforeAutospacing="1" w:after="100" w:afterAutospacing="1"/>
        <w:ind w:left="720" w:right="-144" w:hanging="720"/>
        <w:jc w:val="both"/>
        <w:outlineLvl w:val="0"/>
        <w:rPr>
          <w:b/>
          <w:sz w:val="24"/>
          <w:u w:val="single"/>
        </w:rPr>
      </w:pPr>
      <w:r w:rsidRPr="00005568">
        <w:rPr>
          <w:b/>
          <w:sz w:val="24"/>
          <w:u w:val="single"/>
        </w:rPr>
        <w:t xml:space="preserve">Mrs M R </w:t>
      </w:r>
      <w:proofErr w:type="spellStart"/>
      <w:r w:rsidRPr="00005568">
        <w:rPr>
          <w:b/>
          <w:sz w:val="24"/>
          <w:u w:val="single"/>
        </w:rPr>
        <w:t>Mohlala</w:t>
      </w:r>
      <w:proofErr w:type="spellEnd"/>
      <w:r w:rsidRPr="00005568">
        <w:rPr>
          <w:b/>
          <w:sz w:val="24"/>
          <w:u w:val="single"/>
        </w:rPr>
        <w:t xml:space="preserve"> (EFF) to ask the Minister of Health</w:t>
      </w:r>
      <w:r w:rsidR="000F78B4" w:rsidRPr="00005568">
        <w:rPr>
          <w:b/>
          <w:sz w:val="24"/>
          <w:u w:val="single"/>
        </w:rPr>
        <w:fldChar w:fldCharType="begin"/>
      </w:r>
      <w:r w:rsidRPr="00005568">
        <w:rPr>
          <w:u w:val="single"/>
        </w:rPr>
        <w:instrText xml:space="preserve"> XE "</w:instrText>
      </w:r>
      <w:r w:rsidRPr="00005568">
        <w:rPr>
          <w:b/>
          <w:sz w:val="24"/>
          <w:u w:val="single"/>
        </w:rPr>
        <w:instrText>Health</w:instrText>
      </w:r>
      <w:r w:rsidRPr="00005568">
        <w:rPr>
          <w:u w:val="single"/>
        </w:rPr>
        <w:instrText xml:space="preserve">" </w:instrText>
      </w:r>
      <w:r w:rsidR="000F78B4" w:rsidRPr="00005568">
        <w:rPr>
          <w:b/>
          <w:sz w:val="24"/>
          <w:u w:val="single"/>
        </w:rPr>
        <w:fldChar w:fldCharType="end"/>
      </w:r>
      <w:r w:rsidRPr="00005568">
        <w:rPr>
          <w:b/>
          <w:sz w:val="24"/>
          <w:u w:val="single"/>
        </w:rPr>
        <w:t>:</w:t>
      </w:r>
      <w:r>
        <w:rPr>
          <w:b/>
          <w:sz w:val="24"/>
          <w:u w:val="single"/>
        </w:rPr>
        <w:t xml:space="preserve"> </w:t>
      </w:r>
    </w:p>
    <w:p w:rsidR="00813102" w:rsidRPr="00005568" w:rsidRDefault="00005568" w:rsidP="000E569F">
      <w:pPr>
        <w:spacing w:before="100" w:beforeAutospacing="1" w:after="100" w:afterAutospacing="1"/>
        <w:ind w:right="-144"/>
        <w:jc w:val="both"/>
        <w:outlineLvl w:val="0"/>
        <w:rPr>
          <w:rFonts w:ascii="Times New Roman" w:eastAsia="Calibri" w:hAnsi="Times New Roman" w:cs="Times New Roman"/>
          <w:b/>
          <w:sz w:val="24"/>
        </w:rPr>
      </w:pPr>
      <w:r w:rsidRPr="00005568">
        <w:rPr>
          <w:rFonts w:eastAsia="Calibri"/>
          <w:sz w:val="24"/>
        </w:rPr>
        <w:t xml:space="preserve">Taking into </w:t>
      </w:r>
      <w:r w:rsidRPr="00005568">
        <w:rPr>
          <w:sz w:val="24"/>
        </w:rPr>
        <w:t>account</w:t>
      </w:r>
      <w:r w:rsidRPr="00005568">
        <w:rPr>
          <w:rFonts w:eastAsia="Calibri"/>
          <w:sz w:val="24"/>
        </w:rPr>
        <w:t xml:space="preserve"> the time that has lapsed since the Republic first administered COVID-19 vaccines, </w:t>
      </w:r>
      <w:r w:rsidRPr="00005568">
        <w:rPr>
          <w:color w:val="000000"/>
          <w:sz w:val="24"/>
        </w:rPr>
        <w:t>what</w:t>
      </w:r>
      <w:r w:rsidRPr="00005568">
        <w:rPr>
          <w:rFonts w:eastAsia="Calibri"/>
          <w:sz w:val="24"/>
        </w:rPr>
        <w:t xml:space="preserve"> has he found were the lessons learnt by his department about the safety and side-effects of the specified vaccines</w:t>
      </w:r>
      <w:r w:rsidRPr="00005568">
        <w:rPr>
          <w:sz w:val="24"/>
        </w:rPr>
        <w:t>?</w:t>
      </w:r>
      <w:r w:rsidRPr="005856C9">
        <w:rPr>
          <w:rFonts w:ascii="Times New Roman" w:hAnsi="Times New Roman" w:cs="Times New Roman"/>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05568">
        <w:rPr>
          <w:color w:val="000000"/>
        </w:rPr>
        <w:t>2036</w:t>
      </w:r>
      <w:r w:rsidR="009D2E42">
        <w:rPr>
          <w:color w:val="000000"/>
        </w:rPr>
        <w:t>E</w:t>
      </w:r>
      <w:r w:rsidR="00E238C2">
        <w:rPr>
          <w:color w:val="000000"/>
          <w:szCs w:val="20"/>
        </w:rPr>
        <w:t xml:space="preserve"> </w:t>
      </w:r>
    </w:p>
    <w:p w:rsidR="00CA70E9" w:rsidRPr="000E569F" w:rsidRDefault="00E238C2" w:rsidP="00CA70E9">
      <w:pPr>
        <w:rPr>
          <w:b/>
          <w:bCs/>
          <w:sz w:val="24"/>
          <w:u w:val="single"/>
          <w:lang w:val="en-US"/>
        </w:rPr>
      </w:pPr>
      <w:r w:rsidRPr="000E569F">
        <w:rPr>
          <w:b/>
          <w:bCs/>
          <w:sz w:val="24"/>
          <w:u w:val="single"/>
          <w:lang w:val="en-US"/>
        </w:rPr>
        <w:t>REPLY:</w:t>
      </w:r>
    </w:p>
    <w:p w:rsidR="0011298E" w:rsidRPr="00EB6D6D" w:rsidRDefault="0011298E" w:rsidP="00CA70E9">
      <w:pPr>
        <w:rPr>
          <w:b/>
          <w:bCs/>
          <w:szCs w:val="22"/>
          <w:u w:val="single"/>
          <w:lang w:val="en-US"/>
        </w:rPr>
      </w:pPr>
    </w:p>
    <w:p w:rsidR="000E569F" w:rsidRDefault="00190527" w:rsidP="00CA70E9">
      <w:pPr>
        <w:pStyle w:val="BodyText"/>
        <w:rPr>
          <w:sz w:val="24"/>
          <w:lang w:val="en-GB"/>
        </w:rPr>
      </w:pPr>
      <w:r w:rsidRPr="00F142B1">
        <w:rPr>
          <w:sz w:val="24"/>
          <w:lang w:val="en-ZA"/>
        </w:rPr>
        <w:t xml:space="preserve">Spontaneous reporting of adverse events following immunisation (AEFI) increased significantly compared to pre-COVID-19 vaccine rollout. A total number of AEFIs reported between 17 May 2021 and 30 April 2022 (SAHPRA </w:t>
      </w:r>
      <w:proofErr w:type="spellStart"/>
      <w:r w:rsidRPr="00F142B1">
        <w:rPr>
          <w:sz w:val="24"/>
          <w:lang w:val="en-ZA"/>
        </w:rPr>
        <w:t>microsite</w:t>
      </w:r>
      <w:proofErr w:type="spellEnd"/>
      <w:r w:rsidRPr="00F142B1">
        <w:rPr>
          <w:sz w:val="24"/>
          <w:lang w:val="en-ZA"/>
        </w:rPr>
        <w:t xml:space="preserve">) was 5893, this represent a reporting rate of </w:t>
      </w:r>
      <w:r w:rsidRPr="00F142B1">
        <w:rPr>
          <w:color w:val="212529"/>
          <w:sz w:val="24"/>
          <w:lang w:val="en-ZA"/>
        </w:rPr>
        <w:t>0.0172% of total number of COVID-19 vaccine doses administered for the same time period.</w:t>
      </w:r>
      <w:r w:rsidRPr="00F142B1">
        <w:rPr>
          <w:sz w:val="24"/>
          <w:lang w:val="en-ZA"/>
        </w:rPr>
        <w:t xml:space="preserve"> The most frequently reported AEFIs were in line with the available product information. No safety concerns were raised based causality assessment outcomes conducted on severe and serious AEFI reported. Vaccine safety surveillance and monitoring trends of reported AEFI are vital measures to ensure that the benefits of immunisation are maintained in the interest of public health. Transparent communication with the public is important to maintain public confidence in vaccines and prevent all AEFI being misinterpreted as caused by the vaccine. The department in collaboration with </w:t>
      </w:r>
      <w:proofErr w:type="gramStart"/>
      <w:r w:rsidRPr="00F142B1">
        <w:rPr>
          <w:sz w:val="24"/>
          <w:lang w:val="en-ZA"/>
        </w:rPr>
        <w:t>SAHPRA,</w:t>
      </w:r>
      <w:proofErr w:type="gramEnd"/>
      <w:r w:rsidRPr="00F142B1">
        <w:rPr>
          <w:sz w:val="24"/>
          <w:lang w:val="en-ZA"/>
        </w:rPr>
        <w:t xml:space="preserve"> provide information on the process of AEFI reporting, investigation and causality assessment on the SAHPRA </w:t>
      </w:r>
      <w:proofErr w:type="spellStart"/>
      <w:r w:rsidRPr="00F142B1">
        <w:rPr>
          <w:sz w:val="24"/>
          <w:lang w:val="en-ZA"/>
        </w:rPr>
        <w:t>microsite</w:t>
      </w:r>
      <w:proofErr w:type="spellEnd"/>
      <w:r w:rsidRPr="00F142B1">
        <w:rPr>
          <w:sz w:val="24"/>
          <w:lang w:val="en-ZA"/>
        </w:rPr>
        <w:t>. The AEFI reported should be investigated and causality assessed to maintain high levels of vaccine confidence in the immunisation programme.</w:t>
      </w:r>
      <w:bookmarkStart w:id="0" w:name="_GoBack"/>
      <w:bookmarkEnd w:id="0"/>
    </w:p>
    <w:p w:rsidR="000E569F" w:rsidRDefault="000E569F" w:rsidP="00CA70E9">
      <w:pPr>
        <w:pStyle w:val="BodyText"/>
        <w:rPr>
          <w:sz w:val="24"/>
          <w:lang w:val="en-GB"/>
        </w:rPr>
      </w:pPr>
    </w:p>
    <w:p w:rsidR="000E569F" w:rsidRDefault="000E569F"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B68" w:rsidRDefault="00AF2B68">
      <w:r>
        <w:separator/>
      </w:r>
    </w:p>
  </w:endnote>
  <w:endnote w:type="continuationSeparator" w:id="0">
    <w:p w:rsidR="00AF2B68" w:rsidRDefault="00AF2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F78B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F78B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E569F">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B68" w:rsidRDefault="00AF2B68">
      <w:r>
        <w:separator/>
      </w:r>
    </w:p>
  </w:footnote>
  <w:footnote w:type="continuationSeparator" w:id="0">
    <w:p w:rsidR="00AF2B68" w:rsidRDefault="00AF2B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5568"/>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E569F"/>
    <w:rsid w:val="000F059B"/>
    <w:rsid w:val="000F2F2D"/>
    <w:rsid w:val="000F3BF5"/>
    <w:rsid w:val="000F452A"/>
    <w:rsid w:val="000F50B5"/>
    <w:rsid w:val="000F78B4"/>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0527"/>
    <w:rsid w:val="001934EC"/>
    <w:rsid w:val="001976A7"/>
    <w:rsid w:val="001A5759"/>
    <w:rsid w:val="001A5BBB"/>
    <w:rsid w:val="001B1357"/>
    <w:rsid w:val="001B62F5"/>
    <w:rsid w:val="001B67CA"/>
    <w:rsid w:val="001B7AA5"/>
    <w:rsid w:val="001C0252"/>
    <w:rsid w:val="001C1460"/>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85A8B"/>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A685B"/>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783C"/>
    <w:rsid w:val="008A2BAB"/>
    <w:rsid w:val="008A34C5"/>
    <w:rsid w:val="008A5661"/>
    <w:rsid w:val="008A757D"/>
    <w:rsid w:val="008B0303"/>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02AF"/>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AF1798"/>
    <w:rsid w:val="00AF2B6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B6CA9"/>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A464E"/>
    <w:rsid w:val="00EB211A"/>
    <w:rsid w:val="00EB241F"/>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2022-05-20T11:19:00Z</dcterms:created>
  <dcterms:modified xsi:type="dcterms:W3CDTF">2022-05-20T11:19:00Z</dcterms:modified>
</cp:coreProperties>
</file>