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50" w:rsidRPr="005E04A7" w:rsidRDefault="002D5590">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40"/>
          <w:szCs w:val="40"/>
          <w:lang w:val="en-GB"/>
        </w:rPr>
        <w:t>___________________________________</w:t>
      </w:r>
    </w:p>
    <w:p w:rsidR="00A02950" w:rsidRPr="005E04A7" w:rsidRDefault="002D5590">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5E04A7">
        <w:rPr>
          <w:rFonts w:ascii="Arial" w:eastAsia="Times New Roman" w:hAnsi="Arial" w:cs="Arial"/>
          <w:b/>
          <w:snapToGrid w:val="0"/>
          <w:color w:val="000000"/>
          <w:sz w:val="24"/>
          <w:szCs w:val="24"/>
          <w:lang w:val="en-GB"/>
        </w:rPr>
        <w:t>NATIONAL ASSEMBLY</w:t>
      </w:r>
    </w:p>
    <w:p w:rsidR="00A02950" w:rsidRPr="005E04A7" w:rsidRDefault="002D5590">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5E04A7">
        <w:rPr>
          <w:rFonts w:ascii="Arial" w:eastAsia="Times New Roman" w:hAnsi="Arial" w:cs="Arial"/>
          <w:b/>
          <w:snapToGrid w:val="0"/>
          <w:sz w:val="24"/>
          <w:szCs w:val="24"/>
          <w:lang w:val="en-GB"/>
        </w:rPr>
        <w:t xml:space="preserve">QUESTION NUMBER: </w:t>
      </w:r>
      <w:r w:rsidRPr="005E04A7">
        <w:rPr>
          <w:rFonts w:ascii="Arial" w:eastAsia="Times New Roman" w:hAnsi="Arial" w:cs="Arial"/>
          <w:b/>
          <w:snapToGrid w:val="0"/>
          <w:sz w:val="24"/>
          <w:szCs w:val="24"/>
          <w:lang w:val="en-GB"/>
        </w:rPr>
        <w:tab/>
        <w:t>1707</w:t>
      </w:r>
    </w:p>
    <w:p w:rsidR="00A02950" w:rsidRPr="005E04A7" w:rsidRDefault="002D5590">
      <w:pPr>
        <w:spacing w:after="120" w:line="240" w:lineRule="auto"/>
        <w:jc w:val="center"/>
        <w:rPr>
          <w:rFonts w:ascii="Arial" w:eastAsia="Times New Roman" w:hAnsi="Arial" w:cs="Arial"/>
          <w:b/>
          <w:snapToGrid w:val="0"/>
          <w:sz w:val="24"/>
          <w:szCs w:val="24"/>
          <w:lang w:val="en-GB"/>
        </w:rPr>
      </w:pPr>
      <w:r w:rsidRPr="005E04A7">
        <w:rPr>
          <w:rFonts w:ascii="Arial" w:eastAsia="Times New Roman" w:hAnsi="Arial" w:cs="Arial"/>
          <w:b/>
          <w:snapToGrid w:val="0"/>
          <w:sz w:val="24"/>
          <w:szCs w:val="24"/>
          <w:lang w:val="en-GB"/>
        </w:rPr>
        <w:t>DATE OF PUBLICATION IN INTERNAL QUESTION PAPER: 12 MAY 2023</w:t>
      </w:r>
    </w:p>
    <w:p w:rsidR="00A02950" w:rsidRPr="005E04A7" w:rsidRDefault="002D5590">
      <w:pPr>
        <w:pBdr>
          <w:bottom w:val="single" w:sz="12" w:space="1" w:color="auto"/>
        </w:pBdr>
        <w:spacing w:after="0" w:line="240" w:lineRule="auto"/>
        <w:jc w:val="center"/>
        <w:rPr>
          <w:rFonts w:ascii="Arial" w:eastAsia="Times New Roman" w:hAnsi="Arial" w:cs="Arial"/>
          <w:b/>
          <w:snapToGrid w:val="0"/>
          <w:sz w:val="24"/>
          <w:szCs w:val="24"/>
          <w:lang w:val="en-GB"/>
        </w:rPr>
      </w:pPr>
      <w:r w:rsidRPr="005E04A7">
        <w:rPr>
          <w:rFonts w:ascii="Arial" w:eastAsia="Times New Roman" w:hAnsi="Arial" w:cs="Arial"/>
          <w:b/>
          <w:snapToGrid w:val="0"/>
          <w:sz w:val="24"/>
          <w:szCs w:val="24"/>
          <w:lang w:val="en-GB"/>
        </w:rPr>
        <w:t>INTERNAL QUESTION PAPER NUMBER: 16 - 2022</w:t>
      </w:r>
    </w:p>
    <w:p w:rsidR="00A02950" w:rsidRPr="005E04A7" w:rsidRDefault="002D5590">
      <w:pPr>
        <w:spacing w:before="100" w:beforeAutospacing="1" w:after="100" w:afterAutospacing="1" w:line="240" w:lineRule="auto"/>
        <w:ind w:left="720" w:hanging="720"/>
        <w:jc w:val="both"/>
        <w:outlineLvl w:val="0"/>
        <w:rPr>
          <w:rFonts w:ascii="Arial" w:hAnsi="Arial" w:cs="Arial"/>
          <w:b/>
          <w:bCs/>
          <w:sz w:val="24"/>
          <w:szCs w:val="24"/>
          <w:lang w:val="en-US"/>
        </w:rPr>
      </w:pPr>
      <w:r w:rsidRPr="005E04A7">
        <w:rPr>
          <w:rFonts w:ascii="Arial" w:hAnsi="Arial" w:cs="Arial"/>
          <w:b/>
          <w:bCs/>
          <w:sz w:val="24"/>
          <w:szCs w:val="24"/>
          <w:lang w:val="en-GB"/>
        </w:rPr>
        <w:t>1707.</w:t>
      </w:r>
      <w:r w:rsidRPr="005E04A7">
        <w:rPr>
          <w:rFonts w:ascii="Arial" w:hAnsi="Arial" w:cs="Arial"/>
          <w:b/>
          <w:bCs/>
          <w:sz w:val="24"/>
          <w:szCs w:val="24"/>
          <w:lang w:val="en-GB"/>
        </w:rPr>
        <w:tab/>
      </w:r>
      <w:r w:rsidRPr="005E04A7">
        <w:rPr>
          <w:rFonts w:ascii="Arial" w:hAnsi="Arial" w:cs="Arial"/>
          <w:b/>
          <w:bCs/>
          <w:sz w:val="24"/>
          <w:szCs w:val="24"/>
        </w:rPr>
        <w:t>Ms K L Khakhau (DA) to ask the Minister of Social Development</w:t>
      </w:r>
      <w:r w:rsidR="007B7FCB" w:rsidRPr="005E04A7">
        <w:rPr>
          <w:rFonts w:ascii="Arial" w:hAnsi="Arial" w:cs="Arial"/>
          <w:b/>
          <w:bCs/>
          <w:sz w:val="24"/>
          <w:szCs w:val="24"/>
        </w:rPr>
        <w:fldChar w:fldCharType="begin"/>
      </w:r>
      <w:r w:rsidRPr="005E04A7">
        <w:rPr>
          <w:rFonts w:ascii="Arial" w:hAnsi="Arial" w:cs="Arial"/>
          <w:sz w:val="24"/>
          <w:szCs w:val="24"/>
        </w:rPr>
        <w:instrText xml:space="preserve"> XE "</w:instrText>
      </w:r>
      <w:r w:rsidRPr="005E04A7">
        <w:rPr>
          <w:rFonts w:ascii="Arial" w:hAnsi="Arial" w:cs="Arial"/>
          <w:b/>
          <w:sz w:val="24"/>
          <w:szCs w:val="24"/>
          <w:lang w:val="en-US"/>
        </w:rPr>
        <w:instrText>Minister of Social Development</w:instrText>
      </w:r>
      <w:r w:rsidRPr="005E04A7">
        <w:rPr>
          <w:rFonts w:ascii="Arial" w:hAnsi="Arial" w:cs="Arial"/>
          <w:sz w:val="24"/>
          <w:szCs w:val="24"/>
        </w:rPr>
        <w:instrText xml:space="preserve">" </w:instrText>
      </w:r>
      <w:r w:rsidR="007B7FCB" w:rsidRPr="005E04A7">
        <w:rPr>
          <w:rFonts w:ascii="Arial" w:hAnsi="Arial" w:cs="Arial"/>
          <w:b/>
          <w:bCs/>
          <w:sz w:val="24"/>
          <w:szCs w:val="24"/>
        </w:rPr>
        <w:fldChar w:fldCharType="end"/>
      </w:r>
      <w:r w:rsidRPr="005E04A7">
        <w:rPr>
          <w:rFonts w:ascii="Arial" w:hAnsi="Arial" w:cs="Arial"/>
          <w:b/>
          <w:bCs/>
          <w:sz w:val="24"/>
          <w:szCs w:val="24"/>
          <w:lang w:val="en-US"/>
        </w:rPr>
        <w:t>:</w:t>
      </w:r>
    </w:p>
    <w:p w:rsidR="00A02950" w:rsidRPr="005E04A7" w:rsidRDefault="002D5590">
      <w:pPr>
        <w:pStyle w:val="ListParagraph"/>
        <w:spacing w:after="0" w:line="360" w:lineRule="auto"/>
        <w:jc w:val="both"/>
        <w:rPr>
          <w:rFonts w:ascii="Arial" w:hAnsi="Arial" w:cs="Arial"/>
          <w:sz w:val="24"/>
          <w:szCs w:val="24"/>
          <w:lang w:val="en-US"/>
        </w:rPr>
      </w:pPr>
      <w:r w:rsidRPr="005E04A7">
        <w:rPr>
          <w:rFonts w:ascii="Arial" w:hAnsi="Arial" w:cs="Arial"/>
          <w:sz w:val="24"/>
          <w:szCs w:val="24"/>
          <w:lang w:val="en-US"/>
        </w:rPr>
        <w:t>Whether she will furnish Ms K L Khakhau with a comprehensive breakdown of the procurement allocation of (a) her department and (b) every entity reporting to her in terms of the percentages allocated to (i) small-, medium- and micro-enterprises,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w:t>
      </w:r>
      <w:r w:rsidRPr="005E04A7">
        <w:rPr>
          <w:rFonts w:ascii="Arial" w:hAnsi="Arial" w:cs="Arial"/>
          <w:sz w:val="24"/>
          <w:szCs w:val="24"/>
          <w:lang w:val="en-US"/>
        </w:rPr>
        <w:tab/>
      </w:r>
      <w:r w:rsidRPr="005E04A7">
        <w:rPr>
          <w:rFonts w:ascii="Arial" w:hAnsi="Arial" w:cs="Arial"/>
          <w:sz w:val="24"/>
          <w:szCs w:val="24"/>
          <w:lang w:val="en-US"/>
        </w:rPr>
        <w:tab/>
      </w:r>
      <w:r w:rsidRPr="005E04A7">
        <w:rPr>
          <w:rFonts w:ascii="Arial" w:hAnsi="Arial" w:cs="Arial"/>
          <w:sz w:val="24"/>
          <w:szCs w:val="24"/>
          <w:lang w:val="en-US"/>
        </w:rPr>
        <w:tab/>
      </w:r>
      <w:r w:rsidRPr="005E04A7">
        <w:rPr>
          <w:rFonts w:ascii="Arial" w:hAnsi="Arial" w:cs="Arial"/>
          <w:sz w:val="24"/>
          <w:szCs w:val="24"/>
          <w:lang w:val="en-US"/>
        </w:rPr>
        <w:tab/>
      </w:r>
      <w:r w:rsidRPr="005E04A7">
        <w:rPr>
          <w:rFonts w:ascii="Arial" w:hAnsi="Arial" w:cs="Arial"/>
          <w:sz w:val="24"/>
          <w:szCs w:val="24"/>
          <w:lang w:val="en-US"/>
        </w:rPr>
        <w:tab/>
      </w:r>
      <w:r w:rsidRPr="005E04A7">
        <w:rPr>
          <w:rFonts w:ascii="Arial" w:hAnsi="Arial" w:cs="Arial"/>
          <w:sz w:val="24"/>
          <w:szCs w:val="24"/>
          <w:lang w:val="en-US"/>
        </w:rPr>
        <w:tab/>
      </w:r>
    </w:p>
    <w:p w:rsidR="00A02950" w:rsidRPr="005E04A7" w:rsidRDefault="002D5590">
      <w:pPr>
        <w:pStyle w:val="ListParagraph"/>
        <w:spacing w:after="0" w:line="360" w:lineRule="auto"/>
        <w:jc w:val="both"/>
        <w:rPr>
          <w:rFonts w:ascii="Arial" w:hAnsi="Arial" w:cs="Arial"/>
          <w:b/>
          <w:bCs/>
          <w:sz w:val="24"/>
          <w:szCs w:val="24"/>
          <w:lang w:val="en-US"/>
        </w:rPr>
      </w:pPr>
      <w:r w:rsidRPr="005E04A7">
        <w:rPr>
          <w:rFonts w:ascii="Arial" w:hAnsi="Arial" w:cs="Arial"/>
          <w:b/>
          <w:bCs/>
          <w:sz w:val="24"/>
          <w:szCs w:val="24"/>
          <w:lang w:val="en-US"/>
        </w:rPr>
        <w:t>REPLY:</w:t>
      </w:r>
    </w:p>
    <w:p w:rsidR="00A02950" w:rsidRPr="005E04A7" w:rsidRDefault="00220BDE">
      <w:pPr>
        <w:pStyle w:val="ListParagraph"/>
        <w:spacing w:after="0" w:line="360" w:lineRule="auto"/>
        <w:jc w:val="both"/>
        <w:rPr>
          <w:rFonts w:ascii="Arial" w:hAnsi="Arial" w:cs="Arial"/>
          <w:b/>
          <w:bCs/>
          <w:sz w:val="24"/>
          <w:szCs w:val="24"/>
          <w:u w:val="single"/>
          <w:lang w:val="en-US"/>
        </w:rPr>
      </w:pPr>
      <w:r w:rsidRPr="005E04A7">
        <w:rPr>
          <w:rFonts w:ascii="Arial" w:hAnsi="Arial" w:cs="Arial"/>
          <w:b/>
          <w:bCs/>
          <w:sz w:val="24"/>
          <w:szCs w:val="24"/>
          <w:u w:val="single"/>
          <w:lang w:val="en-US"/>
        </w:rPr>
        <w:t>DSD</w:t>
      </w:r>
    </w:p>
    <w:p w:rsidR="00DC475B" w:rsidRPr="005E04A7" w:rsidRDefault="00DC475B">
      <w:pPr>
        <w:pStyle w:val="ListParagraph"/>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The National Department of Social Development made provisions in terms of the allocation of its procurement spend in terms of the following procurement spend categories:</w:t>
      </w:r>
    </w:p>
    <w:p w:rsidR="00DC475B" w:rsidRPr="005E04A7" w:rsidRDefault="00DC475B" w:rsidP="00DC475B">
      <w:pPr>
        <w:pStyle w:val="ListParagraph"/>
        <w:numPr>
          <w:ilvl w:val="0"/>
          <w:numId w:val="2"/>
        </w:num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Black Owned businesses</w:t>
      </w:r>
    </w:p>
    <w:p w:rsidR="00DC475B" w:rsidRPr="005E04A7" w:rsidRDefault="00120B11" w:rsidP="00DC475B">
      <w:pPr>
        <w:pStyle w:val="ListParagraph"/>
        <w:numPr>
          <w:ilvl w:val="0"/>
          <w:numId w:val="2"/>
        </w:num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Women-owned</w:t>
      </w:r>
      <w:r w:rsidR="00DC475B" w:rsidRPr="005E04A7">
        <w:rPr>
          <w:rFonts w:ascii="Arial" w:hAnsi="Arial" w:cs="Arial"/>
          <w:bCs/>
          <w:color w:val="000000" w:themeColor="text1"/>
          <w:sz w:val="24"/>
          <w:szCs w:val="24"/>
          <w:lang w:val="en-US"/>
        </w:rPr>
        <w:t xml:space="preserve"> businesses</w:t>
      </w:r>
    </w:p>
    <w:p w:rsidR="00DF07CA" w:rsidRPr="005E04A7" w:rsidRDefault="00120B11" w:rsidP="00DC475B">
      <w:pPr>
        <w:pStyle w:val="ListParagraph"/>
        <w:numPr>
          <w:ilvl w:val="0"/>
          <w:numId w:val="2"/>
        </w:num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Youth-owned</w:t>
      </w:r>
      <w:r w:rsidR="00DC475B" w:rsidRPr="005E04A7">
        <w:rPr>
          <w:rFonts w:ascii="Arial" w:hAnsi="Arial" w:cs="Arial"/>
          <w:bCs/>
          <w:color w:val="000000" w:themeColor="text1"/>
          <w:sz w:val="24"/>
          <w:szCs w:val="24"/>
          <w:lang w:val="en-US"/>
        </w:rPr>
        <w:t xml:space="preserve"> businesses</w:t>
      </w:r>
    </w:p>
    <w:p w:rsidR="00DC475B" w:rsidRPr="005E04A7" w:rsidRDefault="00DC475B" w:rsidP="00DC475B">
      <w:pPr>
        <w:pStyle w:val="ListParagraph"/>
        <w:numPr>
          <w:ilvl w:val="0"/>
          <w:numId w:val="2"/>
        </w:num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Businesses in Rural or Township areas</w:t>
      </w:r>
    </w:p>
    <w:p w:rsidR="00DC475B" w:rsidRPr="005E04A7" w:rsidRDefault="00DC475B" w:rsidP="00DC475B">
      <w:pPr>
        <w:pStyle w:val="ListParagraph"/>
        <w:numPr>
          <w:ilvl w:val="0"/>
          <w:numId w:val="2"/>
        </w:num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Businesses owned by persons living with disabilities</w:t>
      </w:r>
    </w:p>
    <w:p w:rsidR="00DC475B" w:rsidRPr="005E04A7" w:rsidRDefault="00DC475B"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 xml:space="preserve">The table below depicts the percentage </w:t>
      </w:r>
      <w:r w:rsidR="00120B11" w:rsidRPr="005E04A7">
        <w:rPr>
          <w:rFonts w:ascii="Arial" w:hAnsi="Arial" w:cs="Arial"/>
          <w:bCs/>
          <w:color w:val="000000" w:themeColor="text1"/>
          <w:sz w:val="24"/>
          <w:szCs w:val="24"/>
          <w:lang w:val="en-US"/>
        </w:rPr>
        <w:t xml:space="preserve">spent </w:t>
      </w:r>
      <w:r w:rsidRPr="005E04A7">
        <w:rPr>
          <w:rFonts w:ascii="Arial" w:hAnsi="Arial" w:cs="Arial"/>
          <w:bCs/>
          <w:color w:val="000000" w:themeColor="text1"/>
          <w:sz w:val="24"/>
          <w:szCs w:val="24"/>
          <w:lang w:val="en-US"/>
        </w:rPr>
        <w:t xml:space="preserve">and the rand value </w:t>
      </w:r>
      <w:r w:rsidR="00120B11" w:rsidRPr="005E04A7">
        <w:rPr>
          <w:rFonts w:ascii="Arial" w:hAnsi="Arial" w:cs="Arial"/>
          <w:bCs/>
          <w:color w:val="000000" w:themeColor="text1"/>
          <w:sz w:val="24"/>
          <w:szCs w:val="24"/>
          <w:lang w:val="en-US"/>
        </w:rPr>
        <w:t xml:space="preserve">for the 2022/23 financial year </w:t>
      </w:r>
      <w:r w:rsidRPr="005E04A7">
        <w:rPr>
          <w:rFonts w:ascii="Arial" w:hAnsi="Arial" w:cs="Arial"/>
          <w:bCs/>
          <w:color w:val="000000" w:themeColor="text1"/>
          <w:sz w:val="24"/>
          <w:szCs w:val="24"/>
          <w:lang w:val="en-US"/>
        </w:rPr>
        <w:t>for each of the categories indicated above.</w:t>
      </w:r>
    </w:p>
    <w:tbl>
      <w:tblPr>
        <w:tblStyle w:val="TableGrid"/>
        <w:tblW w:w="10155" w:type="dxa"/>
        <w:tblInd w:w="-1139" w:type="dxa"/>
        <w:tblLook w:val="04A0"/>
      </w:tblPr>
      <w:tblGrid>
        <w:gridCol w:w="817"/>
        <w:gridCol w:w="1139"/>
        <w:gridCol w:w="1452"/>
        <w:gridCol w:w="1852"/>
        <w:gridCol w:w="1712"/>
        <w:gridCol w:w="1299"/>
        <w:gridCol w:w="1884"/>
      </w:tblGrid>
      <w:tr w:rsidR="005D4F23" w:rsidRPr="005E04A7" w:rsidTr="005D4F23">
        <w:tc>
          <w:tcPr>
            <w:tcW w:w="717"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lastRenderedPageBreak/>
              <w:t>Year</w:t>
            </w:r>
          </w:p>
        </w:tc>
        <w:tc>
          <w:tcPr>
            <w:tcW w:w="1142"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Total spend</w:t>
            </w:r>
          </w:p>
        </w:tc>
        <w:tc>
          <w:tcPr>
            <w:tcW w:w="1493"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Black Owned</w:t>
            </w:r>
          </w:p>
        </w:tc>
        <w:tc>
          <w:tcPr>
            <w:tcW w:w="2005"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Women Owned</w:t>
            </w:r>
          </w:p>
        </w:tc>
        <w:tc>
          <w:tcPr>
            <w:tcW w:w="1867"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Youth Owned</w:t>
            </w:r>
          </w:p>
        </w:tc>
        <w:tc>
          <w:tcPr>
            <w:tcW w:w="1325"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Disability</w:t>
            </w:r>
          </w:p>
        </w:tc>
        <w:tc>
          <w:tcPr>
            <w:tcW w:w="1606" w:type="dxa"/>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Rural/Township</w:t>
            </w:r>
          </w:p>
        </w:tc>
      </w:tr>
      <w:tr w:rsidR="005D4F23" w:rsidRPr="005E04A7" w:rsidTr="005D4F23">
        <w:tc>
          <w:tcPr>
            <w:tcW w:w="717" w:type="dxa"/>
            <w:shd w:val="clear" w:color="auto" w:fill="92CDDC" w:themeFill="accent5" w:themeFillTint="99"/>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21/22</w:t>
            </w:r>
          </w:p>
        </w:tc>
        <w:tc>
          <w:tcPr>
            <w:tcW w:w="1142"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R358,75</w:t>
            </w:r>
          </w:p>
        </w:tc>
        <w:tc>
          <w:tcPr>
            <w:tcW w:w="1493"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146,620 000</w:t>
            </w:r>
          </w:p>
        </w:tc>
        <w:tc>
          <w:tcPr>
            <w:tcW w:w="2005"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R71,830 000</w:t>
            </w:r>
          </w:p>
        </w:tc>
        <w:tc>
          <w:tcPr>
            <w:tcW w:w="1867"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R24, 100 000</w:t>
            </w:r>
          </w:p>
        </w:tc>
        <w:tc>
          <w:tcPr>
            <w:tcW w:w="1325"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R510 000</w:t>
            </w:r>
          </w:p>
        </w:tc>
        <w:tc>
          <w:tcPr>
            <w:tcW w:w="1606"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R10 530 000</w:t>
            </w:r>
          </w:p>
        </w:tc>
      </w:tr>
      <w:tr w:rsidR="005D4F23" w:rsidRPr="005E04A7" w:rsidTr="005D4F23">
        <w:tc>
          <w:tcPr>
            <w:tcW w:w="717" w:type="dxa"/>
            <w:shd w:val="clear" w:color="auto" w:fill="92CDDC" w:themeFill="accent5" w:themeFillTint="99"/>
          </w:tcPr>
          <w:p w:rsidR="005D4F23" w:rsidRPr="005E04A7" w:rsidRDefault="005D4F23" w:rsidP="00DC475B">
            <w:pPr>
              <w:spacing w:after="0" w:line="360" w:lineRule="auto"/>
              <w:jc w:val="both"/>
              <w:rPr>
                <w:rFonts w:ascii="Arial" w:hAnsi="Arial" w:cs="Arial"/>
                <w:bCs/>
                <w:color w:val="000000" w:themeColor="text1"/>
                <w:sz w:val="24"/>
                <w:szCs w:val="24"/>
                <w:lang w:val="en-US"/>
              </w:rPr>
            </w:pPr>
          </w:p>
        </w:tc>
        <w:tc>
          <w:tcPr>
            <w:tcW w:w="1142" w:type="dxa"/>
            <w:shd w:val="clear" w:color="auto" w:fill="92CDDC" w:themeFill="accent5" w:themeFillTint="99"/>
          </w:tcPr>
          <w:p w:rsidR="005D4F23" w:rsidRPr="005E04A7" w:rsidRDefault="005D4F23" w:rsidP="00DC475B">
            <w:pPr>
              <w:spacing w:after="0" w:line="360" w:lineRule="auto"/>
              <w:jc w:val="both"/>
              <w:rPr>
                <w:rFonts w:ascii="Arial" w:hAnsi="Arial" w:cs="Arial"/>
                <w:bCs/>
                <w:color w:val="000000" w:themeColor="text1"/>
                <w:sz w:val="24"/>
                <w:szCs w:val="24"/>
                <w:lang w:val="en-US"/>
              </w:rPr>
            </w:pPr>
          </w:p>
        </w:tc>
        <w:tc>
          <w:tcPr>
            <w:tcW w:w="1493"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40,9%</w:t>
            </w:r>
          </w:p>
        </w:tc>
        <w:tc>
          <w:tcPr>
            <w:tcW w:w="2005"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20%</w:t>
            </w:r>
          </w:p>
        </w:tc>
        <w:tc>
          <w:tcPr>
            <w:tcW w:w="1867"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6,7%</w:t>
            </w:r>
          </w:p>
        </w:tc>
        <w:tc>
          <w:tcPr>
            <w:tcW w:w="1325"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0,1%</w:t>
            </w:r>
          </w:p>
        </w:tc>
        <w:tc>
          <w:tcPr>
            <w:tcW w:w="1606" w:type="dxa"/>
            <w:shd w:val="clear" w:color="auto" w:fill="92CDDC" w:themeFill="accent5" w:themeFillTint="99"/>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2,9%</w:t>
            </w:r>
          </w:p>
        </w:tc>
      </w:tr>
      <w:tr w:rsidR="005D4F23" w:rsidRPr="005E04A7" w:rsidTr="005D4F23">
        <w:tc>
          <w:tcPr>
            <w:tcW w:w="717"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22/23</w:t>
            </w:r>
          </w:p>
        </w:tc>
        <w:tc>
          <w:tcPr>
            <w:tcW w:w="1142" w:type="dxa"/>
            <w:shd w:val="clear" w:color="auto" w:fill="FABF8F" w:themeFill="accent6" w:themeFillTint="99"/>
          </w:tcPr>
          <w:p w:rsidR="005D4F23" w:rsidRPr="005E04A7" w:rsidRDefault="009E06E6"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w:t>
            </w:r>
            <w:r w:rsidR="005D4F23" w:rsidRPr="005E04A7">
              <w:rPr>
                <w:rFonts w:ascii="Arial" w:hAnsi="Arial" w:cs="Arial"/>
                <w:bCs/>
                <w:color w:val="000000" w:themeColor="text1"/>
                <w:sz w:val="24"/>
                <w:szCs w:val="24"/>
                <w:lang w:val="en-US"/>
              </w:rPr>
              <w:t>383,2 Mil</w:t>
            </w:r>
          </w:p>
        </w:tc>
        <w:tc>
          <w:tcPr>
            <w:tcW w:w="1493"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R150,77</w:t>
            </w:r>
            <w:r w:rsidR="005E0805" w:rsidRPr="005E04A7">
              <w:rPr>
                <w:rFonts w:ascii="Arial" w:hAnsi="Arial" w:cs="Arial"/>
                <w:bCs/>
                <w:color w:val="000000" w:themeColor="text1"/>
                <w:sz w:val="24"/>
                <w:szCs w:val="24"/>
                <w:lang w:val="en-US"/>
              </w:rPr>
              <w:t>0</w:t>
            </w:r>
            <w:r w:rsidRPr="005E04A7">
              <w:rPr>
                <w:rFonts w:ascii="Arial" w:hAnsi="Arial" w:cs="Arial"/>
                <w:bCs/>
                <w:color w:val="000000" w:themeColor="text1"/>
                <w:sz w:val="24"/>
                <w:szCs w:val="24"/>
                <w:lang w:val="en-US"/>
              </w:rPr>
              <w:t xml:space="preserve"> 000</w:t>
            </w:r>
          </w:p>
        </w:tc>
        <w:tc>
          <w:tcPr>
            <w:tcW w:w="2005"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 xml:space="preserve">R 103,620 000 </w:t>
            </w:r>
          </w:p>
        </w:tc>
        <w:tc>
          <w:tcPr>
            <w:tcW w:w="1867"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 16,850 000</w:t>
            </w:r>
          </w:p>
        </w:tc>
        <w:tc>
          <w:tcPr>
            <w:tcW w:w="1325"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 400 000</w:t>
            </w:r>
          </w:p>
        </w:tc>
        <w:tc>
          <w:tcPr>
            <w:tcW w:w="1606"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 xml:space="preserve">R 10,590 000 </w:t>
            </w:r>
          </w:p>
        </w:tc>
      </w:tr>
      <w:tr w:rsidR="005D4F23" w:rsidRPr="005E04A7" w:rsidTr="005D4F23">
        <w:tc>
          <w:tcPr>
            <w:tcW w:w="717"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p>
        </w:tc>
        <w:tc>
          <w:tcPr>
            <w:tcW w:w="1142"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p>
        </w:tc>
        <w:tc>
          <w:tcPr>
            <w:tcW w:w="1493"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39,3%</w:t>
            </w:r>
          </w:p>
        </w:tc>
        <w:tc>
          <w:tcPr>
            <w:tcW w:w="2005"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27%</w:t>
            </w:r>
          </w:p>
        </w:tc>
        <w:tc>
          <w:tcPr>
            <w:tcW w:w="1867"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4,3%</w:t>
            </w:r>
          </w:p>
        </w:tc>
        <w:tc>
          <w:tcPr>
            <w:tcW w:w="1325"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0,1%</w:t>
            </w:r>
          </w:p>
        </w:tc>
        <w:tc>
          <w:tcPr>
            <w:tcW w:w="1606" w:type="dxa"/>
            <w:shd w:val="clear" w:color="auto" w:fill="FABF8F" w:themeFill="accent6" w:themeFillTint="99"/>
          </w:tcPr>
          <w:p w:rsidR="005D4F23" w:rsidRPr="005E04A7" w:rsidRDefault="005D4F23" w:rsidP="005D4F23">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2,8%</w:t>
            </w:r>
          </w:p>
        </w:tc>
      </w:tr>
      <w:tr w:rsidR="005D4F23" w:rsidRPr="005E04A7" w:rsidTr="005D4F23">
        <w:tc>
          <w:tcPr>
            <w:tcW w:w="717" w:type="dxa"/>
            <w:shd w:val="clear" w:color="auto" w:fill="FFFF00"/>
          </w:tcPr>
          <w:p w:rsidR="005D4F23" w:rsidRPr="005E04A7" w:rsidRDefault="005D4F23"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23/24</w:t>
            </w:r>
          </w:p>
        </w:tc>
        <w:tc>
          <w:tcPr>
            <w:tcW w:w="1142" w:type="dxa"/>
            <w:shd w:val="clear" w:color="auto" w:fill="FFFF00"/>
          </w:tcPr>
          <w:p w:rsidR="005D4F23" w:rsidRPr="005E04A7" w:rsidRDefault="009E06E6"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31,86 Mil</w:t>
            </w:r>
          </w:p>
        </w:tc>
        <w:tc>
          <w:tcPr>
            <w:tcW w:w="1493" w:type="dxa"/>
            <w:shd w:val="clear" w:color="auto" w:fill="FFFF00"/>
          </w:tcPr>
          <w:p w:rsidR="005D4F23" w:rsidRPr="005E04A7" w:rsidRDefault="009E06E6"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R9,830 000</w:t>
            </w:r>
          </w:p>
        </w:tc>
        <w:tc>
          <w:tcPr>
            <w:tcW w:w="2005" w:type="dxa"/>
            <w:shd w:val="clear" w:color="auto" w:fill="FFFF00"/>
          </w:tcPr>
          <w:p w:rsidR="005D4F23" w:rsidRPr="005E04A7" w:rsidRDefault="009E06E6"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R5,150 000</w:t>
            </w:r>
          </w:p>
        </w:tc>
        <w:tc>
          <w:tcPr>
            <w:tcW w:w="1867" w:type="dxa"/>
            <w:shd w:val="clear" w:color="auto" w:fill="FFFF00"/>
          </w:tcPr>
          <w:p w:rsidR="005D4F23" w:rsidRPr="005E04A7" w:rsidRDefault="009E06E6"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R1, 730 000</w:t>
            </w:r>
          </w:p>
        </w:tc>
        <w:tc>
          <w:tcPr>
            <w:tcW w:w="1325"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R120 000</w:t>
            </w:r>
          </w:p>
        </w:tc>
        <w:tc>
          <w:tcPr>
            <w:tcW w:w="1606" w:type="dxa"/>
            <w:shd w:val="clear" w:color="auto" w:fill="FFFF00"/>
          </w:tcPr>
          <w:p w:rsidR="005D4F23" w:rsidRPr="005E04A7" w:rsidRDefault="009E06E6"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R2,710 000</w:t>
            </w:r>
          </w:p>
        </w:tc>
      </w:tr>
      <w:tr w:rsidR="005D4F23" w:rsidRPr="005E04A7" w:rsidTr="005D4F23">
        <w:tc>
          <w:tcPr>
            <w:tcW w:w="717" w:type="dxa"/>
            <w:shd w:val="clear" w:color="auto" w:fill="FFFF00"/>
          </w:tcPr>
          <w:p w:rsidR="005D4F23" w:rsidRPr="005E04A7" w:rsidRDefault="005D4F23" w:rsidP="00DC475B">
            <w:pPr>
              <w:spacing w:after="0" w:line="360" w:lineRule="auto"/>
              <w:jc w:val="both"/>
              <w:rPr>
                <w:rFonts w:ascii="Arial" w:hAnsi="Arial" w:cs="Arial"/>
                <w:bCs/>
                <w:color w:val="000000" w:themeColor="text1"/>
                <w:sz w:val="24"/>
                <w:szCs w:val="24"/>
                <w:lang w:val="en-US"/>
              </w:rPr>
            </w:pPr>
          </w:p>
        </w:tc>
        <w:tc>
          <w:tcPr>
            <w:tcW w:w="1142" w:type="dxa"/>
            <w:shd w:val="clear" w:color="auto" w:fill="FFFF00"/>
          </w:tcPr>
          <w:p w:rsidR="005D4F23" w:rsidRPr="005E04A7" w:rsidRDefault="005D4F23" w:rsidP="00DC475B">
            <w:pPr>
              <w:spacing w:after="0" w:line="360" w:lineRule="auto"/>
              <w:jc w:val="both"/>
              <w:rPr>
                <w:rFonts w:ascii="Arial" w:hAnsi="Arial" w:cs="Arial"/>
                <w:bCs/>
                <w:color w:val="000000" w:themeColor="text1"/>
                <w:sz w:val="24"/>
                <w:szCs w:val="24"/>
                <w:lang w:val="en-US"/>
              </w:rPr>
            </w:pPr>
          </w:p>
        </w:tc>
        <w:tc>
          <w:tcPr>
            <w:tcW w:w="1493"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30,8%</w:t>
            </w:r>
          </w:p>
        </w:tc>
        <w:tc>
          <w:tcPr>
            <w:tcW w:w="2005"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16,1%</w:t>
            </w:r>
          </w:p>
        </w:tc>
        <w:tc>
          <w:tcPr>
            <w:tcW w:w="1867"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5,4%</w:t>
            </w:r>
          </w:p>
        </w:tc>
        <w:tc>
          <w:tcPr>
            <w:tcW w:w="1325"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0,4%</w:t>
            </w:r>
          </w:p>
        </w:tc>
        <w:tc>
          <w:tcPr>
            <w:tcW w:w="1606" w:type="dxa"/>
            <w:shd w:val="clear" w:color="auto" w:fill="FFFF00"/>
          </w:tcPr>
          <w:p w:rsidR="005D4F23" w:rsidRPr="005E04A7" w:rsidRDefault="005E0805" w:rsidP="00DC475B">
            <w:pPr>
              <w:spacing w:after="0" w:line="360" w:lineRule="auto"/>
              <w:jc w:val="both"/>
              <w:rPr>
                <w:rFonts w:ascii="Arial" w:hAnsi="Arial" w:cs="Arial"/>
                <w:bCs/>
                <w:color w:val="000000" w:themeColor="text1"/>
                <w:sz w:val="24"/>
                <w:szCs w:val="24"/>
                <w:lang w:val="en-US"/>
              </w:rPr>
            </w:pPr>
            <w:r w:rsidRPr="005E04A7">
              <w:rPr>
                <w:rFonts w:ascii="Arial" w:hAnsi="Arial" w:cs="Arial"/>
                <w:bCs/>
                <w:color w:val="000000" w:themeColor="text1"/>
                <w:sz w:val="24"/>
                <w:szCs w:val="24"/>
                <w:lang w:val="en-US"/>
              </w:rPr>
              <w:t>8,5%</w:t>
            </w:r>
          </w:p>
        </w:tc>
      </w:tr>
    </w:tbl>
    <w:p w:rsidR="00534409" w:rsidRPr="005E04A7" w:rsidRDefault="00534409" w:rsidP="00534409">
      <w:pPr>
        <w:spacing w:after="0" w:line="360" w:lineRule="auto"/>
        <w:jc w:val="both"/>
        <w:rPr>
          <w:rFonts w:ascii="Arial" w:hAnsi="Arial" w:cs="Arial"/>
          <w:b/>
          <w:bCs/>
          <w:sz w:val="24"/>
          <w:szCs w:val="24"/>
          <w:lang w:val="en-US"/>
        </w:rPr>
      </w:pPr>
    </w:p>
    <w:p w:rsidR="00534409" w:rsidRPr="005E04A7" w:rsidRDefault="00534409" w:rsidP="005E0805">
      <w:pPr>
        <w:shd w:val="clear" w:color="auto" w:fill="FFFF00"/>
        <w:spacing w:after="0" w:line="360" w:lineRule="auto"/>
        <w:jc w:val="both"/>
        <w:rPr>
          <w:rFonts w:ascii="Arial" w:hAnsi="Arial" w:cs="Arial"/>
          <w:b/>
          <w:bCs/>
          <w:sz w:val="24"/>
          <w:szCs w:val="24"/>
          <w:lang w:val="en-US"/>
        </w:rPr>
      </w:pPr>
      <w:r w:rsidRPr="005E04A7">
        <w:rPr>
          <w:rFonts w:ascii="Arial" w:hAnsi="Arial" w:cs="Arial"/>
          <w:b/>
          <w:bCs/>
          <w:sz w:val="24"/>
          <w:szCs w:val="24"/>
          <w:lang w:val="en-US"/>
        </w:rPr>
        <w:t xml:space="preserve">NB for 2023/24 the amounts </w:t>
      </w:r>
      <w:r w:rsidR="009E06E6" w:rsidRPr="005E04A7">
        <w:rPr>
          <w:rFonts w:ascii="Arial" w:hAnsi="Arial" w:cs="Arial"/>
          <w:b/>
          <w:bCs/>
          <w:sz w:val="24"/>
          <w:szCs w:val="24"/>
          <w:lang w:val="en-US"/>
        </w:rPr>
        <w:t xml:space="preserve">included </w:t>
      </w:r>
      <w:r w:rsidRPr="005E04A7">
        <w:rPr>
          <w:rFonts w:ascii="Arial" w:hAnsi="Arial" w:cs="Arial"/>
          <w:b/>
          <w:bCs/>
          <w:sz w:val="24"/>
          <w:szCs w:val="24"/>
          <w:lang w:val="en-US"/>
        </w:rPr>
        <w:t>are up to 13 June 2023.</w:t>
      </w:r>
    </w:p>
    <w:p w:rsidR="00DF07CA" w:rsidRPr="005E04A7" w:rsidRDefault="00220BDE">
      <w:pPr>
        <w:pStyle w:val="ListParagraph"/>
        <w:spacing w:after="0" w:line="360" w:lineRule="auto"/>
        <w:jc w:val="both"/>
        <w:rPr>
          <w:rFonts w:ascii="Arial" w:hAnsi="Arial" w:cs="Arial"/>
          <w:b/>
          <w:bCs/>
          <w:sz w:val="24"/>
          <w:szCs w:val="24"/>
          <w:u w:val="single"/>
          <w:lang w:val="en-US"/>
        </w:rPr>
      </w:pPr>
      <w:r w:rsidRPr="005E04A7">
        <w:rPr>
          <w:rFonts w:ascii="Arial" w:hAnsi="Arial" w:cs="Arial"/>
          <w:b/>
          <w:bCs/>
          <w:sz w:val="24"/>
          <w:szCs w:val="24"/>
          <w:u w:val="single"/>
          <w:lang w:val="en-US"/>
        </w:rPr>
        <w:t>SASSA</w:t>
      </w:r>
    </w:p>
    <w:p w:rsidR="00A02950" w:rsidRPr="005E04A7" w:rsidRDefault="002D5590" w:rsidP="00697D97">
      <w:pPr>
        <w:pStyle w:val="ListParagraph"/>
        <w:spacing w:after="0" w:line="240" w:lineRule="auto"/>
        <w:jc w:val="both"/>
        <w:rPr>
          <w:rFonts w:ascii="Arial" w:hAnsi="Arial" w:cs="Arial"/>
          <w:sz w:val="24"/>
          <w:szCs w:val="24"/>
          <w:lang w:val="en-US"/>
        </w:rPr>
      </w:pPr>
      <w:r w:rsidRPr="005E04A7">
        <w:rPr>
          <w:rFonts w:ascii="Arial" w:hAnsi="Arial" w:cs="Arial"/>
          <w:sz w:val="24"/>
          <w:szCs w:val="24"/>
          <w:lang w:val="en-US"/>
        </w:rPr>
        <w:t xml:space="preserve">SASSA did not make provision for procurement allocation in respect of the three (3) categories as specified in the above question, NAPQ 1707 of 2023. However, the below figures depict the total expenditure towards the below designated groups. The total percentage spent for the designated groups in </w:t>
      </w:r>
      <w:r w:rsidR="00220BDE" w:rsidRPr="005E04A7">
        <w:rPr>
          <w:rFonts w:ascii="Arial" w:hAnsi="Arial" w:cs="Arial"/>
          <w:sz w:val="24"/>
          <w:szCs w:val="24"/>
          <w:lang w:val="en-US"/>
        </w:rPr>
        <w:t xml:space="preserve">the </w:t>
      </w:r>
      <w:r w:rsidRPr="005E04A7">
        <w:rPr>
          <w:rFonts w:ascii="Arial" w:hAnsi="Arial" w:cs="Arial"/>
          <w:sz w:val="24"/>
          <w:szCs w:val="24"/>
          <w:lang w:val="en-US"/>
        </w:rPr>
        <w:t>2022/2023 Financial Year is nine</w:t>
      </w:r>
      <w:r w:rsidR="00220BDE" w:rsidRPr="005E04A7">
        <w:rPr>
          <w:rFonts w:ascii="Arial" w:hAnsi="Arial" w:cs="Arial"/>
          <w:sz w:val="24"/>
          <w:szCs w:val="24"/>
          <w:lang w:val="en-US"/>
        </w:rPr>
        <w:t xml:space="preserve"> </w:t>
      </w:r>
      <w:r w:rsidRPr="005E04A7">
        <w:rPr>
          <w:rFonts w:ascii="Arial" w:hAnsi="Arial" w:cs="Arial"/>
          <w:sz w:val="24"/>
          <w:szCs w:val="24"/>
          <w:lang w:val="en-US"/>
        </w:rPr>
        <w:t>percent (9%).</w:t>
      </w:r>
    </w:p>
    <w:p w:rsidR="00A02950" w:rsidRPr="005E04A7" w:rsidRDefault="00A02950" w:rsidP="00697D97">
      <w:pPr>
        <w:pStyle w:val="ListParagraph"/>
        <w:spacing w:after="0" w:line="240" w:lineRule="auto"/>
        <w:ind w:left="1890"/>
        <w:jc w:val="both"/>
        <w:rPr>
          <w:rFonts w:ascii="Arial" w:hAnsi="Arial" w:cs="Arial"/>
          <w:sz w:val="24"/>
          <w:szCs w:val="24"/>
          <w:lang w:val="en-US"/>
        </w:rPr>
      </w:pPr>
    </w:p>
    <w:p w:rsidR="00A02950" w:rsidRPr="005E04A7" w:rsidRDefault="002D5590" w:rsidP="00697D97">
      <w:pPr>
        <w:pStyle w:val="ListParagraph"/>
        <w:spacing w:after="0" w:line="240" w:lineRule="auto"/>
        <w:jc w:val="both"/>
        <w:rPr>
          <w:rFonts w:ascii="Arial" w:hAnsi="Arial" w:cs="Arial"/>
          <w:color w:val="000000"/>
          <w:sz w:val="24"/>
          <w:szCs w:val="24"/>
        </w:rPr>
      </w:pPr>
      <w:r w:rsidRPr="005E04A7">
        <w:rPr>
          <w:rFonts w:ascii="Arial" w:hAnsi="Arial" w:cs="Arial"/>
          <w:sz w:val="24"/>
          <w:szCs w:val="24"/>
          <w:lang w:val="en-US"/>
        </w:rPr>
        <w:t xml:space="preserve">Please note that National Treasury Practice Note Number SCM 2 of 2006, on </w:t>
      </w:r>
      <w:r w:rsidR="00220BDE" w:rsidRPr="005E04A7">
        <w:rPr>
          <w:rFonts w:ascii="Arial" w:hAnsi="Arial" w:cs="Arial"/>
          <w:sz w:val="24"/>
          <w:szCs w:val="24"/>
          <w:lang w:val="en-US"/>
        </w:rPr>
        <w:t xml:space="preserve">the </w:t>
      </w:r>
      <w:r w:rsidRPr="005E04A7">
        <w:rPr>
          <w:rFonts w:ascii="Arial" w:hAnsi="Arial" w:cs="Arial"/>
          <w:sz w:val="24"/>
          <w:szCs w:val="24"/>
          <w:lang w:val="en-US"/>
        </w:rPr>
        <w:t>prohibition of set-asides was only repealed with effect from 16 January 2023, to align with Regulations, 2022. </w:t>
      </w:r>
      <w:r w:rsidRPr="005E04A7">
        <w:rPr>
          <w:rFonts w:ascii="Arial" w:hAnsi="Arial" w:cs="Arial"/>
          <w:sz w:val="24"/>
          <w:szCs w:val="24"/>
          <w:lang w:val="en-US"/>
        </w:rPr>
        <w:tab/>
      </w:r>
      <w:r w:rsidRPr="005E04A7">
        <w:rPr>
          <w:rFonts w:ascii="Arial" w:hAnsi="Arial" w:cs="Arial"/>
          <w:sz w:val="24"/>
          <w:szCs w:val="24"/>
          <w:lang w:val="en-US"/>
        </w:rPr>
        <w:tab/>
      </w:r>
    </w:p>
    <w:p w:rsidR="00A02950" w:rsidRPr="005E04A7" w:rsidRDefault="00A02950" w:rsidP="00697D97">
      <w:pPr>
        <w:spacing w:after="0" w:line="240" w:lineRule="auto"/>
        <w:jc w:val="both"/>
        <w:rPr>
          <w:rFonts w:ascii="Arial" w:eastAsia="Times New Roman" w:hAnsi="Arial" w:cs="Arial"/>
          <w:b/>
          <w:snapToGrid w:val="0"/>
          <w:color w:val="000000"/>
          <w:sz w:val="24"/>
          <w:szCs w:val="24"/>
          <w:lang w:val="en-GB"/>
        </w:rPr>
      </w:pPr>
    </w:p>
    <w:p w:rsidR="00A02950" w:rsidRPr="005E04A7" w:rsidRDefault="002D5590" w:rsidP="00697D97">
      <w:pPr>
        <w:pStyle w:val="ListParagraph"/>
        <w:spacing w:after="0" w:line="240" w:lineRule="auto"/>
        <w:ind w:left="600" w:hangingChars="250" w:hanging="600"/>
        <w:jc w:val="both"/>
        <w:rPr>
          <w:rFonts w:ascii="Arial" w:hAnsi="Arial" w:cs="Arial"/>
          <w:bCs/>
          <w:sz w:val="24"/>
          <w:szCs w:val="24"/>
        </w:rPr>
      </w:pPr>
      <w:r w:rsidRPr="005E04A7">
        <w:rPr>
          <w:rFonts w:ascii="Arial" w:hAnsi="Arial" w:cs="Arial"/>
          <w:bCs/>
          <w:sz w:val="24"/>
          <w:szCs w:val="24"/>
          <w:lang w:val="en-US"/>
        </w:rPr>
        <w:t>(i)</w:t>
      </w:r>
      <w:r w:rsidR="00697D97" w:rsidRPr="005E04A7">
        <w:rPr>
          <w:rFonts w:ascii="Arial" w:hAnsi="Arial" w:cs="Arial"/>
          <w:bCs/>
          <w:sz w:val="24"/>
          <w:szCs w:val="24"/>
          <w:lang w:val="en-US"/>
        </w:rPr>
        <w:tab/>
      </w:r>
      <w:r w:rsidR="00E80B90" w:rsidRPr="005E04A7">
        <w:rPr>
          <w:rFonts w:ascii="Arial" w:hAnsi="Arial" w:cs="Arial"/>
          <w:bCs/>
          <w:sz w:val="24"/>
          <w:szCs w:val="24"/>
          <w:lang w:val="en-US"/>
        </w:rPr>
        <w:t>Total</w:t>
      </w:r>
      <w:r w:rsidRPr="005E04A7">
        <w:rPr>
          <w:rFonts w:ascii="Arial" w:hAnsi="Arial" w:cs="Arial"/>
          <w:bCs/>
          <w:sz w:val="24"/>
          <w:szCs w:val="24"/>
          <w:lang w:val="en-US"/>
        </w:rPr>
        <w:t xml:space="preserve"> SMME/ EME expenditure </w:t>
      </w:r>
      <w:r w:rsidR="00697D97" w:rsidRPr="005E04A7">
        <w:rPr>
          <w:rFonts w:ascii="Arial" w:hAnsi="Arial" w:cs="Arial"/>
          <w:bCs/>
          <w:sz w:val="24"/>
          <w:szCs w:val="24"/>
          <w:lang w:val="en-US"/>
        </w:rPr>
        <w:t xml:space="preserve">is R </w:t>
      </w:r>
      <w:r w:rsidRPr="005E04A7">
        <w:rPr>
          <w:rFonts w:ascii="Arial" w:hAnsi="Arial" w:cs="Arial"/>
          <w:bCs/>
          <w:sz w:val="24"/>
          <w:szCs w:val="24"/>
          <w:lang w:val="en-US"/>
        </w:rPr>
        <w:t>334,206,197.88</w:t>
      </w:r>
    </w:p>
    <w:p w:rsidR="00220BDE" w:rsidRPr="005E04A7" w:rsidRDefault="002D5590" w:rsidP="00697D97">
      <w:pPr>
        <w:pStyle w:val="ListParagraph"/>
        <w:spacing w:after="0" w:line="240" w:lineRule="auto"/>
        <w:ind w:left="0"/>
        <w:jc w:val="both"/>
        <w:rPr>
          <w:rFonts w:ascii="Arial" w:hAnsi="Arial" w:cs="Arial"/>
          <w:bCs/>
          <w:sz w:val="24"/>
          <w:szCs w:val="24"/>
          <w:lang w:val="en-US"/>
        </w:rPr>
      </w:pPr>
      <w:r w:rsidRPr="005E04A7">
        <w:rPr>
          <w:rFonts w:ascii="Arial" w:hAnsi="Arial" w:cs="Arial"/>
          <w:bCs/>
          <w:sz w:val="24"/>
          <w:szCs w:val="24"/>
          <w:lang w:val="en-US"/>
        </w:rPr>
        <w:t xml:space="preserve">(ii)  </w:t>
      </w:r>
      <w:r w:rsidR="00220BDE" w:rsidRPr="005E04A7">
        <w:rPr>
          <w:rFonts w:ascii="Arial" w:hAnsi="Arial" w:cs="Arial"/>
          <w:bCs/>
          <w:sz w:val="24"/>
          <w:szCs w:val="24"/>
          <w:lang w:val="en-US"/>
        </w:rPr>
        <w:t xml:space="preserve">  </w:t>
      </w:r>
      <w:r w:rsidR="00697D97" w:rsidRPr="005E04A7">
        <w:rPr>
          <w:rFonts w:ascii="Arial" w:hAnsi="Arial" w:cs="Arial"/>
          <w:bCs/>
          <w:sz w:val="24"/>
          <w:szCs w:val="24"/>
          <w:lang w:val="en-US"/>
        </w:rPr>
        <w:t xml:space="preserve"> </w:t>
      </w:r>
      <w:r w:rsidRPr="005E04A7">
        <w:rPr>
          <w:rFonts w:ascii="Arial" w:hAnsi="Arial" w:cs="Arial"/>
          <w:bCs/>
          <w:sz w:val="24"/>
          <w:szCs w:val="24"/>
          <w:lang w:val="en-US"/>
        </w:rPr>
        <w:t>National Treasury Central Supplier Database</w:t>
      </w:r>
      <w:r w:rsidR="00220BDE" w:rsidRPr="005E04A7">
        <w:rPr>
          <w:rFonts w:ascii="Arial" w:hAnsi="Arial" w:cs="Arial"/>
          <w:bCs/>
          <w:sz w:val="24"/>
          <w:szCs w:val="24"/>
          <w:lang w:val="en-US"/>
        </w:rPr>
        <w:t xml:space="preserve"> </w:t>
      </w:r>
    </w:p>
    <w:p w:rsidR="00220BDE" w:rsidRPr="005E04A7" w:rsidRDefault="00220BDE" w:rsidP="00220BDE">
      <w:pPr>
        <w:pStyle w:val="ListParagraph"/>
        <w:spacing w:after="0" w:line="240" w:lineRule="auto"/>
        <w:ind w:left="0" w:firstLine="720"/>
        <w:jc w:val="both"/>
        <w:rPr>
          <w:rFonts w:ascii="Arial" w:hAnsi="Arial" w:cs="Arial"/>
          <w:bCs/>
          <w:sz w:val="24"/>
          <w:szCs w:val="24"/>
          <w:lang w:val="en-US"/>
        </w:rPr>
      </w:pPr>
      <w:r w:rsidRPr="005E04A7">
        <w:rPr>
          <w:rFonts w:ascii="Arial" w:hAnsi="Arial" w:cs="Arial"/>
          <w:bCs/>
          <w:sz w:val="24"/>
          <w:szCs w:val="24"/>
          <w:lang w:val="en-US"/>
        </w:rPr>
        <w:t xml:space="preserve">  </w:t>
      </w:r>
      <w:r w:rsidR="002D5590" w:rsidRPr="005E04A7">
        <w:rPr>
          <w:rFonts w:ascii="Arial" w:hAnsi="Arial" w:cs="Arial"/>
          <w:bCs/>
          <w:sz w:val="24"/>
          <w:szCs w:val="24"/>
          <w:lang w:val="en-US"/>
        </w:rPr>
        <w:t>does not make provision for Cooperatives as</w:t>
      </w:r>
      <w:r w:rsidRPr="005E04A7">
        <w:rPr>
          <w:rFonts w:ascii="Arial" w:hAnsi="Arial" w:cs="Arial"/>
          <w:bCs/>
          <w:sz w:val="24"/>
          <w:szCs w:val="24"/>
          <w:lang w:val="en-US"/>
        </w:rPr>
        <w:t xml:space="preserve">   </w:t>
      </w:r>
    </w:p>
    <w:p w:rsidR="00A02950" w:rsidRPr="005E04A7" w:rsidRDefault="00220BDE" w:rsidP="00220BDE">
      <w:pPr>
        <w:pStyle w:val="ListParagraph"/>
        <w:spacing w:after="0" w:line="240" w:lineRule="auto"/>
        <w:ind w:left="0" w:firstLine="720"/>
        <w:jc w:val="both"/>
        <w:rPr>
          <w:rFonts w:ascii="Arial" w:hAnsi="Arial" w:cs="Arial"/>
          <w:bCs/>
          <w:sz w:val="24"/>
          <w:szCs w:val="24"/>
          <w:lang w:val="en-US"/>
        </w:rPr>
      </w:pPr>
      <w:r w:rsidRPr="005E04A7">
        <w:rPr>
          <w:rFonts w:ascii="Arial" w:hAnsi="Arial" w:cs="Arial"/>
          <w:bCs/>
          <w:sz w:val="24"/>
          <w:szCs w:val="24"/>
          <w:lang w:val="en-US"/>
        </w:rPr>
        <w:t xml:space="preserve">  </w:t>
      </w:r>
      <w:r w:rsidR="002D5590" w:rsidRPr="005E04A7">
        <w:rPr>
          <w:rFonts w:ascii="Arial" w:hAnsi="Arial" w:cs="Arial"/>
          <w:bCs/>
          <w:sz w:val="24"/>
          <w:szCs w:val="24"/>
          <w:lang w:val="en-US"/>
        </w:rPr>
        <w:t>a</w:t>
      </w:r>
      <w:r w:rsidR="00697D97" w:rsidRPr="005E04A7">
        <w:rPr>
          <w:rFonts w:ascii="Arial" w:hAnsi="Arial" w:cs="Arial"/>
          <w:bCs/>
          <w:sz w:val="24"/>
          <w:szCs w:val="24"/>
          <w:lang w:val="en-US"/>
        </w:rPr>
        <w:t xml:space="preserve"> </w:t>
      </w:r>
      <w:r w:rsidR="002D5590" w:rsidRPr="005E04A7">
        <w:rPr>
          <w:rFonts w:ascii="Arial" w:hAnsi="Arial" w:cs="Arial"/>
          <w:bCs/>
          <w:sz w:val="24"/>
          <w:szCs w:val="24"/>
          <w:lang w:val="en-US"/>
        </w:rPr>
        <w:t xml:space="preserve">category. </w:t>
      </w:r>
    </w:p>
    <w:p w:rsidR="00697D97" w:rsidRPr="005E04A7" w:rsidRDefault="002D5590" w:rsidP="00697D97">
      <w:pPr>
        <w:pStyle w:val="ListParagraph"/>
        <w:spacing w:after="0" w:line="240" w:lineRule="auto"/>
        <w:ind w:left="480" w:hangingChars="200" w:hanging="480"/>
        <w:jc w:val="both"/>
        <w:rPr>
          <w:rFonts w:ascii="Arial" w:hAnsi="Arial" w:cs="Arial"/>
          <w:bCs/>
          <w:sz w:val="24"/>
          <w:szCs w:val="24"/>
          <w:lang w:val="en-US"/>
        </w:rPr>
      </w:pPr>
      <w:r w:rsidRPr="005E04A7">
        <w:rPr>
          <w:rFonts w:ascii="Arial" w:hAnsi="Arial" w:cs="Arial"/>
          <w:bCs/>
          <w:sz w:val="24"/>
          <w:szCs w:val="24"/>
          <w:lang w:val="en-US"/>
        </w:rPr>
        <w:t xml:space="preserve">(iii) </w:t>
      </w:r>
      <w:r w:rsidR="00697D97" w:rsidRPr="005E04A7">
        <w:rPr>
          <w:rFonts w:ascii="Arial" w:hAnsi="Arial" w:cs="Arial"/>
          <w:bCs/>
          <w:sz w:val="24"/>
          <w:szCs w:val="24"/>
          <w:lang w:val="en-US"/>
        </w:rPr>
        <w:t xml:space="preserve">  </w:t>
      </w:r>
      <w:r w:rsidRPr="005E04A7">
        <w:rPr>
          <w:rFonts w:ascii="Arial" w:hAnsi="Arial" w:cs="Arial"/>
          <w:bCs/>
          <w:sz w:val="24"/>
          <w:szCs w:val="24"/>
          <w:lang w:val="en-US"/>
        </w:rPr>
        <w:t xml:space="preserve">Total Township enterprise expenditure is  </w:t>
      </w:r>
      <w:r w:rsidRPr="005E04A7">
        <w:rPr>
          <w:rFonts w:ascii="Arial" w:hAnsi="Arial" w:cs="Arial"/>
          <w:bCs/>
          <w:sz w:val="24"/>
          <w:szCs w:val="24"/>
          <w:lang w:val="en-US"/>
        </w:rPr>
        <w:tab/>
        <w:t xml:space="preserve">   </w:t>
      </w:r>
      <w:r w:rsidR="00697D97" w:rsidRPr="005E04A7">
        <w:rPr>
          <w:rFonts w:ascii="Arial" w:hAnsi="Arial" w:cs="Arial"/>
          <w:bCs/>
          <w:sz w:val="24"/>
          <w:szCs w:val="24"/>
          <w:lang w:val="en-US"/>
        </w:rPr>
        <w:t xml:space="preserve">   </w:t>
      </w:r>
    </w:p>
    <w:p w:rsidR="00A02950" w:rsidRPr="005E04A7" w:rsidRDefault="00697D97" w:rsidP="00697D97">
      <w:pPr>
        <w:pStyle w:val="ListParagraph"/>
        <w:spacing w:after="0" w:line="240" w:lineRule="auto"/>
        <w:ind w:left="800"/>
        <w:jc w:val="both"/>
        <w:rPr>
          <w:rFonts w:ascii="Arial" w:hAnsi="Arial" w:cs="Arial"/>
          <w:bCs/>
          <w:sz w:val="24"/>
          <w:szCs w:val="24"/>
          <w:lang w:val="en-US"/>
        </w:rPr>
      </w:pPr>
      <w:r w:rsidRPr="005E04A7">
        <w:rPr>
          <w:rFonts w:ascii="Arial" w:hAnsi="Arial" w:cs="Arial"/>
          <w:bCs/>
          <w:sz w:val="24"/>
          <w:szCs w:val="24"/>
          <w:lang w:val="en-US"/>
        </w:rPr>
        <w:t xml:space="preserve"> </w:t>
      </w:r>
      <w:r w:rsidR="002D5590" w:rsidRPr="005E04A7">
        <w:rPr>
          <w:rFonts w:ascii="Arial" w:hAnsi="Arial" w:cs="Arial"/>
          <w:bCs/>
          <w:sz w:val="24"/>
          <w:szCs w:val="24"/>
          <w:lang w:val="en-US"/>
        </w:rPr>
        <w:t>R</w:t>
      </w:r>
      <w:r w:rsidRPr="005E04A7">
        <w:rPr>
          <w:rFonts w:ascii="Arial" w:hAnsi="Arial" w:cs="Arial"/>
          <w:bCs/>
          <w:sz w:val="24"/>
          <w:szCs w:val="24"/>
          <w:lang w:val="en-US"/>
        </w:rPr>
        <w:t xml:space="preserve"> </w:t>
      </w:r>
      <w:r w:rsidR="002D5590" w:rsidRPr="005E04A7">
        <w:rPr>
          <w:rFonts w:ascii="Arial" w:hAnsi="Arial" w:cs="Arial"/>
          <w:bCs/>
          <w:sz w:val="24"/>
          <w:szCs w:val="24"/>
          <w:lang w:val="en-US"/>
        </w:rPr>
        <w:t>281,214,251.33</w:t>
      </w:r>
    </w:p>
    <w:p w:rsidR="00A02950" w:rsidRPr="005E04A7" w:rsidRDefault="002D5590" w:rsidP="00697D97">
      <w:pPr>
        <w:pStyle w:val="ListParagraph"/>
        <w:spacing w:after="0" w:line="240" w:lineRule="auto"/>
        <w:ind w:left="0"/>
        <w:jc w:val="both"/>
        <w:rPr>
          <w:rFonts w:ascii="Arial" w:hAnsi="Arial" w:cs="Arial"/>
          <w:bCs/>
          <w:sz w:val="24"/>
          <w:szCs w:val="24"/>
          <w:lang w:val="en-US"/>
        </w:rPr>
      </w:pPr>
      <w:r w:rsidRPr="005E04A7">
        <w:rPr>
          <w:rFonts w:ascii="Arial" w:hAnsi="Arial" w:cs="Arial"/>
          <w:bCs/>
          <w:sz w:val="24"/>
          <w:szCs w:val="24"/>
          <w:lang w:val="en-US"/>
        </w:rPr>
        <w:t xml:space="preserve">(iv) </w:t>
      </w:r>
      <w:r w:rsidR="00697D97" w:rsidRPr="005E04A7">
        <w:rPr>
          <w:rFonts w:ascii="Arial" w:hAnsi="Arial" w:cs="Arial"/>
          <w:bCs/>
          <w:sz w:val="24"/>
          <w:szCs w:val="24"/>
          <w:lang w:val="en-US"/>
        </w:rPr>
        <w:t xml:space="preserve">  </w:t>
      </w:r>
      <w:r w:rsidRPr="005E04A7">
        <w:rPr>
          <w:rFonts w:ascii="Arial" w:hAnsi="Arial" w:cs="Arial"/>
          <w:bCs/>
          <w:sz w:val="24"/>
          <w:szCs w:val="24"/>
          <w:lang w:val="en-US"/>
        </w:rPr>
        <w:t>Total rural expenditure is R</w:t>
      </w:r>
      <w:r w:rsidR="00220BDE" w:rsidRPr="005E04A7">
        <w:rPr>
          <w:rFonts w:ascii="Arial" w:hAnsi="Arial" w:cs="Arial"/>
          <w:bCs/>
          <w:sz w:val="24"/>
          <w:szCs w:val="24"/>
          <w:lang w:val="en-US"/>
        </w:rPr>
        <w:t xml:space="preserve"> </w:t>
      </w:r>
      <w:r w:rsidRPr="005E04A7">
        <w:rPr>
          <w:rFonts w:ascii="Arial" w:hAnsi="Arial" w:cs="Arial"/>
          <w:bCs/>
          <w:sz w:val="24"/>
          <w:szCs w:val="24"/>
          <w:lang w:val="en-US"/>
        </w:rPr>
        <w:t xml:space="preserve">22,698,907.28 </w:t>
      </w:r>
    </w:p>
    <w:p w:rsidR="00697D97" w:rsidRPr="005E04A7" w:rsidRDefault="00697D97">
      <w:pPr>
        <w:pStyle w:val="ListParagraph"/>
        <w:spacing w:after="0" w:line="360" w:lineRule="auto"/>
        <w:ind w:left="0"/>
        <w:jc w:val="both"/>
        <w:rPr>
          <w:rFonts w:ascii="Arial" w:hAnsi="Arial" w:cs="Arial"/>
          <w:bCs/>
          <w:sz w:val="24"/>
          <w:szCs w:val="24"/>
          <w:lang w:val="en-US"/>
        </w:rPr>
      </w:pPr>
    </w:p>
    <w:p w:rsidR="005E04A7" w:rsidRDefault="005E04A7">
      <w:pPr>
        <w:pStyle w:val="ListParagraph"/>
        <w:spacing w:after="0" w:line="360" w:lineRule="auto"/>
        <w:ind w:left="0"/>
        <w:jc w:val="both"/>
        <w:rPr>
          <w:rFonts w:ascii="Arial" w:hAnsi="Arial" w:cs="Arial"/>
          <w:bCs/>
          <w:sz w:val="24"/>
          <w:szCs w:val="24"/>
          <w:u w:val="single"/>
          <w:lang w:val="en-US"/>
        </w:rPr>
      </w:pPr>
    </w:p>
    <w:p w:rsidR="005E04A7" w:rsidRDefault="005E04A7">
      <w:pPr>
        <w:pStyle w:val="ListParagraph"/>
        <w:spacing w:after="0" w:line="360" w:lineRule="auto"/>
        <w:ind w:left="0"/>
        <w:jc w:val="both"/>
        <w:rPr>
          <w:rFonts w:ascii="Arial" w:hAnsi="Arial" w:cs="Arial"/>
          <w:bCs/>
          <w:sz w:val="24"/>
          <w:szCs w:val="24"/>
          <w:u w:val="single"/>
          <w:lang w:val="en-US"/>
        </w:rPr>
      </w:pPr>
    </w:p>
    <w:p w:rsidR="00697D97" w:rsidRPr="005E04A7" w:rsidRDefault="00697D97">
      <w:pPr>
        <w:pStyle w:val="ListParagraph"/>
        <w:spacing w:after="0" w:line="360" w:lineRule="auto"/>
        <w:ind w:left="0"/>
        <w:jc w:val="both"/>
        <w:rPr>
          <w:rFonts w:ascii="Arial" w:hAnsi="Arial" w:cs="Arial"/>
          <w:bCs/>
          <w:sz w:val="24"/>
          <w:szCs w:val="24"/>
          <w:u w:val="single"/>
          <w:lang w:val="en-US"/>
        </w:rPr>
      </w:pPr>
      <w:r w:rsidRPr="005E04A7">
        <w:rPr>
          <w:rFonts w:ascii="Arial" w:hAnsi="Arial" w:cs="Arial"/>
          <w:bCs/>
          <w:sz w:val="24"/>
          <w:szCs w:val="24"/>
          <w:u w:val="single"/>
          <w:lang w:val="en-US"/>
        </w:rPr>
        <w:t>NDA</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 xml:space="preserve">b) The procurement percentage allocation was against a total of R 26 574 444 and R 30 234 710 for the 2021-22 and 2022-23 financial years respectively. It is broken down as follows: </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 xml:space="preserve">(i) </w:t>
      </w:r>
      <w:r w:rsidR="00DF07CA" w:rsidRPr="005E04A7">
        <w:rPr>
          <w:rFonts w:ascii="Arial" w:hAnsi="Arial" w:cs="Arial"/>
          <w:sz w:val="24"/>
          <w:szCs w:val="24"/>
          <w:lang w:val="en-US"/>
        </w:rPr>
        <w:t>R 23</w:t>
      </w:r>
      <w:r w:rsidRPr="005E04A7">
        <w:rPr>
          <w:rFonts w:ascii="Arial" w:hAnsi="Arial" w:cs="Arial"/>
          <w:sz w:val="24"/>
          <w:szCs w:val="24"/>
          <w:lang w:val="en-US"/>
        </w:rPr>
        <w:t> 908 290 and R 22 421 761 were allocated towards Small, Medium and Micro Enterprises which constitute 79,1% and 84,4% for the aa) 2021-22 and bb) 2022-23 financial years respectively.</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 xml:space="preserve">(ii) R 124 942 and R 10 735 </w:t>
      </w:r>
      <w:r w:rsidR="00D74515" w:rsidRPr="005E04A7">
        <w:rPr>
          <w:rFonts w:ascii="Arial" w:hAnsi="Arial" w:cs="Arial"/>
          <w:sz w:val="24"/>
          <w:szCs w:val="24"/>
          <w:lang w:val="en-US"/>
        </w:rPr>
        <w:t>were</w:t>
      </w:r>
      <w:r w:rsidRPr="005E04A7">
        <w:rPr>
          <w:rFonts w:ascii="Arial" w:hAnsi="Arial" w:cs="Arial"/>
          <w:sz w:val="24"/>
          <w:szCs w:val="24"/>
          <w:lang w:val="en-US"/>
        </w:rPr>
        <w:t xml:space="preserve"> allocated towards Cooperatives which constitutes 0,4% and 0,04% for the aa) 2021-22 and bb) 2022-23 financial years respectively.</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 xml:space="preserve">(iii) R 845 319 and R </w:t>
      </w:r>
      <w:r w:rsidR="00DF07CA" w:rsidRPr="005E04A7">
        <w:rPr>
          <w:rFonts w:ascii="Arial" w:hAnsi="Arial" w:cs="Arial"/>
          <w:sz w:val="24"/>
          <w:szCs w:val="24"/>
          <w:lang w:val="en-US"/>
        </w:rPr>
        <w:t xml:space="preserve">   </w:t>
      </w:r>
      <w:r w:rsidRPr="005E04A7">
        <w:rPr>
          <w:rFonts w:ascii="Arial" w:hAnsi="Arial" w:cs="Arial"/>
          <w:sz w:val="24"/>
          <w:szCs w:val="24"/>
          <w:lang w:val="en-US"/>
        </w:rPr>
        <w:t xml:space="preserve">1 977 836 was allocated towards Township Enterprises which constitutes 2,8% and 7,4% for the aa) 2021-22 and bb) 2022-23 financial years respectively; and </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(iv) R</w:t>
      </w:r>
      <w:r w:rsidR="00DF07CA" w:rsidRPr="005E04A7">
        <w:rPr>
          <w:rFonts w:ascii="Arial" w:hAnsi="Arial" w:cs="Arial"/>
          <w:sz w:val="24"/>
          <w:szCs w:val="24"/>
          <w:lang w:val="en-US"/>
        </w:rPr>
        <w:t xml:space="preserve"> </w:t>
      </w:r>
      <w:r w:rsidRPr="005E04A7">
        <w:rPr>
          <w:rFonts w:ascii="Arial" w:hAnsi="Arial" w:cs="Arial"/>
          <w:sz w:val="24"/>
          <w:szCs w:val="24"/>
          <w:lang w:val="en-US"/>
        </w:rPr>
        <w:t>504 377 and R</w:t>
      </w:r>
      <w:r w:rsidR="00DF07CA" w:rsidRPr="005E04A7">
        <w:rPr>
          <w:rFonts w:ascii="Arial" w:hAnsi="Arial" w:cs="Arial"/>
          <w:sz w:val="24"/>
          <w:szCs w:val="24"/>
          <w:lang w:val="en-US"/>
        </w:rPr>
        <w:t xml:space="preserve"> </w:t>
      </w:r>
      <w:r w:rsidRPr="005E04A7">
        <w:rPr>
          <w:rFonts w:ascii="Arial" w:hAnsi="Arial" w:cs="Arial"/>
          <w:sz w:val="24"/>
          <w:szCs w:val="24"/>
          <w:lang w:val="en-US"/>
        </w:rPr>
        <w:t xml:space="preserve">723 234 </w:t>
      </w:r>
      <w:r w:rsidR="00D74515" w:rsidRPr="005E04A7">
        <w:rPr>
          <w:rFonts w:ascii="Arial" w:hAnsi="Arial" w:cs="Arial"/>
          <w:sz w:val="24"/>
          <w:szCs w:val="24"/>
          <w:lang w:val="en-US"/>
        </w:rPr>
        <w:t>were</w:t>
      </w:r>
      <w:r w:rsidRPr="005E04A7">
        <w:rPr>
          <w:rFonts w:ascii="Arial" w:hAnsi="Arial" w:cs="Arial"/>
          <w:sz w:val="24"/>
          <w:szCs w:val="24"/>
          <w:lang w:val="en-US"/>
        </w:rPr>
        <w:t xml:space="preserve"> allocated towards Rural Enterprises which constitutes 1,7% and 2,7% for the aa) 2021-22 and bb) 2022-23 financial years respectively. </w:t>
      </w:r>
    </w:p>
    <w:p w:rsidR="00697D97" w:rsidRPr="005E04A7" w:rsidRDefault="00697D97" w:rsidP="00697D97">
      <w:pPr>
        <w:spacing w:before="100" w:beforeAutospacing="1" w:after="100" w:afterAutospacing="1"/>
        <w:jc w:val="both"/>
        <w:rPr>
          <w:rFonts w:ascii="Arial" w:hAnsi="Arial" w:cs="Arial"/>
          <w:sz w:val="24"/>
          <w:szCs w:val="24"/>
          <w:lang w:val="en-US"/>
        </w:rPr>
      </w:pPr>
      <w:r w:rsidRPr="005E04A7">
        <w:rPr>
          <w:rFonts w:ascii="Arial" w:hAnsi="Arial" w:cs="Arial"/>
          <w:sz w:val="24"/>
          <w:szCs w:val="24"/>
          <w:lang w:val="en-US"/>
        </w:rPr>
        <w:t xml:space="preserve">The table below provides a detailed breakdown of the procurement spend per category for </w:t>
      </w:r>
      <w:r w:rsidR="00D74515" w:rsidRPr="005E04A7">
        <w:rPr>
          <w:rFonts w:ascii="Arial" w:hAnsi="Arial" w:cs="Arial"/>
          <w:sz w:val="24"/>
          <w:szCs w:val="24"/>
          <w:lang w:val="en-US"/>
        </w:rPr>
        <w:t xml:space="preserve">the </w:t>
      </w:r>
      <w:r w:rsidRPr="005E04A7">
        <w:rPr>
          <w:rFonts w:ascii="Arial" w:hAnsi="Arial" w:cs="Arial"/>
          <w:sz w:val="24"/>
          <w:szCs w:val="24"/>
          <w:lang w:val="en-US"/>
        </w:rPr>
        <w:t xml:space="preserve">2021-22 and 2022-23 financial years. </w:t>
      </w:r>
    </w:p>
    <w:p w:rsidR="00697D97" w:rsidRPr="005E04A7" w:rsidRDefault="00697D97" w:rsidP="00697D97">
      <w:pPr>
        <w:spacing w:before="100" w:beforeAutospacing="1" w:after="100" w:afterAutospacing="1"/>
        <w:jc w:val="both"/>
        <w:rPr>
          <w:rFonts w:ascii="Arial" w:hAnsi="Arial" w:cs="Arial"/>
          <w:sz w:val="24"/>
          <w:szCs w:val="24"/>
        </w:rPr>
      </w:pPr>
      <w:r w:rsidRPr="005E04A7">
        <w:rPr>
          <w:rFonts w:ascii="Arial" w:hAnsi="Arial" w:cs="Arial"/>
          <w:noProof/>
          <w:sz w:val="24"/>
          <w:szCs w:val="24"/>
          <w:lang w:eastAsia="en-ZA"/>
        </w:rPr>
        <w:drawing>
          <wp:inline distT="0" distB="0" distL="0" distR="0">
            <wp:extent cx="4978400" cy="2527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8400" cy="2527300"/>
                    </a:xfrm>
                    <a:prstGeom prst="rect">
                      <a:avLst/>
                    </a:prstGeom>
                    <a:noFill/>
                    <a:ln>
                      <a:noFill/>
                    </a:ln>
                  </pic:spPr>
                </pic:pic>
              </a:graphicData>
            </a:graphic>
          </wp:inline>
        </w:drawing>
      </w:r>
    </w:p>
    <w:p w:rsidR="00697D97" w:rsidRPr="005E04A7" w:rsidRDefault="00697D97" w:rsidP="00697D97">
      <w:pPr>
        <w:spacing w:before="100" w:beforeAutospacing="1" w:after="100" w:afterAutospacing="1"/>
        <w:jc w:val="both"/>
        <w:rPr>
          <w:rFonts w:ascii="Arial" w:hAnsi="Arial" w:cs="Arial"/>
          <w:sz w:val="24"/>
          <w:szCs w:val="24"/>
        </w:rPr>
      </w:pPr>
      <w:r w:rsidRPr="005E04A7">
        <w:rPr>
          <w:rFonts w:ascii="Arial" w:hAnsi="Arial" w:cs="Arial"/>
          <w:noProof/>
          <w:sz w:val="24"/>
          <w:szCs w:val="24"/>
          <w:lang w:eastAsia="en-ZA"/>
        </w:rPr>
        <w:drawing>
          <wp:inline distT="0" distB="0" distL="0" distR="0">
            <wp:extent cx="4978400"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8400" cy="2914650"/>
                    </a:xfrm>
                    <a:prstGeom prst="rect">
                      <a:avLst/>
                    </a:prstGeom>
                    <a:noFill/>
                    <a:ln>
                      <a:noFill/>
                    </a:ln>
                  </pic:spPr>
                </pic:pic>
              </a:graphicData>
            </a:graphic>
          </wp:inline>
        </w:drawing>
      </w:r>
    </w:p>
    <w:p w:rsidR="00697D97" w:rsidRPr="005E04A7" w:rsidRDefault="00697D97">
      <w:pPr>
        <w:pStyle w:val="ListParagraph"/>
        <w:spacing w:after="0" w:line="360" w:lineRule="auto"/>
        <w:ind w:left="0"/>
        <w:jc w:val="both"/>
        <w:rPr>
          <w:rFonts w:ascii="Arial" w:hAnsi="Arial" w:cs="Arial"/>
          <w:bCs/>
          <w:sz w:val="24"/>
          <w:szCs w:val="24"/>
          <w:lang w:val="en-US"/>
        </w:rPr>
      </w:pPr>
    </w:p>
    <w:p w:rsidR="00A02950" w:rsidRPr="005E04A7" w:rsidRDefault="00A02950">
      <w:pPr>
        <w:spacing w:after="0" w:line="240" w:lineRule="auto"/>
        <w:jc w:val="both"/>
        <w:rPr>
          <w:rFonts w:ascii="Arial" w:hAnsi="Arial" w:cs="Arial"/>
          <w:bCs/>
          <w:sz w:val="24"/>
          <w:szCs w:val="24"/>
          <w:lang w:val="en-US"/>
        </w:rPr>
      </w:pPr>
      <w:bookmarkStart w:id="0" w:name="_Hlk88819804"/>
    </w:p>
    <w:p w:rsidR="00A02950" w:rsidRDefault="00A02950">
      <w:pPr>
        <w:spacing w:after="0" w:line="240" w:lineRule="auto"/>
        <w:jc w:val="both"/>
        <w:rPr>
          <w:rFonts w:ascii="Arial" w:hAnsi="Arial" w:cs="Arial"/>
          <w:bCs/>
          <w:sz w:val="40"/>
          <w:szCs w:val="40"/>
          <w:lang w:val="en-US"/>
        </w:rPr>
      </w:pPr>
    </w:p>
    <w:p w:rsidR="00A02950" w:rsidRDefault="00A02950">
      <w:pPr>
        <w:spacing w:after="0" w:line="240" w:lineRule="auto"/>
        <w:jc w:val="both"/>
        <w:rPr>
          <w:rFonts w:ascii="Arial" w:hAnsi="Arial" w:cs="Arial"/>
          <w:bCs/>
          <w:sz w:val="40"/>
          <w:szCs w:val="40"/>
          <w:lang w:val="en-US"/>
        </w:rPr>
      </w:pPr>
    </w:p>
    <w:p w:rsidR="00A02950" w:rsidRDefault="00A02950">
      <w:pPr>
        <w:spacing w:after="0" w:line="240" w:lineRule="auto"/>
        <w:jc w:val="both"/>
        <w:rPr>
          <w:rFonts w:ascii="Arial" w:hAnsi="Arial" w:cs="Arial"/>
          <w:bCs/>
          <w:sz w:val="40"/>
          <w:szCs w:val="40"/>
          <w:lang w:val="en-US"/>
        </w:rPr>
      </w:pPr>
    </w:p>
    <w:bookmarkEnd w:id="0"/>
    <w:p w:rsidR="00A02950" w:rsidRDefault="00A02950">
      <w:pPr>
        <w:spacing w:after="0" w:line="240" w:lineRule="auto"/>
        <w:jc w:val="both"/>
        <w:rPr>
          <w:rFonts w:ascii="Arial" w:hAnsi="Arial" w:cs="Arial"/>
          <w:bCs/>
          <w:sz w:val="40"/>
          <w:szCs w:val="40"/>
          <w:lang w:val="en-US"/>
        </w:rPr>
      </w:pPr>
    </w:p>
    <w:sectPr w:rsidR="00A02950" w:rsidSect="007B7F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43" w:rsidRDefault="00650E43">
      <w:pPr>
        <w:spacing w:line="240" w:lineRule="auto"/>
      </w:pPr>
      <w:r>
        <w:separator/>
      </w:r>
    </w:p>
  </w:endnote>
  <w:endnote w:type="continuationSeparator" w:id="0">
    <w:p w:rsidR="00650E43" w:rsidRDefault="00650E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A02950" w:rsidRDefault="007B7FCB">
        <w:pPr>
          <w:pStyle w:val="Footer"/>
          <w:jc w:val="right"/>
        </w:pPr>
        <w:r>
          <w:fldChar w:fldCharType="begin"/>
        </w:r>
        <w:r w:rsidR="002D5590">
          <w:instrText xml:space="preserve"> PAGE   \* MERGEFORMAT </w:instrText>
        </w:r>
        <w:r>
          <w:fldChar w:fldCharType="separate"/>
        </w:r>
        <w:r w:rsidR="00650E43">
          <w:rPr>
            <w:noProof/>
          </w:rPr>
          <w:t>1</w:t>
        </w:r>
        <w:r>
          <w:fldChar w:fldCharType="end"/>
        </w:r>
      </w:p>
    </w:sdtContent>
  </w:sdt>
  <w:p w:rsidR="00A02950" w:rsidRDefault="00A02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43" w:rsidRDefault="00650E43">
      <w:pPr>
        <w:spacing w:after="0"/>
      </w:pPr>
      <w:r>
        <w:separator/>
      </w:r>
    </w:p>
  </w:footnote>
  <w:footnote w:type="continuationSeparator" w:id="0">
    <w:p w:rsidR="00650E43" w:rsidRDefault="00650E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50" w:rsidRDefault="002D5590">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C78"/>
    <w:multiLevelType w:val="hybridMultilevel"/>
    <w:tmpl w:val="2CB81BC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73C2359B"/>
    <w:multiLevelType w:val="hybridMultilevel"/>
    <w:tmpl w:val="5FBC3A00"/>
    <w:lvl w:ilvl="0" w:tplc="37BA35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2D90"/>
    <w:rsid w:val="000D465F"/>
    <w:rsid w:val="000D4EA6"/>
    <w:rsid w:val="000E3F6F"/>
    <w:rsid w:val="000F1964"/>
    <w:rsid w:val="000F1F08"/>
    <w:rsid w:val="000F33EF"/>
    <w:rsid w:val="00103D68"/>
    <w:rsid w:val="001046D3"/>
    <w:rsid w:val="0010487E"/>
    <w:rsid w:val="00106780"/>
    <w:rsid w:val="00112973"/>
    <w:rsid w:val="0011699F"/>
    <w:rsid w:val="00120B11"/>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86A10"/>
    <w:rsid w:val="0019267C"/>
    <w:rsid w:val="00193716"/>
    <w:rsid w:val="00193B0E"/>
    <w:rsid w:val="001940D1"/>
    <w:rsid w:val="001A2DEE"/>
    <w:rsid w:val="001A6B27"/>
    <w:rsid w:val="001B0AFA"/>
    <w:rsid w:val="001B547F"/>
    <w:rsid w:val="001B636D"/>
    <w:rsid w:val="001B7935"/>
    <w:rsid w:val="001B7CA0"/>
    <w:rsid w:val="001B7CEF"/>
    <w:rsid w:val="001C04B5"/>
    <w:rsid w:val="001C5424"/>
    <w:rsid w:val="001C79BF"/>
    <w:rsid w:val="001D059F"/>
    <w:rsid w:val="001D0750"/>
    <w:rsid w:val="001D3C87"/>
    <w:rsid w:val="001D615F"/>
    <w:rsid w:val="001E22C5"/>
    <w:rsid w:val="001E322B"/>
    <w:rsid w:val="001F1C3B"/>
    <w:rsid w:val="00205109"/>
    <w:rsid w:val="002052D4"/>
    <w:rsid w:val="00207160"/>
    <w:rsid w:val="00214E66"/>
    <w:rsid w:val="00220BDE"/>
    <w:rsid w:val="00224843"/>
    <w:rsid w:val="002346B4"/>
    <w:rsid w:val="0024771A"/>
    <w:rsid w:val="00253C36"/>
    <w:rsid w:val="002543E4"/>
    <w:rsid w:val="002559B6"/>
    <w:rsid w:val="00262858"/>
    <w:rsid w:val="00264E4F"/>
    <w:rsid w:val="00270B32"/>
    <w:rsid w:val="00270F3D"/>
    <w:rsid w:val="002738BB"/>
    <w:rsid w:val="002810E9"/>
    <w:rsid w:val="00281672"/>
    <w:rsid w:val="002918BF"/>
    <w:rsid w:val="002932D5"/>
    <w:rsid w:val="00295367"/>
    <w:rsid w:val="002A66E4"/>
    <w:rsid w:val="002B1DA6"/>
    <w:rsid w:val="002B3395"/>
    <w:rsid w:val="002B387B"/>
    <w:rsid w:val="002B5B12"/>
    <w:rsid w:val="002B5DEF"/>
    <w:rsid w:val="002B6874"/>
    <w:rsid w:val="002B7F4E"/>
    <w:rsid w:val="002D4C7A"/>
    <w:rsid w:val="002D5590"/>
    <w:rsid w:val="002E7AA7"/>
    <w:rsid w:val="002F0131"/>
    <w:rsid w:val="002F04B7"/>
    <w:rsid w:val="002F17AE"/>
    <w:rsid w:val="003055D8"/>
    <w:rsid w:val="00306CD5"/>
    <w:rsid w:val="00310F71"/>
    <w:rsid w:val="00317C62"/>
    <w:rsid w:val="00321839"/>
    <w:rsid w:val="00322453"/>
    <w:rsid w:val="00327AEE"/>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87"/>
    <w:rsid w:val="003B2FF5"/>
    <w:rsid w:val="003B4252"/>
    <w:rsid w:val="003B6AFE"/>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49AB"/>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409"/>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4F23"/>
    <w:rsid w:val="005D5EBD"/>
    <w:rsid w:val="005D7EF1"/>
    <w:rsid w:val="005E04A7"/>
    <w:rsid w:val="005E0805"/>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42ADD"/>
    <w:rsid w:val="00645D55"/>
    <w:rsid w:val="00646C84"/>
    <w:rsid w:val="0065044E"/>
    <w:rsid w:val="00650E43"/>
    <w:rsid w:val="0065360F"/>
    <w:rsid w:val="00653B78"/>
    <w:rsid w:val="006542D2"/>
    <w:rsid w:val="00656F64"/>
    <w:rsid w:val="00661786"/>
    <w:rsid w:val="00665F08"/>
    <w:rsid w:val="00676187"/>
    <w:rsid w:val="0068260E"/>
    <w:rsid w:val="00682F8C"/>
    <w:rsid w:val="00684CC4"/>
    <w:rsid w:val="00685F7F"/>
    <w:rsid w:val="006867B0"/>
    <w:rsid w:val="00697D97"/>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41B1"/>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B7FCB"/>
    <w:rsid w:val="007C792C"/>
    <w:rsid w:val="007D0892"/>
    <w:rsid w:val="007D6644"/>
    <w:rsid w:val="007D78D7"/>
    <w:rsid w:val="007E24D7"/>
    <w:rsid w:val="007E387C"/>
    <w:rsid w:val="007E4506"/>
    <w:rsid w:val="007E799B"/>
    <w:rsid w:val="007F23EF"/>
    <w:rsid w:val="007F4E1A"/>
    <w:rsid w:val="007F7022"/>
    <w:rsid w:val="00801103"/>
    <w:rsid w:val="00803018"/>
    <w:rsid w:val="0080530C"/>
    <w:rsid w:val="008107F9"/>
    <w:rsid w:val="0081327A"/>
    <w:rsid w:val="00817F4B"/>
    <w:rsid w:val="00823DF8"/>
    <w:rsid w:val="008305AC"/>
    <w:rsid w:val="00837E04"/>
    <w:rsid w:val="00843136"/>
    <w:rsid w:val="00850C63"/>
    <w:rsid w:val="00853083"/>
    <w:rsid w:val="008572CA"/>
    <w:rsid w:val="00861672"/>
    <w:rsid w:val="008617BF"/>
    <w:rsid w:val="00870526"/>
    <w:rsid w:val="00873A25"/>
    <w:rsid w:val="0087491C"/>
    <w:rsid w:val="0088698A"/>
    <w:rsid w:val="00892AE6"/>
    <w:rsid w:val="008A43F9"/>
    <w:rsid w:val="008A5C17"/>
    <w:rsid w:val="008A5D65"/>
    <w:rsid w:val="008B0AEE"/>
    <w:rsid w:val="008B175E"/>
    <w:rsid w:val="008B3F12"/>
    <w:rsid w:val="008B5901"/>
    <w:rsid w:val="008C1BDF"/>
    <w:rsid w:val="008D3585"/>
    <w:rsid w:val="008D577E"/>
    <w:rsid w:val="008D671E"/>
    <w:rsid w:val="008E06E5"/>
    <w:rsid w:val="008E0887"/>
    <w:rsid w:val="008E3CB8"/>
    <w:rsid w:val="008E4537"/>
    <w:rsid w:val="008E5107"/>
    <w:rsid w:val="008E5698"/>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DE3"/>
    <w:rsid w:val="009760C8"/>
    <w:rsid w:val="00976B23"/>
    <w:rsid w:val="0098193E"/>
    <w:rsid w:val="009850F2"/>
    <w:rsid w:val="0099067D"/>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6E6"/>
    <w:rsid w:val="009E08CF"/>
    <w:rsid w:val="009E1947"/>
    <w:rsid w:val="009E2FDB"/>
    <w:rsid w:val="009E4955"/>
    <w:rsid w:val="009E65E5"/>
    <w:rsid w:val="009E7540"/>
    <w:rsid w:val="009F13EC"/>
    <w:rsid w:val="009F26B2"/>
    <w:rsid w:val="00A02950"/>
    <w:rsid w:val="00A03249"/>
    <w:rsid w:val="00A0436F"/>
    <w:rsid w:val="00A1031A"/>
    <w:rsid w:val="00A11A40"/>
    <w:rsid w:val="00A11EBD"/>
    <w:rsid w:val="00A12E03"/>
    <w:rsid w:val="00A20D1C"/>
    <w:rsid w:val="00A21AE1"/>
    <w:rsid w:val="00A32DA2"/>
    <w:rsid w:val="00A34E32"/>
    <w:rsid w:val="00A400BA"/>
    <w:rsid w:val="00A42451"/>
    <w:rsid w:val="00A436F0"/>
    <w:rsid w:val="00A6429F"/>
    <w:rsid w:val="00A64E8E"/>
    <w:rsid w:val="00A65C30"/>
    <w:rsid w:val="00A73D6D"/>
    <w:rsid w:val="00A7417C"/>
    <w:rsid w:val="00A7719B"/>
    <w:rsid w:val="00A84785"/>
    <w:rsid w:val="00A8600B"/>
    <w:rsid w:val="00A870F2"/>
    <w:rsid w:val="00A8760F"/>
    <w:rsid w:val="00A930EB"/>
    <w:rsid w:val="00A9378F"/>
    <w:rsid w:val="00A93D60"/>
    <w:rsid w:val="00A97C86"/>
    <w:rsid w:val="00AA29C3"/>
    <w:rsid w:val="00AA6B3F"/>
    <w:rsid w:val="00AB0772"/>
    <w:rsid w:val="00AB10C6"/>
    <w:rsid w:val="00AB25AF"/>
    <w:rsid w:val="00AB6425"/>
    <w:rsid w:val="00AB6B86"/>
    <w:rsid w:val="00AC2371"/>
    <w:rsid w:val="00AC620A"/>
    <w:rsid w:val="00AC6B28"/>
    <w:rsid w:val="00AD0B9D"/>
    <w:rsid w:val="00AD58FA"/>
    <w:rsid w:val="00AD686B"/>
    <w:rsid w:val="00AE09B4"/>
    <w:rsid w:val="00AE14BC"/>
    <w:rsid w:val="00AE2DB0"/>
    <w:rsid w:val="00AE3CAA"/>
    <w:rsid w:val="00AF150C"/>
    <w:rsid w:val="00AF1D7E"/>
    <w:rsid w:val="00AF7818"/>
    <w:rsid w:val="00B02F08"/>
    <w:rsid w:val="00B049D9"/>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A2D14"/>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0146"/>
    <w:rsid w:val="00C414B6"/>
    <w:rsid w:val="00C4208C"/>
    <w:rsid w:val="00C458DA"/>
    <w:rsid w:val="00C468BA"/>
    <w:rsid w:val="00C52EF3"/>
    <w:rsid w:val="00C568A1"/>
    <w:rsid w:val="00C568E4"/>
    <w:rsid w:val="00C650E0"/>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74515"/>
    <w:rsid w:val="00D80E2E"/>
    <w:rsid w:val="00D83A81"/>
    <w:rsid w:val="00DA1E4E"/>
    <w:rsid w:val="00DA2755"/>
    <w:rsid w:val="00DA4793"/>
    <w:rsid w:val="00DB32F0"/>
    <w:rsid w:val="00DB48E3"/>
    <w:rsid w:val="00DC028F"/>
    <w:rsid w:val="00DC221D"/>
    <w:rsid w:val="00DC475B"/>
    <w:rsid w:val="00DC5658"/>
    <w:rsid w:val="00DD69F1"/>
    <w:rsid w:val="00DD6AF0"/>
    <w:rsid w:val="00DD7FD5"/>
    <w:rsid w:val="00DE1FB3"/>
    <w:rsid w:val="00DF07CA"/>
    <w:rsid w:val="00DF142E"/>
    <w:rsid w:val="00DF27C3"/>
    <w:rsid w:val="00DF3CF2"/>
    <w:rsid w:val="00DF476E"/>
    <w:rsid w:val="00E00811"/>
    <w:rsid w:val="00E07F82"/>
    <w:rsid w:val="00E10807"/>
    <w:rsid w:val="00E15F95"/>
    <w:rsid w:val="00E21BE6"/>
    <w:rsid w:val="00E3060F"/>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0FF"/>
    <w:rsid w:val="00E74AD9"/>
    <w:rsid w:val="00E76629"/>
    <w:rsid w:val="00E80B90"/>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6822"/>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6DC61EA5"/>
    <w:rsid w:val="744B28C9"/>
    <w:rsid w:val="779262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CB"/>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7B7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B7FCB"/>
    <w:pPr>
      <w:spacing w:after="0" w:line="240" w:lineRule="auto"/>
    </w:pPr>
    <w:rPr>
      <w:rFonts w:ascii="Tahoma" w:hAnsi="Tahoma" w:cs="Tahoma"/>
      <w:sz w:val="16"/>
      <w:szCs w:val="16"/>
    </w:rPr>
  </w:style>
  <w:style w:type="paragraph" w:styleId="BodyTextIndent">
    <w:name w:val="Body Text Indent"/>
    <w:basedOn w:val="Normal"/>
    <w:link w:val="BodyTextIndentChar1"/>
    <w:qFormat/>
    <w:rsid w:val="007B7FCB"/>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rsid w:val="007B7FCB"/>
    <w:pPr>
      <w:spacing w:after="120" w:line="480" w:lineRule="auto"/>
      <w:ind w:left="283"/>
    </w:pPr>
  </w:style>
  <w:style w:type="character" w:styleId="Emphasis">
    <w:name w:val="Emphasis"/>
    <w:basedOn w:val="DefaultParagraphFont"/>
    <w:uiPriority w:val="20"/>
    <w:qFormat/>
    <w:rsid w:val="007B7FCB"/>
    <w:rPr>
      <w:b/>
      <w:bCs/>
    </w:rPr>
  </w:style>
  <w:style w:type="paragraph" w:styleId="Footer">
    <w:name w:val="footer"/>
    <w:basedOn w:val="Normal"/>
    <w:link w:val="FooterChar"/>
    <w:uiPriority w:val="99"/>
    <w:unhideWhenUsed/>
    <w:qFormat/>
    <w:rsid w:val="007B7FCB"/>
    <w:pPr>
      <w:tabs>
        <w:tab w:val="center" w:pos="4680"/>
        <w:tab w:val="right" w:pos="9360"/>
      </w:tabs>
      <w:spacing w:after="0" w:line="240" w:lineRule="auto"/>
    </w:pPr>
  </w:style>
  <w:style w:type="paragraph" w:styleId="Header">
    <w:name w:val="header"/>
    <w:basedOn w:val="Normal"/>
    <w:link w:val="HeaderChar"/>
    <w:uiPriority w:val="99"/>
    <w:unhideWhenUsed/>
    <w:rsid w:val="007B7FCB"/>
    <w:pPr>
      <w:tabs>
        <w:tab w:val="center" w:pos="4513"/>
        <w:tab w:val="right" w:pos="9026"/>
      </w:tabs>
      <w:spacing w:after="0" w:line="240" w:lineRule="auto"/>
    </w:pPr>
  </w:style>
  <w:style w:type="character" w:styleId="Hyperlink">
    <w:name w:val="Hyperlink"/>
    <w:basedOn w:val="DefaultParagraphFont"/>
    <w:uiPriority w:val="99"/>
    <w:unhideWhenUsed/>
    <w:qFormat/>
    <w:rsid w:val="007B7FCB"/>
    <w:rPr>
      <w:color w:val="0000FF" w:themeColor="hyperlink"/>
      <w:u w:val="single"/>
    </w:rPr>
  </w:style>
  <w:style w:type="paragraph" w:styleId="NormalWeb">
    <w:name w:val="Normal (Web)"/>
    <w:basedOn w:val="Normal"/>
    <w:uiPriority w:val="99"/>
    <w:semiHidden/>
    <w:unhideWhenUsed/>
    <w:qFormat/>
    <w:rsid w:val="007B7FC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7B7FCB"/>
    <w:pPr>
      <w:spacing w:after="0" w:line="240" w:lineRule="auto"/>
    </w:pPr>
    <w:rPr>
      <w:rFonts w:ascii="Calibri" w:hAnsi="Calibri" w:cs="Consolas"/>
      <w:szCs w:val="21"/>
    </w:rPr>
  </w:style>
  <w:style w:type="table" w:styleId="TableGrid">
    <w:name w:val="Table Grid"/>
    <w:basedOn w:val="TableNormal"/>
    <w:uiPriority w:val="59"/>
    <w:qFormat/>
    <w:rsid w:val="007B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B7FCB"/>
  </w:style>
  <w:style w:type="character" w:customStyle="1" w:styleId="BodyTextIndentChar">
    <w:name w:val="Body Text Indent Char"/>
    <w:basedOn w:val="DefaultParagraphFont"/>
    <w:uiPriority w:val="99"/>
    <w:semiHidden/>
    <w:rsid w:val="007B7FCB"/>
  </w:style>
  <w:style w:type="character" w:customStyle="1" w:styleId="BodyTextIndentChar1">
    <w:name w:val="Body Text Indent Char1"/>
    <w:link w:val="BodyTextIndent"/>
    <w:locked/>
    <w:rsid w:val="007B7FCB"/>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B7FCB"/>
    <w:pPr>
      <w:ind w:left="720"/>
      <w:contextualSpacing/>
    </w:pPr>
  </w:style>
  <w:style w:type="character" w:customStyle="1" w:styleId="BalloonTextChar">
    <w:name w:val="Balloon Text Char"/>
    <w:basedOn w:val="DefaultParagraphFont"/>
    <w:link w:val="BalloonText"/>
    <w:uiPriority w:val="99"/>
    <w:semiHidden/>
    <w:qFormat/>
    <w:rsid w:val="007B7FCB"/>
    <w:rPr>
      <w:rFonts w:ascii="Tahoma" w:hAnsi="Tahoma" w:cs="Tahoma"/>
      <w:sz w:val="16"/>
      <w:szCs w:val="16"/>
    </w:rPr>
  </w:style>
  <w:style w:type="character" w:customStyle="1" w:styleId="ListParagraphChar">
    <w:name w:val="List Paragraph Char"/>
    <w:link w:val="ListParagraph"/>
    <w:uiPriority w:val="34"/>
    <w:qFormat/>
    <w:locked/>
    <w:rsid w:val="007B7FCB"/>
  </w:style>
  <w:style w:type="paragraph" w:customStyle="1" w:styleId="Default">
    <w:name w:val="Default"/>
    <w:qFormat/>
    <w:rsid w:val="007B7FCB"/>
    <w:pPr>
      <w:autoSpaceDE w:val="0"/>
      <w:autoSpaceDN w:val="0"/>
      <w:adjustRightInd w:val="0"/>
    </w:pPr>
    <w:rPr>
      <w:rFonts w:ascii="Arial" w:hAnsi="Arial" w:cs="Arial"/>
      <w:color w:val="000000"/>
      <w:sz w:val="24"/>
      <w:szCs w:val="24"/>
      <w:lang w:val="en-ZA" w:eastAsia="en-US"/>
    </w:rPr>
  </w:style>
  <w:style w:type="character" w:customStyle="1" w:styleId="FooterChar">
    <w:name w:val="Footer Char"/>
    <w:basedOn w:val="DefaultParagraphFont"/>
    <w:link w:val="Footer"/>
    <w:uiPriority w:val="99"/>
    <w:qFormat/>
    <w:rsid w:val="007B7FCB"/>
  </w:style>
  <w:style w:type="character" w:customStyle="1" w:styleId="BodyTextIndent2Char">
    <w:name w:val="Body Text Indent 2 Char"/>
    <w:basedOn w:val="DefaultParagraphFont"/>
    <w:link w:val="BodyTextIndent2"/>
    <w:uiPriority w:val="99"/>
    <w:semiHidden/>
    <w:qFormat/>
    <w:rsid w:val="007B7FCB"/>
  </w:style>
  <w:style w:type="paragraph" w:styleId="NoSpacing">
    <w:name w:val="No Spacing"/>
    <w:uiPriority w:val="1"/>
    <w:qFormat/>
    <w:rsid w:val="007B7FCB"/>
    <w:rPr>
      <w:sz w:val="22"/>
      <w:szCs w:val="22"/>
      <w:lang w:eastAsia="en-US"/>
    </w:rPr>
  </w:style>
  <w:style w:type="character" w:customStyle="1" w:styleId="PlainTextChar">
    <w:name w:val="Plain Text Char"/>
    <w:basedOn w:val="DefaultParagraphFont"/>
    <w:link w:val="PlainText"/>
    <w:uiPriority w:val="99"/>
    <w:qFormat/>
    <w:rsid w:val="007B7FCB"/>
    <w:rPr>
      <w:rFonts w:ascii="Calibri" w:hAnsi="Calibri" w:cs="Consolas"/>
      <w:szCs w:val="21"/>
    </w:rPr>
  </w:style>
  <w:style w:type="character" w:customStyle="1" w:styleId="st1">
    <w:name w:val="st1"/>
    <w:qFormat/>
    <w:rsid w:val="007B7FCB"/>
    <w:rPr>
      <w:rFonts w:cs="Times New Roman"/>
    </w:rPr>
  </w:style>
  <w:style w:type="character" w:customStyle="1" w:styleId="Heading1Char">
    <w:name w:val="Heading 1 Char"/>
    <w:basedOn w:val="DefaultParagraphFont"/>
    <w:link w:val="Heading1"/>
    <w:uiPriority w:val="9"/>
    <w:rsid w:val="007B7FCB"/>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qFormat/>
    <w:rsid w:val="007B7F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qFormat/>
    <w:rsid w:val="007B7F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08AC-8C23-4735-86EB-99F0D0C8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2023-06-29T10:56:00Z</cp:lastPrinted>
  <dcterms:created xsi:type="dcterms:W3CDTF">2023-07-19T09:33:00Z</dcterms:created>
  <dcterms:modified xsi:type="dcterms:W3CDTF">2023-07-19T09:33:00Z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A6D93944E57348CFA988A1F0520AAF23</vt:lpwstr>
  </property>
  <property fmtid="{D5CDD505-2E9C-101B-9397-08002B2CF9AE}" pid="4" name="GrammarlyDocumentId">
    <vt:lpwstr>fb891e9afa0ed21fd54eef6372e282c55cb729a07554a5733cf9b13363ff8830</vt:lpwstr>
  </property>
</Properties>
</file>