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A" w:rsidRPr="00FB6A91" w:rsidRDefault="007F1FE5">
      <w:pPr>
        <w:rPr>
          <w:rFonts w:ascii="Arial" w:hAnsi="Arial" w:cs="Arial"/>
          <w:sz w:val="22"/>
          <w:szCs w:val="22"/>
        </w:rPr>
      </w:pPr>
      <w:r w:rsidRPr="00FB6A91">
        <w:rPr>
          <w:rFonts w:ascii="Arial" w:hAnsi="Arial" w:cs="Arial"/>
          <w:noProof/>
          <w:sz w:val="22"/>
          <w:szCs w:val="22"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2452252</wp:posOffset>
            </wp:positionH>
            <wp:positionV relativeFrom="paragraph">
              <wp:posOffset>8255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rPr>
          <w:rFonts w:ascii="Arial" w:hAnsi="Arial" w:cs="Arial"/>
          <w:sz w:val="22"/>
          <w:szCs w:val="22"/>
          <w:lang w:val="en-ZA"/>
        </w:rPr>
      </w:pPr>
    </w:p>
    <w:p w:rsidR="008960B2" w:rsidRPr="00FB6A91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960B2" w:rsidRPr="00FB6A91" w:rsidRDefault="008960B2" w:rsidP="008960B2">
      <w:pPr>
        <w:pStyle w:val="NoSpacing"/>
        <w:rPr>
          <w:rFonts w:ascii="Arial" w:hAnsi="Arial" w:cs="Arial"/>
          <w:b/>
          <w:color w:val="4F6228"/>
        </w:rPr>
      </w:pPr>
    </w:p>
    <w:p w:rsidR="008960B2" w:rsidRPr="00FB6A91" w:rsidRDefault="008960B2" w:rsidP="008960B2">
      <w:pPr>
        <w:jc w:val="center"/>
        <w:rPr>
          <w:rFonts w:ascii="Arial" w:hAnsi="Arial" w:cs="Arial"/>
          <w:b/>
          <w:sz w:val="22"/>
          <w:szCs w:val="22"/>
        </w:rPr>
      </w:pPr>
      <w:r w:rsidRPr="00FB6A91">
        <w:rPr>
          <w:rFonts w:ascii="Arial" w:hAnsi="Arial" w:cs="Arial"/>
          <w:b/>
          <w:sz w:val="22"/>
          <w:szCs w:val="22"/>
        </w:rPr>
        <w:t>DEPARTMENT: PUBLIC ENTERPRISES</w:t>
      </w:r>
    </w:p>
    <w:p w:rsidR="008960B2" w:rsidRPr="00FB6A91" w:rsidRDefault="008960B2" w:rsidP="00270D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6A91">
        <w:rPr>
          <w:rFonts w:ascii="Arial" w:hAnsi="Arial" w:cs="Arial"/>
          <w:b/>
          <w:sz w:val="22"/>
          <w:szCs w:val="22"/>
        </w:rPr>
        <w:t>REPUBLIC OF SOUTH AFRICA</w:t>
      </w:r>
    </w:p>
    <w:p w:rsidR="008960B2" w:rsidRPr="00FB6A91" w:rsidRDefault="008960B2" w:rsidP="008960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A91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8960B2" w:rsidRPr="00FB6A91" w:rsidRDefault="008960B2" w:rsidP="008960B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960B2" w:rsidRPr="00FB6A91" w:rsidRDefault="008960B2" w:rsidP="000F38B8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 w:rsidR="008B50CB" w:rsidRPr="00FB6A91">
        <w:rPr>
          <w:rFonts w:ascii="Arial" w:hAnsi="Arial" w:cs="Arial"/>
          <w:b/>
          <w:bCs/>
          <w:sz w:val="22"/>
          <w:szCs w:val="22"/>
          <w:lang w:val="en-ZA"/>
        </w:rPr>
        <w:t>WRITTEN</w:t>
      </w:r>
      <w:r w:rsidR="00903F84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>REPLY</w:t>
      </w:r>
    </w:p>
    <w:p w:rsidR="008960B2" w:rsidRPr="00FB6A91" w:rsidRDefault="008960B2" w:rsidP="000F38B8">
      <w:pPr>
        <w:ind w:left="-142" w:firstLine="426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6512FA" w:rsidRPr="00FB6A91" w:rsidRDefault="008960B2" w:rsidP="000F38B8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="006E59BE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="008C3840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PQ </w:t>
      </w:r>
      <w:r w:rsidR="00DE4BFC" w:rsidRPr="00FB6A91">
        <w:rPr>
          <w:rFonts w:ascii="Arial" w:hAnsi="Arial" w:cs="Arial"/>
          <w:b/>
          <w:bCs/>
          <w:sz w:val="22"/>
          <w:szCs w:val="22"/>
          <w:lang w:val="en-ZA"/>
        </w:rPr>
        <w:t>1704</w:t>
      </w:r>
    </w:p>
    <w:p w:rsidR="008960B2" w:rsidRPr="00FB6A91" w:rsidRDefault="008960B2" w:rsidP="006E59BE">
      <w:pPr>
        <w:ind w:left="-142" w:firstLine="426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115AC" w:rsidRPr="00FB6A91" w:rsidRDefault="00224EEB" w:rsidP="00381343">
      <w:pPr>
        <w:pStyle w:val="ListParagraph"/>
        <w:spacing w:before="120" w:after="120" w:line="360" w:lineRule="auto"/>
        <w:ind w:left="709" w:hanging="720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FB6A91">
        <w:rPr>
          <w:rFonts w:ascii="Arial" w:eastAsia="Calibri" w:hAnsi="Arial" w:cs="Arial"/>
          <w:b/>
          <w:bCs/>
          <w:sz w:val="22"/>
          <w:szCs w:val="22"/>
          <w:u w:val="single"/>
        </w:rPr>
        <w:t>QUESTION:</w:t>
      </w:r>
    </w:p>
    <w:p w:rsidR="00DE4BFC" w:rsidRPr="00FB6A91" w:rsidRDefault="00BF5540" w:rsidP="00DE4BFC">
      <w:pPr>
        <w:pStyle w:val="ListParagraph"/>
        <w:numPr>
          <w:ilvl w:val="0"/>
          <w:numId w:val="24"/>
        </w:numPr>
        <w:tabs>
          <w:tab w:val="left" w:pos="-142"/>
          <w:tab w:val="left" w:pos="567"/>
        </w:tabs>
        <w:spacing w:before="100" w:beforeAutospacing="1" w:after="100" w:afterAutospacing="1" w:line="259" w:lineRule="auto"/>
        <w:ind w:left="142" w:hanging="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B6A91">
        <w:rPr>
          <w:rFonts w:ascii="Arial" w:hAnsi="Arial" w:cs="Arial"/>
          <w:b/>
          <w:bCs/>
          <w:sz w:val="22"/>
          <w:szCs w:val="22"/>
        </w:rPr>
        <w:t>-</w:t>
      </w:r>
      <w:r w:rsidR="00DE4BFC" w:rsidRPr="00FB6A91">
        <w:rPr>
          <w:rFonts w:ascii="Arial" w:hAnsi="Arial" w:cs="Arial"/>
          <w:b/>
          <w:bCs/>
          <w:sz w:val="22"/>
          <w:szCs w:val="22"/>
        </w:rPr>
        <w:t xml:space="preserve"> Mr G R Krumbock (DA) to ask the Minister of Public Enterprises</w:t>
      </w:r>
      <w:r w:rsidR="000D1F04" w:rsidRPr="00FB6A91">
        <w:rPr>
          <w:rFonts w:ascii="Arial" w:hAnsi="Arial" w:cs="Arial"/>
          <w:b/>
          <w:bCs/>
          <w:sz w:val="22"/>
          <w:szCs w:val="22"/>
        </w:rPr>
        <w:fldChar w:fldCharType="begin"/>
      </w:r>
      <w:r w:rsidR="00DE4BFC" w:rsidRPr="00FB6A91">
        <w:rPr>
          <w:rFonts w:ascii="Arial" w:hAnsi="Arial" w:cs="Arial"/>
          <w:sz w:val="22"/>
          <w:szCs w:val="22"/>
        </w:rPr>
        <w:instrText xml:space="preserve"> XE "</w:instrText>
      </w:r>
      <w:r w:rsidR="00DE4BFC" w:rsidRPr="00FB6A91">
        <w:rPr>
          <w:rFonts w:ascii="Arial" w:hAnsi="Arial" w:cs="Arial"/>
          <w:b/>
          <w:bCs/>
          <w:sz w:val="22"/>
          <w:szCs w:val="22"/>
        </w:rPr>
        <w:instrText>Minister of Public Enterprises</w:instrText>
      </w:r>
      <w:r w:rsidR="00DE4BFC" w:rsidRPr="00FB6A91">
        <w:rPr>
          <w:rFonts w:ascii="Arial" w:hAnsi="Arial" w:cs="Arial"/>
          <w:sz w:val="22"/>
          <w:szCs w:val="22"/>
        </w:rPr>
        <w:instrText xml:space="preserve">" </w:instrText>
      </w:r>
      <w:r w:rsidR="000D1F04" w:rsidRPr="00FB6A91">
        <w:rPr>
          <w:rFonts w:ascii="Arial" w:hAnsi="Arial" w:cs="Arial"/>
          <w:b/>
          <w:bCs/>
          <w:sz w:val="22"/>
          <w:szCs w:val="22"/>
        </w:rPr>
        <w:fldChar w:fldCharType="end"/>
      </w:r>
      <w:r w:rsidR="00DE4BFC" w:rsidRPr="00FB6A91">
        <w:rPr>
          <w:rFonts w:ascii="Arial" w:hAnsi="Arial" w:cs="Arial"/>
          <w:b/>
          <w:bCs/>
          <w:sz w:val="22"/>
          <w:szCs w:val="22"/>
        </w:rPr>
        <w:t>:</w:t>
      </w:r>
    </w:p>
    <w:p w:rsidR="00BF5540" w:rsidRPr="00FB6A91" w:rsidRDefault="00DE4BFC" w:rsidP="00FB6A9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FB6A91">
        <w:rPr>
          <w:rFonts w:ascii="Arial" w:eastAsia="Calibri" w:hAnsi="Arial" w:cs="Arial"/>
          <w:sz w:val="22"/>
          <w:szCs w:val="22"/>
        </w:rPr>
        <w:t xml:space="preserve">Whether he will furnish Mr G R Krumbock with a comprehensive </w:t>
      </w:r>
      <w:bookmarkStart w:id="0" w:name="_Hlk135387549"/>
      <w:bookmarkStart w:id="1" w:name="_Hlk135387603"/>
      <w:r w:rsidRPr="00FB6A91">
        <w:rPr>
          <w:rFonts w:ascii="Arial" w:eastAsia="Calibri" w:hAnsi="Arial" w:cs="Arial"/>
          <w:sz w:val="22"/>
          <w:szCs w:val="22"/>
        </w:rPr>
        <w:t>breakdown of the procurement allocation</w:t>
      </w:r>
      <w:bookmarkEnd w:id="0"/>
      <w:r w:rsidRPr="00FB6A91">
        <w:rPr>
          <w:rFonts w:ascii="Arial" w:eastAsia="Calibri" w:hAnsi="Arial" w:cs="Arial"/>
          <w:sz w:val="22"/>
          <w:szCs w:val="22"/>
        </w:rPr>
        <w:t xml:space="preserve"> of (a) his department </w:t>
      </w:r>
      <w:bookmarkEnd w:id="1"/>
      <w:r w:rsidRPr="00FB6A91">
        <w:rPr>
          <w:rFonts w:ascii="Arial" w:eastAsia="Calibri" w:hAnsi="Arial" w:cs="Arial"/>
          <w:sz w:val="22"/>
          <w:szCs w:val="22"/>
        </w:rPr>
        <w:t xml:space="preserve">and (b) every entity reporting to him in terms of the percentages allocated to (i) small-, medium- and micro-enterprises, (ii) cooperatives, (iii) township enterprises and (iv) rural enterprises with a view to evaluating the effectiveness of the </w:t>
      </w:r>
      <w:r w:rsidRPr="00FB6A91">
        <w:rPr>
          <w:rFonts w:ascii="Arial" w:eastAsia="Calibri" w:hAnsi="Arial" w:cs="Arial"/>
          <w:sz w:val="22"/>
          <w:szCs w:val="22"/>
          <w:lang w:val="en-ZA"/>
        </w:rPr>
        <w:t>set</w:t>
      </w:r>
      <w:r w:rsidRPr="00FB6A91">
        <w:rPr>
          <w:rFonts w:ascii="Arial" w:eastAsia="Calibri" w:hAnsi="Arial" w:cs="Arial"/>
          <w:sz w:val="22"/>
          <w:szCs w:val="22"/>
        </w:rPr>
        <w:t>-aside policy of the Government in fostering an inclusive and diverse economic landscape (details furnished) in the (aa) 2021-22 financial year and (bb) since 1 April 2023?</w:t>
      </w:r>
      <w:r w:rsidRPr="00FB6A91">
        <w:rPr>
          <w:rFonts w:ascii="Arial" w:eastAsia="Calibri" w:hAnsi="Arial" w:cs="Arial"/>
          <w:sz w:val="22"/>
          <w:szCs w:val="22"/>
        </w:rPr>
        <w:tab/>
      </w:r>
      <w:r w:rsidRPr="00FB6A91">
        <w:rPr>
          <w:rFonts w:ascii="Arial" w:eastAsia="Calibri" w:hAnsi="Arial" w:cs="Arial"/>
          <w:sz w:val="22"/>
          <w:szCs w:val="22"/>
        </w:rPr>
        <w:tab/>
      </w:r>
      <w:r w:rsidRPr="00FB6A91">
        <w:rPr>
          <w:rFonts w:ascii="Arial" w:eastAsia="Calibri" w:hAnsi="Arial" w:cs="Arial"/>
          <w:sz w:val="22"/>
          <w:szCs w:val="22"/>
        </w:rPr>
        <w:tab/>
      </w:r>
      <w:r w:rsidRPr="00FB6A91">
        <w:rPr>
          <w:rFonts w:ascii="Arial" w:eastAsia="Calibri" w:hAnsi="Arial" w:cs="Arial"/>
          <w:sz w:val="22"/>
          <w:szCs w:val="22"/>
        </w:rPr>
        <w:tab/>
      </w:r>
      <w:r w:rsidRPr="00FB6A91">
        <w:rPr>
          <w:rFonts w:ascii="Arial" w:eastAsia="Calibri" w:hAnsi="Arial" w:cs="Arial"/>
          <w:sz w:val="22"/>
          <w:szCs w:val="22"/>
        </w:rPr>
        <w:tab/>
      </w:r>
      <w:r w:rsidRPr="008C1A84">
        <w:rPr>
          <w:rFonts w:ascii="Arial" w:eastAsia="Calibri" w:hAnsi="Arial" w:cs="Arial"/>
          <w:b/>
          <w:bCs/>
          <w:sz w:val="22"/>
          <w:szCs w:val="22"/>
          <w:lang w:val="en-ZA"/>
        </w:rPr>
        <w:t>NW1945E</w:t>
      </w:r>
    </w:p>
    <w:p w:rsidR="004F46C8" w:rsidRDefault="00D7131A" w:rsidP="00FB6A91">
      <w:pPr>
        <w:spacing w:before="100" w:beforeAutospacing="1" w:after="100" w:afterAutospacing="1"/>
        <w:ind w:left="11" w:hanging="153"/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  <w:r w:rsidRPr="00FB6A91">
        <w:rPr>
          <w:rFonts w:ascii="Arial" w:eastAsia="Calibri" w:hAnsi="Arial" w:cs="Arial"/>
          <w:b/>
          <w:sz w:val="22"/>
          <w:szCs w:val="22"/>
          <w:u w:val="single"/>
        </w:rPr>
        <w:t>R</w:t>
      </w:r>
      <w:r w:rsidR="00624B6A" w:rsidRPr="00FB6A91">
        <w:rPr>
          <w:rFonts w:ascii="Arial" w:eastAsia="Calibri" w:hAnsi="Arial" w:cs="Arial"/>
          <w:b/>
          <w:sz w:val="22"/>
          <w:szCs w:val="22"/>
          <w:u w:val="single"/>
        </w:rPr>
        <w:t>EPLY</w:t>
      </w:r>
      <w:r w:rsidR="00D115AC" w:rsidRPr="00FB6A91">
        <w:rPr>
          <w:rFonts w:ascii="Arial" w:eastAsia="Calibri" w:hAnsi="Arial" w:cs="Arial"/>
          <w:b/>
          <w:sz w:val="22"/>
          <w:szCs w:val="22"/>
          <w:u w:val="single"/>
        </w:rPr>
        <w:t>:</w:t>
      </w:r>
      <w:bookmarkStart w:id="2" w:name="_Hlk135388204"/>
    </w:p>
    <w:p w:rsidR="008C1A84" w:rsidRDefault="008C1A84" w:rsidP="008C1A84">
      <w:pPr>
        <w:spacing w:before="100" w:beforeAutospacing="1" w:after="100" w:afterAutospacing="1"/>
        <w:ind w:left="11" w:hanging="153"/>
        <w:jc w:val="both"/>
        <w:rPr>
          <w:rFonts w:ascii="Arial" w:eastAsia="Calibri" w:hAnsi="Arial" w:cs="Arial"/>
          <w:b/>
          <w:sz w:val="22"/>
          <w:szCs w:val="22"/>
        </w:rPr>
      </w:pPr>
      <w:r w:rsidRPr="00D17FAA">
        <w:rPr>
          <w:rFonts w:ascii="Arial" w:eastAsia="Calibri" w:hAnsi="Arial" w:cs="Arial"/>
          <w:b/>
          <w:sz w:val="22"/>
          <w:szCs w:val="22"/>
        </w:rPr>
        <w:t>D</w:t>
      </w:r>
      <w:r w:rsidR="000F38B8">
        <w:rPr>
          <w:rFonts w:ascii="Arial" w:eastAsia="Calibri" w:hAnsi="Arial" w:cs="Arial"/>
          <w:b/>
          <w:sz w:val="22"/>
          <w:szCs w:val="22"/>
        </w:rPr>
        <w:t xml:space="preserve">epartment of </w:t>
      </w:r>
      <w:r w:rsidRPr="00D17FAA">
        <w:rPr>
          <w:rFonts w:ascii="Arial" w:eastAsia="Calibri" w:hAnsi="Arial" w:cs="Arial"/>
          <w:b/>
          <w:sz w:val="22"/>
          <w:szCs w:val="22"/>
        </w:rPr>
        <w:t>P</w:t>
      </w:r>
      <w:r w:rsidR="000F38B8">
        <w:rPr>
          <w:rFonts w:ascii="Arial" w:eastAsia="Calibri" w:hAnsi="Arial" w:cs="Arial"/>
          <w:b/>
          <w:sz w:val="22"/>
          <w:szCs w:val="22"/>
        </w:rPr>
        <w:t xml:space="preserve">ublic </w:t>
      </w:r>
      <w:r w:rsidRPr="00D17FAA">
        <w:rPr>
          <w:rFonts w:ascii="Arial" w:eastAsia="Calibri" w:hAnsi="Arial" w:cs="Arial"/>
          <w:b/>
          <w:sz w:val="22"/>
          <w:szCs w:val="22"/>
        </w:rPr>
        <w:t>E</w:t>
      </w:r>
      <w:r w:rsidR="000F38B8">
        <w:rPr>
          <w:rFonts w:ascii="Arial" w:eastAsia="Calibri" w:hAnsi="Arial" w:cs="Arial"/>
          <w:b/>
          <w:sz w:val="22"/>
          <w:szCs w:val="22"/>
        </w:rPr>
        <w:t>nterprises</w:t>
      </w:r>
      <w:r w:rsidRPr="00D17FAA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8C1A84" w:rsidRPr="005C1C83" w:rsidRDefault="008C1A84" w:rsidP="008C1A84">
      <w:pPr>
        <w:tabs>
          <w:tab w:val="left" w:pos="6930"/>
        </w:tabs>
        <w:rPr>
          <w:rFonts w:ascii="Arial" w:hAnsi="Arial" w:cs="Arial"/>
          <w:b/>
          <w:sz w:val="22"/>
          <w:szCs w:val="22"/>
          <w:lang w:val="en-ZA"/>
        </w:rPr>
      </w:pPr>
      <w:r w:rsidRPr="005C1C83">
        <w:rPr>
          <w:rFonts w:ascii="Arial" w:hAnsi="Arial" w:cs="Arial"/>
          <w:bCs/>
          <w:sz w:val="22"/>
          <w:szCs w:val="22"/>
          <w:lang w:val="en-ZA"/>
        </w:rPr>
        <w:t>(</w:t>
      </w:r>
      <w:r>
        <w:rPr>
          <w:rFonts w:ascii="Arial" w:hAnsi="Arial" w:cs="Arial"/>
          <w:bCs/>
          <w:sz w:val="22"/>
          <w:szCs w:val="22"/>
          <w:lang w:val="en-ZA"/>
        </w:rPr>
        <w:t>aa</w:t>
      </w:r>
      <w:r w:rsidRPr="005C1C83">
        <w:rPr>
          <w:rFonts w:ascii="Arial" w:hAnsi="Arial" w:cs="Arial"/>
          <w:bCs/>
          <w:sz w:val="22"/>
          <w:szCs w:val="22"/>
          <w:lang w:val="en-ZA"/>
        </w:rPr>
        <w:t>)</w:t>
      </w:r>
      <w:r w:rsidRPr="005C1C83">
        <w:rPr>
          <w:rFonts w:ascii="Arial" w:hAnsi="Arial" w:cs="Arial"/>
          <w:b/>
          <w:sz w:val="22"/>
          <w:szCs w:val="22"/>
          <w:lang w:val="en-ZA"/>
        </w:rPr>
        <w:t xml:space="preserve"> PROCUREMENT ALLOCATION FOR PUBLIC ENTERPRISES 2021-2022</w:t>
      </w:r>
    </w:p>
    <w:p w:rsidR="008C1A84" w:rsidRPr="00B97D5C" w:rsidRDefault="008C1A84" w:rsidP="008C1A84">
      <w:pPr>
        <w:tabs>
          <w:tab w:val="left" w:pos="6930"/>
        </w:tabs>
        <w:rPr>
          <w:rFonts w:ascii="Arial" w:hAnsi="Arial" w:cs="Arial"/>
          <w:b/>
          <w:sz w:val="22"/>
          <w:szCs w:val="22"/>
          <w:u w:val="single"/>
          <w:lang w:val="en-Z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843"/>
        <w:gridCol w:w="2693"/>
      </w:tblGrid>
      <w:tr w:rsidR="008C1A84" w:rsidRPr="0096439A" w:rsidTr="00407C25">
        <w:tc>
          <w:tcPr>
            <w:tcW w:w="2943" w:type="dxa"/>
            <w:shd w:val="clear" w:color="auto" w:fill="FFC000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/>
                <w:sz w:val="22"/>
                <w:szCs w:val="22"/>
                <w:lang w:val="en-ZA"/>
              </w:rPr>
              <w:t>CATEGORY OF BUSINESSES</w:t>
            </w:r>
          </w:p>
        </w:tc>
        <w:tc>
          <w:tcPr>
            <w:tcW w:w="1418" w:type="dxa"/>
            <w:shd w:val="clear" w:color="auto" w:fill="FFC000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/>
                <w:sz w:val="22"/>
                <w:szCs w:val="22"/>
                <w:lang w:val="en-ZA"/>
              </w:rPr>
              <w:t>TOTAL RFQ AND BIDS</w:t>
            </w:r>
          </w:p>
        </w:tc>
        <w:tc>
          <w:tcPr>
            <w:tcW w:w="1843" w:type="dxa"/>
            <w:shd w:val="clear" w:color="auto" w:fill="FFC000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/>
                <w:sz w:val="22"/>
                <w:szCs w:val="22"/>
                <w:lang w:val="en-ZA"/>
              </w:rPr>
              <w:t>ALLOCATION NUMBER</w:t>
            </w:r>
          </w:p>
        </w:tc>
        <w:tc>
          <w:tcPr>
            <w:tcW w:w="2693" w:type="dxa"/>
            <w:shd w:val="clear" w:color="auto" w:fill="FFC000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/>
                <w:sz w:val="22"/>
                <w:szCs w:val="22"/>
                <w:lang w:val="en-ZA"/>
              </w:rPr>
              <w:t>ALLOCATION PERCENTAGE</w:t>
            </w:r>
          </w:p>
        </w:tc>
      </w:tr>
      <w:tr w:rsidR="008C1A84" w:rsidRPr="0096439A" w:rsidTr="00407C25">
        <w:tc>
          <w:tcPr>
            <w:tcW w:w="29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(i) SMME’s/EME</w:t>
            </w:r>
          </w:p>
        </w:tc>
        <w:tc>
          <w:tcPr>
            <w:tcW w:w="1418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91.67</w:t>
            </w:r>
          </w:p>
        </w:tc>
      </w:tr>
      <w:tr w:rsidR="008C1A84" w:rsidRPr="0096439A" w:rsidTr="00407C25">
        <w:tc>
          <w:tcPr>
            <w:tcW w:w="29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(ii) C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ooperatives</w:t>
            </w:r>
          </w:p>
        </w:tc>
        <w:tc>
          <w:tcPr>
            <w:tcW w:w="1418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</w:tr>
      <w:tr w:rsidR="008C1A84" w:rsidRPr="0096439A" w:rsidTr="00407C25">
        <w:tc>
          <w:tcPr>
            <w:tcW w:w="29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ind w:right="-246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(iii) T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ownship Enterprises</w:t>
            </w: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</w:tr>
      <w:tr w:rsidR="008C1A84" w:rsidRPr="0096439A" w:rsidTr="00407C25">
        <w:tc>
          <w:tcPr>
            <w:tcW w:w="29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ind w:right="-246"/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(iv) R</w:t>
            </w:r>
            <w:r>
              <w:rPr>
                <w:rFonts w:ascii="Arial" w:hAnsi="Arial" w:cs="Arial"/>
                <w:bCs/>
                <w:sz w:val="22"/>
                <w:szCs w:val="22"/>
                <w:lang w:val="en-ZA"/>
              </w:rPr>
              <w:t>ural Enterprises</w:t>
            </w:r>
          </w:p>
        </w:tc>
        <w:tc>
          <w:tcPr>
            <w:tcW w:w="1418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2C2C52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2"/>
                <w:szCs w:val="22"/>
                <w:lang w:val="en-ZA"/>
              </w:rPr>
            </w:pPr>
            <w:r w:rsidRPr="002C2C52">
              <w:rPr>
                <w:rFonts w:ascii="Arial" w:hAnsi="Arial" w:cs="Arial"/>
                <w:bCs/>
                <w:sz w:val="22"/>
                <w:szCs w:val="22"/>
                <w:lang w:val="en-ZA"/>
              </w:rPr>
              <w:t>0</w:t>
            </w:r>
          </w:p>
        </w:tc>
      </w:tr>
    </w:tbl>
    <w:p w:rsidR="008C1A84" w:rsidRDefault="008C1A84" w:rsidP="008C1A84">
      <w:pPr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8C1A84" w:rsidRPr="005C1C83" w:rsidRDefault="008C1A84" w:rsidP="008C1A84">
      <w:pPr>
        <w:tabs>
          <w:tab w:val="left" w:pos="6930"/>
        </w:tabs>
        <w:rPr>
          <w:rFonts w:ascii="Arial" w:hAnsi="Arial" w:cs="Arial"/>
          <w:b/>
          <w:sz w:val="22"/>
          <w:szCs w:val="22"/>
          <w:lang w:val="en-ZA"/>
        </w:rPr>
      </w:pPr>
      <w:r w:rsidRPr="005C1C83">
        <w:rPr>
          <w:rFonts w:ascii="Arial" w:hAnsi="Arial" w:cs="Arial"/>
          <w:bCs/>
          <w:sz w:val="22"/>
          <w:szCs w:val="22"/>
          <w:lang w:val="en-ZA"/>
        </w:rPr>
        <w:t>(bb)</w:t>
      </w:r>
      <w:r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Pr="005C1C83">
        <w:rPr>
          <w:rFonts w:ascii="Arial" w:hAnsi="Arial" w:cs="Arial"/>
          <w:b/>
          <w:sz w:val="22"/>
          <w:szCs w:val="22"/>
          <w:lang w:val="en-ZA"/>
        </w:rPr>
        <w:t xml:space="preserve">PROCUREMENT ALLOCATION FOR PUBLIC ENTERPRISES SINCE 1 APRIL </w:t>
      </w:r>
      <w:r>
        <w:rPr>
          <w:rFonts w:ascii="Arial" w:hAnsi="Arial" w:cs="Arial"/>
          <w:b/>
          <w:sz w:val="22"/>
          <w:szCs w:val="22"/>
          <w:lang w:val="en-ZA"/>
        </w:rPr>
        <w:t>2023</w:t>
      </w:r>
    </w:p>
    <w:p w:rsidR="008C1A84" w:rsidRPr="00E50091" w:rsidRDefault="008C1A84" w:rsidP="008C1A84">
      <w:pPr>
        <w:tabs>
          <w:tab w:val="left" w:pos="6930"/>
        </w:tabs>
        <w:rPr>
          <w:rFonts w:ascii="Arial" w:hAnsi="Arial" w:cs="Arial"/>
          <w:b/>
          <w:sz w:val="22"/>
          <w:szCs w:val="22"/>
          <w:u w:val="single"/>
          <w:lang w:val="en-Z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59"/>
        <w:gridCol w:w="1843"/>
        <w:gridCol w:w="2693"/>
      </w:tblGrid>
      <w:tr w:rsidR="008C1A84" w:rsidRPr="0096439A" w:rsidTr="00407C25">
        <w:tc>
          <w:tcPr>
            <w:tcW w:w="2802" w:type="dxa"/>
            <w:shd w:val="clear" w:color="auto" w:fill="FFC000"/>
          </w:tcPr>
          <w:p w:rsidR="008C1A84" w:rsidRPr="00965594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5594">
              <w:rPr>
                <w:rFonts w:ascii="Arial" w:hAnsi="Arial" w:cs="Arial"/>
                <w:b/>
                <w:sz w:val="22"/>
                <w:szCs w:val="22"/>
                <w:lang w:val="en-ZA"/>
              </w:rPr>
              <w:t>CATEGORY OF BUSINESSES</w:t>
            </w:r>
          </w:p>
        </w:tc>
        <w:tc>
          <w:tcPr>
            <w:tcW w:w="1559" w:type="dxa"/>
            <w:shd w:val="clear" w:color="auto" w:fill="FFC000"/>
          </w:tcPr>
          <w:p w:rsidR="008C1A84" w:rsidRPr="00965594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5594">
              <w:rPr>
                <w:rFonts w:ascii="Arial" w:hAnsi="Arial" w:cs="Arial"/>
                <w:b/>
                <w:sz w:val="22"/>
                <w:szCs w:val="22"/>
                <w:lang w:val="en-ZA"/>
              </w:rPr>
              <w:t>TOTAL RFQ AND BIDS</w:t>
            </w:r>
          </w:p>
        </w:tc>
        <w:tc>
          <w:tcPr>
            <w:tcW w:w="1843" w:type="dxa"/>
            <w:shd w:val="clear" w:color="auto" w:fill="FFC000"/>
          </w:tcPr>
          <w:p w:rsidR="008C1A84" w:rsidRPr="00965594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5594">
              <w:rPr>
                <w:rFonts w:ascii="Arial" w:hAnsi="Arial" w:cs="Arial"/>
                <w:b/>
                <w:sz w:val="22"/>
                <w:szCs w:val="22"/>
                <w:lang w:val="en-ZA"/>
              </w:rPr>
              <w:t>ALLOCATION NUMBER</w:t>
            </w:r>
          </w:p>
        </w:tc>
        <w:tc>
          <w:tcPr>
            <w:tcW w:w="2693" w:type="dxa"/>
            <w:shd w:val="clear" w:color="auto" w:fill="FFC000"/>
          </w:tcPr>
          <w:p w:rsidR="008C1A84" w:rsidRPr="00965594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965594">
              <w:rPr>
                <w:rFonts w:ascii="Arial" w:hAnsi="Arial" w:cs="Arial"/>
                <w:b/>
                <w:sz w:val="22"/>
                <w:szCs w:val="22"/>
                <w:lang w:val="en-ZA"/>
              </w:rPr>
              <w:t>ALLOCATION PERCENTAGE</w:t>
            </w:r>
          </w:p>
        </w:tc>
      </w:tr>
      <w:tr w:rsidR="008C1A84" w:rsidRPr="0096439A" w:rsidTr="00407C25">
        <w:tc>
          <w:tcPr>
            <w:tcW w:w="2802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(i) SMME’s/EME</w:t>
            </w:r>
          </w:p>
        </w:tc>
        <w:tc>
          <w:tcPr>
            <w:tcW w:w="1559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100</w:t>
            </w:r>
          </w:p>
        </w:tc>
      </w:tr>
      <w:tr w:rsidR="008C1A84" w:rsidRPr="0096439A" w:rsidTr="00407C25">
        <w:tc>
          <w:tcPr>
            <w:tcW w:w="2802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(ii) C</w:t>
            </w: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ooperatives</w:t>
            </w:r>
          </w:p>
        </w:tc>
        <w:tc>
          <w:tcPr>
            <w:tcW w:w="1559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</w:tr>
      <w:tr w:rsidR="008C1A84" w:rsidRPr="0096439A" w:rsidTr="00407C25">
        <w:tc>
          <w:tcPr>
            <w:tcW w:w="2802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(iii) T</w:t>
            </w: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ownship Enterprises</w:t>
            </w: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</w:tr>
      <w:tr w:rsidR="008C1A84" w:rsidRPr="0096439A" w:rsidTr="00407C25">
        <w:tc>
          <w:tcPr>
            <w:tcW w:w="2802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(iv) R</w:t>
            </w:r>
            <w:r>
              <w:rPr>
                <w:rFonts w:ascii="Arial" w:hAnsi="Arial" w:cs="Arial"/>
                <w:bCs/>
                <w:sz w:val="20"/>
                <w:szCs w:val="20"/>
                <w:lang w:val="en-ZA"/>
              </w:rPr>
              <w:t>ural Enterprises</w:t>
            </w:r>
          </w:p>
        </w:tc>
        <w:tc>
          <w:tcPr>
            <w:tcW w:w="1559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8C1A84" w:rsidRPr="0096439A" w:rsidRDefault="008C1A84" w:rsidP="00407C25">
            <w:pPr>
              <w:tabs>
                <w:tab w:val="left" w:pos="6930"/>
              </w:tabs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96439A">
              <w:rPr>
                <w:rFonts w:ascii="Arial" w:hAnsi="Arial" w:cs="Arial"/>
                <w:bCs/>
                <w:sz w:val="20"/>
                <w:szCs w:val="20"/>
                <w:lang w:val="en-ZA"/>
              </w:rPr>
              <w:t>0</w:t>
            </w:r>
          </w:p>
        </w:tc>
      </w:tr>
    </w:tbl>
    <w:p w:rsidR="008C1A84" w:rsidRDefault="008C1A84" w:rsidP="008C1A84">
      <w:pPr>
        <w:spacing w:before="100" w:beforeAutospacing="1" w:after="100" w:afterAutospacing="1"/>
        <w:ind w:left="11" w:hanging="153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0F38B8" w:rsidRDefault="008C1A84" w:rsidP="008C1A84">
      <w:pPr>
        <w:spacing w:before="100" w:beforeAutospacing="1" w:after="100" w:afterAutospacing="1"/>
        <w:ind w:left="11" w:hanging="153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8C1A84" w:rsidRPr="009C77CF" w:rsidRDefault="008C1A84" w:rsidP="008C1A84">
      <w:pPr>
        <w:spacing w:before="100" w:beforeAutospacing="1" w:after="100" w:afterAutospacing="1"/>
        <w:ind w:left="11" w:hanging="153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C77CF">
        <w:rPr>
          <w:rFonts w:ascii="Arial" w:eastAsia="Calibri" w:hAnsi="Arial" w:cs="Arial"/>
          <w:b/>
          <w:bCs/>
          <w:sz w:val="22"/>
          <w:szCs w:val="22"/>
        </w:rPr>
        <w:lastRenderedPageBreak/>
        <w:t xml:space="preserve">According to the information received from all SOCs </w:t>
      </w:r>
    </w:p>
    <w:p w:rsidR="00FB6A91" w:rsidRDefault="0097106A" w:rsidP="00765B5F">
      <w:pPr>
        <w:spacing w:line="360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90F8A">
        <w:rPr>
          <w:rFonts w:ascii="Arial" w:eastAsia="Calibri" w:hAnsi="Arial" w:cs="Arial"/>
          <w:sz w:val="22"/>
          <w:szCs w:val="22"/>
        </w:rPr>
        <w:t>(</w:t>
      </w:r>
      <w:r w:rsidR="00F324E9">
        <w:rPr>
          <w:rFonts w:ascii="Arial" w:eastAsia="Calibri" w:hAnsi="Arial" w:cs="Arial"/>
          <w:sz w:val="22"/>
          <w:szCs w:val="22"/>
        </w:rPr>
        <w:t>b</w:t>
      </w:r>
      <w:r w:rsidRPr="00F90F8A">
        <w:rPr>
          <w:rFonts w:ascii="Arial" w:eastAsia="Calibri" w:hAnsi="Arial" w:cs="Arial"/>
          <w:sz w:val="22"/>
          <w:szCs w:val="22"/>
        </w:rPr>
        <w:t>) - (i – iv)</w:t>
      </w:r>
      <w:r w:rsidR="00F90F8A" w:rsidRPr="00F90F8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F46C8" w:rsidRPr="00FB6A91">
        <w:rPr>
          <w:rFonts w:ascii="Arial" w:eastAsia="Calibri" w:hAnsi="Arial" w:cs="Arial"/>
          <w:sz w:val="22"/>
          <w:szCs w:val="22"/>
        </w:rPr>
        <w:t xml:space="preserve">SOCs are currently reporting </w:t>
      </w:r>
      <w:r w:rsidR="00462B3C" w:rsidRPr="00FB6A91">
        <w:rPr>
          <w:rFonts w:ascii="Arial" w:eastAsia="Calibri" w:hAnsi="Arial" w:cs="Arial"/>
          <w:sz w:val="22"/>
          <w:szCs w:val="22"/>
        </w:rPr>
        <w:t>Specifically on</w:t>
      </w:r>
      <w:r w:rsidR="00FB6A91" w:rsidRPr="00FB6A91">
        <w:rPr>
          <w:rFonts w:ascii="Arial" w:eastAsia="Calibri" w:hAnsi="Arial" w:cs="Arial"/>
          <w:sz w:val="22"/>
          <w:szCs w:val="22"/>
        </w:rPr>
        <w:t xml:space="preserve"> activities relating to Broad Based Black Economic Empowerment and development of Small- Medium- and Micro-Enterprises. </w:t>
      </w:r>
      <w:r w:rsidR="00462B3C" w:rsidRPr="00FB6A91">
        <w:rPr>
          <w:rFonts w:ascii="Arial" w:eastAsia="Calibri" w:hAnsi="Arial" w:cs="Arial"/>
          <w:sz w:val="22"/>
          <w:szCs w:val="22"/>
        </w:rPr>
        <w:t>Although</w:t>
      </w:r>
      <w:r w:rsidR="00205234" w:rsidRPr="00FB6A91">
        <w:rPr>
          <w:rFonts w:ascii="Arial" w:eastAsia="Calibri" w:hAnsi="Arial" w:cs="Arial"/>
          <w:sz w:val="22"/>
          <w:szCs w:val="22"/>
        </w:rPr>
        <w:t xml:space="preserve"> SOCs may have supported</w:t>
      </w:r>
      <w:r w:rsidR="004B6811" w:rsidRPr="00FB6A91">
        <w:rPr>
          <w:rFonts w:ascii="Arial" w:eastAsia="Calibri" w:hAnsi="Arial" w:cs="Arial"/>
          <w:sz w:val="22"/>
          <w:szCs w:val="22"/>
        </w:rPr>
        <w:t xml:space="preserve"> cooperatives, township enterprises and rural enterprises</w:t>
      </w:r>
      <w:r w:rsidR="007771E5" w:rsidRPr="00FB6A91">
        <w:rPr>
          <w:rFonts w:ascii="Arial" w:eastAsia="Calibri" w:hAnsi="Arial" w:cs="Arial"/>
          <w:sz w:val="22"/>
          <w:szCs w:val="22"/>
        </w:rPr>
        <w:t xml:space="preserve"> such as in the case of Safcol that has supported close to 30 cooperatives, 24 township enterprises and 63 rural enterprises the</w:t>
      </w:r>
      <w:r w:rsidR="00205234" w:rsidRPr="00FB6A91">
        <w:rPr>
          <w:rFonts w:ascii="Arial" w:eastAsia="Calibri" w:hAnsi="Arial" w:cs="Arial"/>
          <w:sz w:val="22"/>
          <w:szCs w:val="22"/>
        </w:rPr>
        <w:t xml:space="preserve"> information </w:t>
      </w:r>
      <w:r w:rsidR="007771E5" w:rsidRPr="00FB6A91">
        <w:rPr>
          <w:rFonts w:ascii="Arial" w:eastAsia="Calibri" w:hAnsi="Arial" w:cs="Arial"/>
          <w:sz w:val="22"/>
          <w:szCs w:val="22"/>
        </w:rPr>
        <w:t xml:space="preserve">on % spend </w:t>
      </w:r>
      <w:r w:rsidR="00205234" w:rsidRPr="00FB6A91">
        <w:rPr>
          <w:rFonts w:ascii="Arial" w:eastAsia="Calibri" w:hAnsi="Arial" w:cs="Arial"/>
          <w:sz w:val="22"/>
          <w:szCs w:val="22"/>
        </w:rPr>
        <w:t>is not available due</w:t>
      </w:r>
      <w:r w:rsidR="004B6811" w:rsidRPr="00FB6A91">
        <w:rPr>
          <w:rFonts w:ascii="Arial" w:eastAsia="Calibri" w:hAnsi="Arial" w:cs="Arial"/>
          <w:sz w:val="22"/>
          <w:szCs w:val="22"/>
        </w:rPr>
        <w:t xml:space="preserve"> to SOC systems only capturing </w:t>
      </w:r>
      <w:bookmarkStart w:id="3" w:name="_Hlk136848978"/>
      <w:r w:rsidR="004B6811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 xml:space="preserve">xempted </w:t>
      </w:r>
      <w:r w:rsidR="004B6811" w:rsidRPr="00FB6A91">
        <w:rPr>
          <w:rFonts w:ascii="Arial" w:eastAsia="Calibri" w:hAnsi="Arial" w:cs="Arial"/>
          <w:sz w:val="22"/>
          <w:szCs w:val="22"/>
        </w:rPr>
        <w:t>M</w:t>
      </w:r>
      <w:r w:rsidR="001A7D6B">
        <w:rPr>
          <w:rFonts w:ascii="Arial" w:eastAsia="Calibri" w:hAnsi="Arial" w:cs="Arial"/>
          <w:sz w:val="22"/>
          <w:szCs w:val="22"/>
        </w:rPr>
        <w:t>icro-</w:t>
      </w:r>
      <w:r w:rsidR="004B6811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</w:t>
      </w:r>
      <w:bookmarkEnd w:id="3"/>
      <w:r w:rsidR="004B6811" w:rsidRPr="00FB6A91">
        <w:rPr>
          <w:rFonts w:ascii="Arial" w:eastAsia="Calibri" w:hAnsi="Arial" w:cs="Arial"/>
          <w:sz w:val="22"/>
          <w:szCs w:val="22"/>
        </w:rPr>
        <w:t xml:space="preserve"> and </w:t>
      </w:r>
      <w:r w:rsidR="001A7D6B" w:rsidRPr="00FB6A91">
        <w:rPr>
          <w:rFonts w:ascii="Arial" w:eastAsia="Calibri" w:hAnsi="Arial" w:cs="Arial"/>
          <w:sz w:val="22"/>
          <w:szCs w:val="22"/>
        </w:rPr>
        <w:t>Q</w:t>
      </w:r>
      <w:r w:rsidR="001A7D6B">
        <w:rPr>
          <w:rFonts w:ascii="Arial" w:eastAsia="Calibri" w:hAnsi="Arial" w:cs="Arial"/>
          <w:sz w:val="22"/>
          <w:szCs w:val="22"/>
        </w:rPr>
        <w:t xml:space="preserve">ualifying </w:t>
      </w:r>
      <w:r w:rsidR="004B6811" w:rsidRPr="00FB6A91">
        <w:rPr>
          <w:rFonts w:ascii="Arial" w:eastAsia="Calibri" w:hAnsi="Arial" w:cs="Arial"/>
          <w:sz w:val="22"/>
          <w:szCs w:val="22"/>
        </w:rPr>
        <w:t>S</w:t>
      </w:r>
      <w:r w:rsidR="001A7D6B">
        <w:rPr>
          <w:rFonts w:ascii="Arial" w:eastAsia="Calibri" w:hAnsi="Arial" w:cs="Arial"/>
          <w:sz w:val="22"/>
          <w:szCs w:val="22"/>
        </w:rPr>
        <w:t xml:space="preserve">mall </w:t>
      </w:r>
      <w:r w:rsidR="004B6811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</w:t>
      </w:r>
      <w:r w:rsidR="00462B3C" w:rsidRPr="00FB6A91">
        <w:rPr>
          <w:rFonts w:ascii="Arial" w:eastAsia="Calibri" w:hAnsi="Arial" w:cs="Arial"/>
          <w:sz w:val="22"/>
          <w:szCs w:val="22"/>
        </w:rPr>
        <w:t>.</w:t>
      </w:r>
    </w:p>
    <w:p w:rsidR="0097106A" w:rsidRDefault="0097106A" w:rsidP="00765B5F">
      <w:pPr>
        <w:spacing w:line="360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97106A" w:rsidRDefault="0097106A" w:rsidP="00765B5F">
      <w:pPr>
        <w:spacing w:line="360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Tables 1 and 2 provide a detail procurement spend related to transformation.</w:t>
      </w:r>
    </w:p>
    <w:p w:rsidR="0097106A" w:rsidRPr="00FB6A91" w:rsidRDefault="0097106A" w:rsidP="00765B5F">
      <w:pPr>
        <w:spacing w:line="360" w:lineRule="auto"/>
        <w:ind w:left="-142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DE5267" w:rsidRPr="00FB6A91" w:rsidRDefault="0097106A" w:rsidP="000671ED">
      <w:pPr>
        <w:ind w:left="-284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4" w:name="_Hlk135998877"/>
      <w:r>
        <w:rPr>
          <w:rFonts w:ascii="Arial" w:eastAsia="Calibri" w:hAnsi="Arial" w:cs="Arial"/>
          <w:sz w:val="22"/>
          <w:szCs w:val="22"/>
        </w:rPr>
        <w:t xml:space="preserve">Table 1: </w:t>
      </w:r>
      <w:r w:rsidR="00DE5267" w:rsidRPr="00FB6A91">
        <w:rPr>
          <w:rFonts w:ascii="Arial" w:eastAsia="Calibri" w:hAnsi="Arial" w:cs="Arial"/>
          <w:sz w:val="22"/>
          <w:szCs w:val="22"/>
        </w:rPr>
        <w:t xml:space="preserve">2021-22 </w:t>
      </w:r>
      <w:r>
        <w:rPr>
          <w:rFonts w:ascii="Arial" w:eastAsia="Calibri" w:hAnsi="Arial" w:cs="Arial"/>
          <w:sz w:val="22"/>
          <w:szCs w:val="22"/>
        </w:rPr>
        <w:t xml:space="preserve">SOCs measured procurement and transformation </w:t>
      </w:r>
      <w:r w:rsidR="00AD7539">
        <w:rPr>
          <w:rFonts w:ascii="Arial" w:eastAsia="Calibri" w:hAnsi="Arial" w:cs="Arial"/>
          <w:sz w:val="22"/>
          <w:szCs w:val="22"/>
        </w:rPr>
        <w:t>spend.</w:t>
      </w:r>
    </w:p>
    <w:tbl>
      <w:tblPr>
        <w:tblStyle w:val="TableGrid2"/>
        <w:tblpPr w:leftFromText="180" w:rightFromText="180" w:vertAnchor="text" w:horzAnchor="margin" w:tblpY="502"/>
        <w:tblW w:w="10592" w:type="dxa"/>
        <w:tblLayout w:type="fixed"/>
        <w:tblLook w:val="04A0"/>
      </w:tblPr>
      <w:tblGrid>
        <w:gridCol w:w="2043"/>
        <w:gridCol w:w="1140"/>
        <w:gridCol w:w="838"/>
        <w:gridCol w:w="1029"/>
        <w:gridCol w:w="788"/>
        <w:gridCol w:w="978"/>
        <w:gridCol w:w="1242"/>
        <w:gridCol w:w="1083"/>
        <w:gridCol w:w="1451"/>
      </w:tblGrid>
      <w:tr w:rsidR="00505DDF" w:rsidRPr="000671ED" w:rsidTr="000671ED">
        <w:trPr>
          <w:trHeight w:val="214"/>
        </w:trPr>
        <w:tc>
          <w:tcPr>
            <w:tcW w:w="2043" w:type="dxa"/>
          </w:tcPr>
          <w:p w:rsidR="00505DDF" w:rsidRPr="000671ED" w:rsidRDefault="00505DDF" w:rsidP="000671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135388225"/>
            <w:bookmarkEnd w:id="2"/>
            <w:bookmarkEnd w:id="4"/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% Allocated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Alexkor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Denel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Eskom 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SAA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Safcol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Transnet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51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AD7539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on transformational initiatives</w:t>
            </w:r>
          </w:p>
        </w:tc>
      </w:tr>
      <w:tr w:rsidR="00505DDF" w:rsidRPr="000671ED" w:rsidTr="000671ED">
        <w:trPr>
          <w:trHeight w:val="440"/>
        </w:trPr>
        <w:tc>
          <w:tcPr>
            <w:tcW w:w="2043" w:type="dxa"/>
          </w:tcPr>
          <w:p w:rsidR="00505DDF" w:rsidRPr="000671ED" w:rsidRDefault="00505DDF" w:rsidP="000671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_Hlk135988065"/>
            <w:r w:rsidRPr="000671ED">
              <w:rPr>
                <w:rFonts w:ascii="Arial" w:hAnsi="Arial" w:cs="Arial"/>
                <w:sz w:val="16"/>
                <w:szCs w:val="16"/>
              </w:rPr>
              <w:t>Total Measured Procurement Spend</w:t>
            </w:r>
            <w:bookmarkEnd w:id="6"/>
          </w:p>
        </w:tc>
        <w:tc>
          <w:tcPr>
            <w:tcW w:w="1140" w:type="dxa"/>
          </w:tcPr>
          <w:p w:rsidR="00505DDF" w:rsidRPr="000671ED" w:rsidRDefault="00505DDF" w:rsidP="00067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R636m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R177bn</w:t>
            </w:r>
          </w:p>
        </w:tc>
        <w:tc>
          <w:tcPr>
            <w:tcW w:w="788" w:type="dxa"/>
          </w:tcPr>
          <w:p w:rsidR="00505DDF" w:rsidRPr="000671ED" w:rsidRDefault="007376B9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R575m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R23bn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R201bn</w:t>
            </w:r>
          </w:p>
        </w:tc>
        <w:tc>
          <w:tcPr>
            <w:tcW w:w="1451" w:type="dxa"/>
          </w:tcPr>
          <w:p w:rsidR="00505DDF" w:rsidRPr="000671ED" w:rsidRDefault="00AD7539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R129bn</w:t>
            </w:r>
          </w:p>
        </w:tc>
      </w:tr>
      <w:tr w:rsidR="00505DDF" w:rsidRPr="000671ED" w:rsidTr="000671ED">
        <w:trPr>
          <w:trHeight w:val="43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_Hlk135909919"/>
            <w:r w:rsidRPr="000671ED">
              <w:rPr>
                <w:rFonts w:ascii="Arial" w:hAnsi="Arial" w:cs="Arial"/>
                <w:sz w:val="16"/>
                <w:szCs w:val="16"/>
              </w:rPr>
              <w:t>Small- Medium- and Micro-Enterprises</w:t>
            </w:r>
            <w:bookmarkEnd w:id="7"/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788" w:type="dxa"/>
          </w:tcPr>
          <w:p w:rsidR="00505DDF" w:rsidRPr="000671ED" w:rsidRDefault="00125AC0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0.3%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28%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R59bn</w:t>
            </w:r>
          </w:p>
        </w:tc>
        <w:tc>
          <w:tcPr>
            <w:tcW w:w="1451" w:type="dxa"/>
            <w:vMerge w:val="restart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5DDF" w:rsidRPr="000671ED" w:rsidRDefault="00AD7539" w:rsidP="000671ED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64%</w:t>
            </w:r>
          </w:p>
        </w:tc>
      </w:tr>
      <w:tr w:rsidR="00505DDF" w:rsidRPr="000671ED" w:rsidTr="000671ED">
        <w:trPr>
          <w:trHeight w:val="44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Qualifying Small Enterprises (QSE)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R24bn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44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Exempted Micro-Enterprises (EME)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R25bn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214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Black Youth Owned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1029" w:type="dxa"/>
          </w:tcPr>
          <w:p w:rsidR="00505DDF" w:rsidRPr="000671ED" w:rsidRDefault="00AD7539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05DDF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88" w:type="dxa"/>
          </w:tcPr>
          <w:p w:rsidR="00505DDF" w:rsidRPr="000671ED" w:rsidRDefault="00125AC0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0.3%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44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Black People with Disabilities (BPD)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0.3%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R341m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43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_Hlk136849039"/>
            <w:r w:rsidRPr="000671ED">
              <w:rPr>
                <w:rFonts w:ascii="Arial" w:hAnsi="Arial" w:cs="Arial"/>
                <w:sz w:val="16"/>
                <w:szCs w:val="16"/>
              </w:rPr>
              <w:t>Black-owned enterprises</w:t>
            </w:r>
            <w:r w:rsidR="00765B5F" w:rsidRPr="000671E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8"/>
            <w:r w:rsidR="00765B5F" w:rsidRPr="000671ED">
              <w:rPr>
                <w:rFonts w:ascii="Arial" w:hAnsi="Arial" w:cs="Arial"/>
                <w:sz w:val="16"/>
                <w:szCs w:val="16"/>
              </w:rPr>
              <w:t>(BOE)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1029" w:type="dxa"/>
          </w:tcPr>
          <w:p w:rsidR="00505DDF" w:rsidRPr="000671ED" w:rsidRDefault="00650AB1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3%</w:t>
            </w:r>
          </w:p>
        </w:tc>
        <w:tc>
          <w:tcPr>
            <w:tcW w:w="788" w:type="dxa"/>
          </w:tcPr>
          <w:p w:rsidR="00505DDF" w:rsidRPr="000671ED" w:rsidRDefault="00125AC0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0.6%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68%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43%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R10bn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214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_Hlk136849144"/>
            <w:r w:rsidRPr="000671ED">
              <w:rPr>
                <w:rFonts w:ascii="Arial" w:hAnsi="Arial" w:cs="Arial"/>
                <w:sz w:val="16"/>
                <w:szCs w:val="16"/>
              </w:rPr>
              <w:t xml:space="preserve">Black </w:t>
            </w:r>
            <w:r w:rsidR="000671ED" w:rsidRPr="000671ED">
              <w:rPr>
                <w:rFonts w:ascii="Arial" w:hAnsi="Arial" w:cs="Arial"/>
                <w:sz w:val="16"/>
                <w:szCs w:val="16"/>
              </w:rPr>
              <w:t>women owned</w:t>
            </w:r>
            <w:r w:rsidRPr="000671E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9"/>
            <w:r w:rsidRPr="000671ED">
              <w:rPr>
                <w:rFonts w:ascii="Arial" w:hAnsi="Arial" w:cs="Arial"/>
                <w:sz w:val="16"/>
                <w:szCs w:val="16"/>
              </w:rPr>
              <w:t>(BWO)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8%</w:t>
            </w:r>
          </w:p>
        </w:tc>
        <w:tc>
          <w:tcPr>
            <w:tcW w:w="1029" w:type="dxa"/>
          </w:tcPr>
          <w:p w:rsidR="00505DDF" w:rsidRPr="000671ED" w:rsidRDefault="0097106A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788" w:type="dxa"/>
          </w:tcPr>
          <w:p w:rsidR="00505DDF" w:rsidRPr="000671ED" w:rsidRDefault="00125AC0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0.5%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27%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R6bn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310"/>
        </w:trPr>
        <w:tc>
          <w:tcPr>
            <w:tcW w:w="2043" w:type="dxa"/>
          </w:tcPr>
          <w:p w:rsidR="00505DDF" w:rsidRPr="000671ED" w:rsidRDefault="00505DDF" w:rsidP="000671ED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Cooperatives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2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214"/>
        </w:trPr>
        <w:tc>
          <w:tcPr>
            <w:tcW w:w="204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Township Enterprises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2" w:type="dxa"/>
            <w:vMerge w:val="restart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1083" w:type="dxa"/>
            <w:vMerge w:val="restart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R4bn</w:t>
            </w: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5DDF" w:rsidRPr="000671ED" w:rsidTr="000671ED">
        <w:trPr>
          <w:trHeight w:val="350"/>
        </w:trPr>
        <w:tc>
          <w:tcPr>
            <w:tcW w:w="2043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Rural Enterprises</w:t>
            </w:r>
          </w:p>
        </w:tc>
        <w:tc>
          <w:tcPr>
            <w:tcW w:w="1140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29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8" w:type="dxa"/>
          </w:tcPr>
          <w:p w:rsidR="00505DDF" w:rsidRPr="000671ED" w:rsidRDefault="00125AC0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8" w:type="dxa"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2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505DDF" w:rsidRPr="000671ED" w:rsidRDefault="00505DDF" w:rsidP="000671ED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bookmarkEnd w:id="5"/>
    </w:tbl>
    <w:p w:rsidR="009C2260" w:rsidRPr="000671ED" w:rsidRDefault="009C2260" w:rsidP="000671ED">
      <w:pPr>
        <w:spacing w:line="360" w:lineRule="auto"/>
        <w:ind w:right="-425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0671ED" w:rsidRDefault="000671ED" w:rsidP="000671ED">
      <w:pPr>
        <w:spacing w:line="360" w:lineRule="auto"/>
        <w:ind w:right="-425"/>
        <w:contextualSpacing/>
        <w:jc w:val="both"/>
        <w:rPr>
          <w:rFonts w:ascii="Arial" w:eastAsia="Calibri" w:hAnsi="Arial" w:cs="Arial"/>
          <w:sz w:val="22"/>
          <w:szCs w:val="22"/>
        </w:rPr>
      </w:pPr>
      <w:bookmarkStart w:id="10" w:name="_Hlk135993253"/>
    </w:p>
    <w:p w:rsidR="00765B5F" w:rsidRDefault="00AA7303" w:rsidP="000671ED">
      <w:pPr>
        <w:spacing w:line="360" w:lineRule="auto"/>
        <w:ind w:right="-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above table provides an indication of the </w:t>
      </w:r>
      <w:r w:rsidRPr="00AA7303">
        <w:rPr>
          <w:rFonts w:ascii="Arial" w:eastAsia="Calibri" w:hAnsi="Arial" w:cs="Arial"/>
          <w:sz w:val="22"/>
          <w:szCs w:val="22"/>
        </w:rPr>
        <w:t>Total Measured Procurement Spend</w:t>
      </w:r>
      <w:r>
        <w:rPr>
          <w:rFonts w:ascii="Arial" w:eastAsia="Calibri" w:hAnsi="Arial" w:cs="Arial"/>
          <w:sz w:val="22"/>
          <w:szCs w:val="22"/>
        </w:rPr>
        <w:t xml:space="preserve"> per SOC with the percentage of total procurement on each transformation initiatives. For the Financial year 2021/22 </w:t>
      </w:r>
      <w:r w:rsidR="002D17B8">
        <w:rPr>
          <w:rFonts w:ascii="Arial" w:eastAsia="Calibri" w:hAnsi="Arial" w:cs="Arial"/>
          <w:sz w:val="22"/>
          <w:szCs w:val="22"/>
        </w:rPr>
        <w:t xml:space="preserve">SOCs within the Department portfolio reported a total spent of </w:t>
      </w:r>
      <w:r>
        <w:rPr>
          <w:rFonts w:ascii="Arial" w:eastAsia="Calibri" w:hAnsi="Arial" w:cs="Arial"/>
          <w:sz w:val="22"/>
          <w:szCs w:val="22"/>
        </w:rPr>
        <w:t>R</w:t>
      </w:r>
      <w:r w:rsidR="00505DDF">
        <w:rPr>
          <w:rFonts w:ascii="Arial" w:eastAsia="Calibri" w:hAnsi="Arial" w:cs="Arial"/>
          <w:sz w:val="22"/>
          <w:szCs w:val="22"/>
        </w:rPr>
        <w:t>129</w:t>
      </w:r>
      <w:r>
        <w:rPr>
          <w:rFonts w:ascii="Arial" w:eastAsia="Calibri" w:hAnsi="Arial" w:cs="Arial"/>
          <w:sz w:val="22"/>
          <w:szCs w:val="22"/>
        </w:rPr>
        <w:t xml:space="preserve"> Billion on</w:t>
      </w:r>
      <w:r w:rsidR="002D17B8">
        <w:rPr>
          <w:rFonts w:ascii="Arial" w:eastAsia="Calibri" w:hAnsi="Arial" w:cs="Arial"/>
          <w:sz w:val="22"/>
          <w:szCs w:val="22"/>
        </w:rPr>
        <w:t xml:space="preserve"> Transformation initiatives. Of the R</w:t>
      </w:r>
      <w:r w:rsidR="005741CA">
        <w:rPr>
          <w:rFonts w:ascii="Arial" w:eastAsia="Calibri" w:hAnsi="Arial" w:cs="Arial"/>
          <w:sz w:val="22"/>
          <w:szCs w:val="22"/>
        </w:rPr>
        <w:t>129</w:t>
      </w:r>
      <w:r w:rsidR="002D17B8">
        <w:rPr>
          <w:rFonts w:ascii="Arial" w:eastAsia="Calibri" w:hAnsi="Arial" w:cs="Arial"/>
          <w:sz w:val="22"/>
          <w:szCs w:val="22"/>
        </w:rPr>
        <w:t xml:space="preserve"> Billion</w:t>
      </w:r>
      <w:r w:rsidR="00505DDF">
        <w:rPr>
          <w:rFonts w:ascii="Arial" w:eastAsia="Calibri" w:hAnsi="Arial" w:cs="Arial"/>
          <w:sz w:val="22"/>
          <w:szCs w:val="22"/>
        </w:rPr>
        <w:t xml:space="preserve">, 45% was on procurement from SMMEs, 18% on </w:t>
      </w:r>
      <w:r w:rsidR="001A7D6B" w:rsidRPr="00FB6A91">
        <w:rPr>
          <w:rFonts w:ascii="Arial" w:eastAsia="Calibri" w:hAnsi="Arial" w:cs="Arial"/>
          <w:sz w:val="22"/>
          <w:szCs w:val="22"/>
        </w:rPr>
        <w:t>Q</w:t>
      </w:r>
      <w:r w:rsidR="001A7D6B">
        <w:rPr>
          <w:rFonts w:ascii="Arial" w:eastAsia="Calibri" w:hAnsi="Arial" w:cs="Arial"/>
          <w:sz w:val="22"/>
          <w:szCs w:val="22"/>
        </w:rPr>
        <w:t xml:space="preserve">ualifying </w:t>
      </w:r>
      <w:r w:rsidR="001A7D6B" w:rsidRPr="00FB6A91">
        <w:rPr>
          <w:rFonts w:ascii="Arial" w:eastAsia="Calibri" w:hAnsi="Arial" w:cs="Arial"/>
          <w:sz w:val="22"/>
          <w:szCs w:val="22"/>
        </w:rPr>
        <w:t>S</w:t>
      </w:r>
      <w:r w:rsidR="001A7D6B">
        <w:rPr>
          <w:rFonts w:ascii="Arial" w:eastAsia="Calibri" w:hAnsi="Arial" w:cs="Arial"/>
          <w:sz w:val="22"/>
          <w:szCs w:val="22"/>
        </w:rPr>
        <w:t xml:space="preserve">mall 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 (</w:t>
      </w:r>
      <w:r w:rsidR="00505DDF">
        <w:rPr>
          <w:rFonts w:ascii="Arial" w:eastAsia="Calibri" w:hAnsi="Arial" w:cs="Arial"/>
          <w:sz w:val="22"/>
          <w:szCs w:val="22"/>
        </w:rPr>
        <w:t>QSE</w:t>
      </w:r>
      <w:r w:rsidR="001A7D6B">
        <w:rPr>
          <w:rFonts w:ascii="Arial" w:eastAsia="Calibri" w:hAnsi="Arial" w:cs="Arial"/>
          <w:sz w:val="22"/>
          <w:szCs w:val="22"/>
        </w:rPr>
        <w:t>)</w:t>
      </w:r>
      <w:r w:rsidR="00505DDF">
        <w:rPr>
          <w:rFonts w:ascii="Arial" w:eastAsia="Calibri" w:hAnsi="Arial" w:cs="Arial"/>
          <w:sz w:val="22"/>
          <w:szCs w:val="22"/>
        </w:rPr>
        <w:t>, 19% on</w:t>
      </w:r>
      <w:r w:rsidR="001A7D6B" w:rsidRPr="001A7D6B">
        <w:rPr>
          <w:rFonts w:ascii="Arial" w:eastAsia="Calibri" w:hAnsi="Arial" w:cs="Arial"/>
          <w:sz w:val="22"/>
          <w:szCs w:val="22"/>
        </w:rPr>
        <w:t xml:space="preserve"> 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 xml:space="preserve">xempted </w:t>
      </w:r>
      <w:r w:rsidR="001A7D6B" w:rsidRPr="00FB6A91">
        <w:rPr>
          <w:rFonts w:ascii="Arial" w:eastAsia="Calibri" w:hAnsi="Arial" w:cs="Arial"/>
          <w:sz w:val="22"/>
          <w:szCs w:val="22"/>
        </w:rPr>
        <w:t>M</w:t>
      </w:r>
      <w:r w:rsidR="001A7D6B">
        <w:rPr>
          <w:rFonts w:ascii="Arial" w:eastAsia="Calibri" w:hAnsi="Arial" w:cs="Arial"/>
          <w:sz w:val="22"/>
          <w:szCs w:val="22"/>
        </w:rPr>
        <w:t>icro-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</w:t>
      </w:r>
      <w:r w:rsidR="00505DDF">
        <w:rPr>
          <w:rFonts w:ascii="Arial" w:eastAsia="Calibri" w:hAnsi="Arial" w:cs="Arial"/>
          <w:sz w:val="22"/>
          <w:szCs w:val="22"/>
        </w:rPr>
        <w:t xml:space="preserve"> </w:t>
      </w:r>
      <w:r w:rsidR="001A7D6B">
        <w:rPr>
          <w:rFonts w:ascii="Arial" w:eastAsia="Calibri" w:hAnsi="Arial" w:cs="Arial"/>
          <w:sz w:val="22"/>
          <w:szCs w:val="22"/>
        </w:rPr>
        <w:t>(</w:t>
      </w:r>
      <w:r w:rsidR="00505DDF">
        <w:rPr>
          <w:rFonts w:ascii="Arial" w:eastAsia="Calibri" w:hAnsi="Arial" w:cs="Arial"/>
          <w:sz w:val="22"/>
          <w:szCs w:val="22"/>
        </w:rPr>
        <w:t>EME</w:t>
      </w:r>
      <w:r w:rsidR="001A7D6B">
        <w:rPr>
          <w:rFonts w:ascii="Arial" w:eastAsia="Calibri" w:hAnsi="Arial" w:cs="Arial"/>
          <w:sz w:val="22"/>
          <w:szCs w:val="22"/>
        </w:rPr>
        <w:t>)</w:t>
      </w:r>
      <w:r w:rsidR="00505DDF">
        <w:rPr>
          <w:rFonts w:ascii="Arial" w:eastAsia="Calibri" w:hAnsi="Arial" w:cs="Arial"/>
          <w:sz w:val="22"/>
          <w:szCs w:val="22"/>
        </w:rPr>
        <w:t>, 8% on</w:t>
      </w:r>
      <w:r w:rsidR="006B0028" w:rsidRPr="006B0028">
        <w:rPr>
          <w:rFonts w:ascii="Arial" w:hAnsi="Arial" w:cs="Arial"/>
          <w:sz w:val="22"/>
          <w:szCs w:val="22"/>
        </w:rPr>
        <w:t xml:space="preserve"> </w:t>
      </w:r>
      <w:r w:rsidR="006B0028" w:rsidRPr="001A7D6B">
        <w:rPr>
          <w:rFonts w:ascii="Arial" w:hAnsi="Arial" w:cs="Arial"/>
          <w:sz w:val="22"/>
          <w:szCs w:val="22"/>
        </w:rPr>
        <w:t>Black women owned</w:t>
      </w:r>
      <w:r w:rsidR="00505DDF">
        <w:rPr>
          <w:rFonts w:ascii="Arial" w:eastAsia="Calibri" w:hAnsi="Arial" w:cs="Arial"/>
          <w:sz w:val="22"/>
          <w:szCs w:val="22"/>
        </w:rPr>
        <w:t xml:space="preserve"> </w:t>
      </w:r>
      <w:r w:rsidR="006B0028">
        <w:rPr>
          <w:rFonts w:ascii="Arial" w:eastAsia="Calibri" w:hAnsi="Arial" w:cs="Arial"/>
          <w:sz w:val="22"/>
          <w:szCs w:val="22"/>
        </w:rPr>
        <w:t>(</w:t>
      </w:r>
      <w:r w:rsidR="00505DDF">
        <w:rPr>
          <w:rFonts w:ascii="Arial" w:eastAsia="Calibri" w:hAnsi="Arial" w:cs="Arial"/>
          <w:sz w:val="22"/>
          <w:szCs w:val="22"/>
        </w:rPr>
        <w:t>B</w:t>
      </w:r>
      <w:r w:rsidR="00765B5F">
        <w:rPr>
          <w:rFonts w:ascii="Arial" w:eastAsia="Calibri" w:hAnsi="Arial" w:cs="Arial"/>
          <w:sz w:val="22"/>
          <w:szCs w:val="22"/>
        </w:rPr>
        <w:t>OE</w:t>
      </w:r>
      <w:r w:rsidR="006B0028">
        <w:rPr>
          <w:rFonts w:ascii="Arial" w:eastAsia="Calibri" w:hAnsi="Arial" w:cs="Arial"/>
          <w:sz w:val="22"/>
          <w:szCs w:val="22"/>
        </w:rPr>
        <w:t>)</w:t>
      </w:r>
      <w:r w:rsidR="00765B5F">
        <w:rPr>
          <w:rFonts w:ascii="Arial" w:eastAsia="Calibri" w:hAnsi="Arial" w:cs="Arial"/>
          <w:sz w:val="22"/>
          <w:szCs w:val="22"/>
        </w:rPr>
        <w:t xml:space="preserve">, 5% </w:t>
      </w:r>
      <w:r w:rsidR="001A7D6B">
        <w:rPr>
          <w:rFonts w:ascii="Arial" w:eastAsia="Calibri" w:hAnsi="Arial" w:cs="Arial"/>
          <w:sz w:val="22"/>
          <w:szCs w:val="22"/>
        </w:rPr>
        <w:t xml:space="preserve">on </w:t>
      </w:r>
      <w:r w:rsidR="001A7D6B" w:rsidRPr="001A7D6B">
        <w:rPr>
          <w:rFonts w:ascii="Arial" w:hAnsi="Arial" w:cs="Arial"/>
          <w:sz w:val="22"/>
          <w:szCs w:val="22"/>
        </w:rPr>
        <w:t>Black women owned</w:t>
      </w:r>
      <w:r w:rsidR="001A7D6B">
        <w:rPr>
          <w:rFonts w:ascii="Arial" w:hAnsi="Arial" w:cs="Arial"/>
          <w:bCs/>
          <w:sz w:val="22"/>
          <w:szCs w:val="22"/>
        </w:rPr>
        <w:t xml:space="preserve"> (</w:t>
      </w:r>
      <w:r w:rsidR="001A7D6B">
        <w:rPr>
          <w:rFonts w:ascii="Arial" w:eastAsia="Calibri" w:hAnsi="Arial" w:cs="Arial"/>
          <w:sz w:val="22"/>
          <w:szCs w:val="22"/>
        </w:rPr>
        <w:t>BWO)</w:t>
      </w:r>
      <w:r w:rsidR="00765B5F">
        <w:rPr>
          <w:rFonts w:ascii="Arial" w:eastAsia="Calibri" w:hAnsi="Arial" w:cs="Arial"/>
          <w:sz w:val="22"/>
          <w:szCs w:val="22"/>
        </w:rPr>
        <w:t xml:space="preserve">, </w:t>
      </w:r>
      <w:r w:rsidR="00505DDF">
        <w:rPr>
          <w:rFonts w:ascii="Arial" w:eastAsia="Calibri" w:hAnsi="Arial" w:cs="Arial"/>
          <w:sz w:val="22"/>
          <w:szCs w:val="22"/>
        </w:rPr>
        <w:t xml:space="preserve">1% on Youth owned Enterprises </w:t>
      </w:r>
      <w:r w:rsidR="001A7D6B">
        <w:rPr>
          <w:rFonts w:ascii="Arial" w:eastAsia="Calibri" w:hAnsi="Arial" w:cs="Arial"/>
          <w:sz w:val="22"/>
          <w:szCs w:val="22"/>
        </w:rPr>
        <w:t xml:space="preserve">and </w:t>
      </w:r>
      <w:r w:rsidR="001A7D6B" w:rsidRPr="001A7D6B">
        <w:rPr>
          <w:rFonts w:ascii="Arial" w:hAnsi="Arial" w:cs="Arial"/>
          <w:sz w:val="22"/>
          <w:szCs w:val="22"/>
        </w:rPr>
        <w:t>Black People with Disabilities</w:t>
      </w:r>
      <w:r w:rsidR="001A7D6B">
        <w:rPr>
          <w:rFonts w:ascii="Arial" w:eastAsia="Calibri" w:hAnsi="Arial" w:cs="Arial"/>
          <w:sz w:val="22"/>
          <w:szCs w:val="22"/>
        </w:rPr>
        <w:t xml:space="preserve"> (BPD)</w:t>
      </w:r>
      <w:r w:rsidR="00505DDF">
        <w:rPr>
          <w:rFonts w:ascii="Arial" w:eastAsia="Calibri" w:hAnsi="Arial" w:cs="Arial"/>
          <w:sz w:val="22"/>
          <w:szCs w:val="22"/>
        </w:rPr>
        <w:t>, whil</w:t>
      </w:r>
      <w:r w:rsidR="00765B5F">
        <w:rPr>
          <w:rFonts w:ascii="Arial" w:eastAsia="Calibri" w:hAnsi="Arial" w:cs="Arial"/>
          <w:sz w:val="22"/>
          <w:szCs w:val="22"/>
        </w:rPr>
        <w:t>e spent on Rural and Township Enterprises was 3%.</w:t>
      </w:r>
    </w:p>
    <w:p w:rsidR="009C2260" w:rsidRPr="00FB6A91" w:rsidRDefault="009C2260" w:rsidP="009C2260">
      <w:pPr>
        <w:spacing w:line="360" w:lineRule="auto"/>
        <w:ind w:left="-284" w:right="-425"/>
        <w:contextualSpacing/>
        <w:jc w:val="both"/>
        <w:rPr>
          <w:rFonts w:ascii="Arial" w:eastAsia="Calibri" w:hAnsi="Arial" w:cs="Arial"/>
          <w:sz w:val="22"/>
          <w:szCs w:val="22"/>
        </w:rPr>
      </w:pPr>
    </w:p>
    <w:bookmarkEnd w:id="10"/>
    <w:p w:rsidR="00AD7539" w:rsidRPr="00AD7539" w:rsidRDefault="00AD7539" w:rsidP="00AD7539">
      <w:pPr>
        <w:ind w:left="720" w:hanging="862"/>
        <w:contextualSpacing/>
        <w:rPr>
          <w:rFonts w:ascii="Arial" w:eastAsia="Calibri" w:hAnsi="Arial" w:cs="Arial"/>
          <w:sz w:val="22"/>
          <w:szCs w:val="22"/>
        </w:rPr>
      </w:pPr>
      <w:r w:rsidRPr="00AD7539">
        <w:rPr>
          <w:rFonts w:ascii="Arial" w:eastAsia="Calibri" w:hAnsi="Arial" w:cs="Arial"/>
          <w:sz w:val="22"/>
          <w:szCs w:val="22"/>
        </w:rPr>
        <w:t xml:space="preserve">Table </w:t>
      </w:r>
      <w:r>
        <w:rPr>
          <w:rFonts w:ascii="Arial" w:eastAsia="Calibri" w:hAnsi="Arial" w:cs="Arial"/>
          <w:sz w:val="22"/>
          <w:szCs w:val="22"/>
        </w:rPr>
        <w:t>2</w:t>
      </w:r>
      <w:r w:rsidRPr="00AD7539">
        <w:rPr>
          <w:rFonts w:ascii="Arial" w:eastAsia="Calibri" w:hAnsi="Arial" w:cs="Arial"/>
          <w:sz w:val="22"/>
          <w:szCs w:val="22"/>
        </w:rPr>
        <w:t>: 202</w:t>
      </w:r>
      <w:r>
        <w:rPr>
          <w:rFonts w:ascii="Arial" w:eastAsia="Calibri" w:hAnsi="Arial" w:cs="Arial"/>
          <w:sz w:val="22"/>
          <w:szCs w:val="22"/>
        </w:rPr>
        <w:t>2</w:t>
      </w:r>
      <w:r w:rsidRPr="00AD7539">
        <w:rPr>
          <w:rFonts w:ascii="Arial" w:eastAsia="Calibri" w:hAnsi="Arial" w:cs="Arial"/>
          <w:sz w:val="22"/>
          <w:szCs w:val="22"/>
        </w:rPr>
        <w:t>-2</w:t>
      </w:r>
      <w:r>
        <w:rPr>
          <w:rFonts w:ascii="Arial" w:eastAsia="Calibri" w:hAnsi="Arial" w:cs="Arial"/>
          <w:sz w:val="22"/>
          <w:szCs w:val="22"/>
        </w:rPr>
        <w:t>3</w:t>
      </w:r>
      <w:r w:rsidRPr="00AD7539">
        <w:rPr>
          <w:rFonts w:ascii="Arial" w:eastAsia="Calibri" w:hAnsi="Arial" w:cs="Arial"/>
          <w:sz w:val="22"/>
          <w:szCs w:val="22"/>
        </w:rPr>
        <w:t xml:space="preserve"> SOCs measured procurement and transformation spend.</w:t>
      </w:r>
    </w:p>
    <w:p w:rsidR="00BF5540" w:rsidRPr="00FB6A91" w:rsidRDefault="00BF5540" w:rsidP="00AD7539">
      <w:pPr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2"/>
        <w:tblW w:w="10319" w:type="dxa"/>
        <w:tblInd w:w="137" w:type="dxa"/>
        <w:tblLayout w:type="fixed"/>
        <w:tblLook w:val="04A0"/>
      </w:tblPr>
      <w:tblGrid>
        <w:gridCol w:w="1992"/>
        <w:gridCol w:w="814"/>
        <w:gridCol w:w="943"/>
        <w:gridCol w:w="1119"/>
        <w:gridCol w:w="979"/>
        <w:gridCol w:w="979"/>
        <w:gridCol w:w="1119"/>
        <w:gridCol w:w="1119"/>
        <w:gridCol w:w="1255"/>
      </w:tblGrid>
      <w:tr w:rsidR="007722FB" w:rsidRPr="000671ED" w:rsidTr="00F90F8A">
        <w:trPr>
          <w:trHeight w:val="100"/>
        </w:trPr>
        <w:tc>
          <w:tcPr>
            <w:tcW w:w="1992" w:type="dxa"/>
          </w:tcPr>
          <w:p w:rsidR="00765B5F" w:rsidRPr="000671ED" w:rsidRDefault="00765B5F" w:rsidP="00BF55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% Allocated</w:t>
            </w:r>
          </w:p>
        </w:tc>
        <w:tc>
          <w:tcPr>
            <w:tcW w:w="814" w:type="dxa"/>
          </w:tcPr>
          <w:p w:rsidR="00765B5F" w:rsidRPr="000671ED" w:rsidRDefault="00765B5F" w:rsidP="00BF5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Alexkor</w:t>
            </w:r>
          </w:p>
        </w:tc>
        <w:tc>
          <w:tcPr>
            <w:tcW w:w="943" w:type="dxa"/>
          </w:tcPr>
          <w:p w:rsidR="00765B5F" w:rsidRPr="000671ED" w:rsidRDefault="00765B5F" w:rsidP="00BF5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Denel</w:t>
            </w:r>
          </w:p>
        </w:tc>
        <w:tc>
          <w:tcPr>
            <w:tcW w:w="111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Eskom </w:t>
            </w:r>
          </w:p>
        </w:tc>
        <w:tc>
          <w:tcPr>
            <w:tcW w:w="97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SAA</w:t>
            </w:r>
          </w:p>
        </w:tc>
        <w:tc>
          <w:tcPr>
            <w:tcW w:w="97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0671ED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afcol</w:t>
            </w:r>
          </w:p>
        </w:tc>
        <w:tc>
          <w:tcPr>
            <w:tcW w:w="111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Transnet</w:t>
            </w:r>
          </w:p>
        </w:tc>
        <w:tc>
          <w:tcPr>
            <w:tcW w:w="111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55" w:type="dxa"/>
          </w:tcPr>
          <w:p w:rsidR="00765B5F" w:rsidRPr="000671ED" w:rsidRDefault="000671ED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 on transformational initiatives</w:t>
            </w:r>
          </w:p>
        </w:tc>
      </w:tr>
      <w:tr w:rsidR="007722FB" w:rsidRPr="000671ED" w:rsidTr="00F90F8A">
        <w:trPr>
          <w:trHeight w:val="205"/>
        </w:trPr>
        <w:tc>
          <w:tcPr>
            <w:tcW w:w="1992" w:type="dxa"/>
          </w:tcPr>
          <w:p w:rsidR="00765B5F" w:rsidRPr="000671ED" w:rsidRDefault="00765B5F" w:rsidP="00BF55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Total Measured Procurement Spend</w:t>
            </w:r>
          </w:p>
        </w:tc>
        <w:tc>
          <w:tcPr>
            <w:tcW w:w="814" w:type="dxa"/>
          </w:tcPr>
          <w:p w:rsidR="00765B5F" w:rsidRPr="000671ED" w:rsidRDefault="00765B5F" w:rsidP="00BF5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765B5F" w:rsidRPr="000671ED" w:rsidRDefault="00765B5F" w:rsidP="00BF55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R889m</w:t>
            </w:r>
          </w:p>
        </w:tc>
        <w:tc>
          <w:tcPr>
            <w:tcW w:w="111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R206bn</w:t>
            </w:r>
          </w:p>
        </w:tc>
        <w:tc>
          <w:tcPr>
            <w:tcW w:w="97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R1.0 bn</w:t>
            </w:r>
          </w:p>
        </w:tc>
        <w:tc>
          <w:tcPr>
            <w:tcW w:w="97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R644m</w:t>
            </w:r>
          </w:p>
        </w:tc>
        <w:tc>
          <w:tcPr>
            <w:tcW w:w="1119" w:type="dxa"/>
          </w:tcPr>
          <w:p w:rsidR="00765B5F" w:rsidRPr="000671ED" w:rsidRDefault="00765B5F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R30bn</w:t>
            </w:r>
          </w:p>
        </w:tc>
        <w:tc>
          <w:tcPr>
            <w:tcW w:w="1119" w:type="dxa"/>
          </w:tcPr>
          <w:p w:rsidR="00765B5F" w:rsidRPr="000671ED" w:rsidRDefault="00757E57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R239bn</w:t>
            </w:r>
          </w:p>
        </w:tc>
        <w:tc>
          <w:tcPr>
            <w:tcW w:w="1255" w:type="dxa"/>
          </w:tcPr>
          <w:p w:rsidR="00765B5F" w:rsidRPr="000671ED" w:rsidRDefault="00AD7539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R191bn</w:t>
            </w:r>
          </w:p>
        </w:tc>
      </w:tr>
      <w:tr w:rsidR="009C2260" w:rsidRPr="000671ED" w:rsidTr="00F90F8A">
        <w:trPr>
          <w:trHeight w:val="202"/>
        </w:trPr>
        <w:tc>
          <w:tcPr>
            <w:tcW w:w="1992" w:type="dxa"/>
          </w:tcPr>
          <w:p w:rsidR="009C2260" w:rsidRPr="000671ED" w:rsidRDefault="009C2260" w:rsidP="00BF5540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Small- Medium- and Micro-Enterprises</w:t>
            </w:r>
          </w:p>
        </w:tc>
        <w:tc>
          <w:tcPr>
            <w:tcW w:w="814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36%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979" w:type="dxa"/>
          </w:tcPr>
          <w:p w:rsidR="009C2260" w:rsidRPr="000671ED" w:rsidRDefault="00125AC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0.6%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650AB1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bn</w:t>
            </w:r>
          </w:p>
        </w:tc>
        <w:tc>
          <w:tcPr>
            <w:tcW w:w="1255" w:type="dxa"/>
            <w:vMerge w:val="restart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C2260" w:rsidRPr="000671ED" w:rsidRDefault="00AD7539" w:rsidP="00AD7539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80%</w:t>
            </w:r>
          </w:p>
        </w:tc>
      </w:tr>
      <w:tr w:rsidR="009C2260" w:rsidRPr="000671ED" w:rsidTr="00F90F8A">
        <w:trPr>
          <w:trHeight w:val="205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 xml:space="preserve">Qualifying Small Enterprises 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0.1%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22%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R31bn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205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 xml:space="preserve">Exempted Micro-Enterprises 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0.1%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R30bn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100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Black Youth Owned</w:t>
            </w:r>
            <w:r w:rsidR="00FB08F8" w:rsidRPr="000671ED">
              <w:rPr>
                <w:rFonts w:ascii="Arial" w:hAnsi="Arial" w:cs="Arial"/>
                <w:sz w:val="16"/>
                <w:szCs w:val="16"/>
              </w:rPr>
              <w:t xml:space="preserve"> (BYO)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0.2%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8%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650AB1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205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Black People with Disabilities</w:t>
            </w:r>
            <w:r w:rsidR="00FB08F8" w:rsidRPr="000671ED">
              <w:rPr>
                <w:rFonts w:ascii="Arial" w:hAnsi="Arial" w:cs="Arial"/>
                <w:sz w:val="16"/>
                <w:szCs w:val="16"/>
              </w:rPr>
              <w:t xml:space="preserve"> (BPD)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0.8%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0.2%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R2bn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202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Black-owned enterprises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1119" w:type="dxa"/>
          </w:tcPr>
          <w:p w:rsidR="009C2260" w:rsidRPr="000671ED" w:rsidRDefault="00650AB1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0.3%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71%</w:t>
            </w:r>
          </w:p>
        </w:tc>
        <w:tc>
          <w:tcPr>
            <w:tcW w:w="1119" w:type="dxa"/>
          </w:tcPr>
          <w:p w:rsidR="009C2260" w:rsidRPr="000671ED" w:rsidRDefault="00650AB1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  <w:r w:rsidR="009C2260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650AB1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100"/>
        </w:trPr>
        <w:tc>
          <w:tcPr>
            <w:tcW w:w="1992" w:type="dxa"/>
          </w:tcPr>
          <w:p w:rsidR="009C2260" w:rsidRPr="000671ED" w:rsidRDefault="009C2260" w:rsidP="000F6A8C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 xml:space="preserve">Black </w:t>
            </w:r>
            <w:r w:rsidR="000671ED" w:rsidRPr="000671ED">
              <w:rPr>
                <w:rFonts w:ascii="Arial" w:hAnsi="Arial" w:cs="Arial"/>
                <w:sz w:val="16"/>
                <w:szCs w:val="16"/>
              </w:rPr>
              <w:t>women owned</w:t>
            </w:r>
            <w:r w:rsidR="00FB08F8" w:rsidRPr="000671ED">
              <w:rPr>
                <w:rFonts w:ascii="Arial" w:hAnsi="Arial" w:cs="Arial"/>
                <w:sz w:val="16"/>
                <w:szCs w:val="16"/>
              </w:rPr>
              <w:t xml:space="preserve"> (BWO)</w:t>
            </w:r>
          </w:p>
        </w:tc>
        <w:tc>
          <w:tcPr>
            <w:tcW w:w="814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15%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0.2%</w:t>
            </w:r>
          </w:p>
        </w:tc>
        <w:tc>
          <w:tcPr>
            <w:tcW w:w="97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34%</w:t>
            </w:r>
          </w:p>
        </w:tc>
        <w:tc>
          <w:tcPr>
            <w:tcW w:w="1119" w:type="dxa"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650AB1"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bn</w:t>
            </w:r>
          </w:p>
        </w:tc>
        <w:tc>
          <w:tcPr>
            <w:tcW w:w="1255" w:type="dxa"/>
            <w:vMerge/>
          </w:tcPr>
          <w:p w:rsidR="009C2260" w:rsidRPr="000671ED" w:rsidRDefault="009C2260" w:rsidP="000F6A8C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202"/>
        </w:trPr>
        <w:tc>
          <w:tcPr>
            <w:tcW w:w="1992" w:type="dxa"/>
          </w:tcPr>
          <w:p w:rsidR="009C2260" w:rsidRPr="000671ED" w:rsidRDefault="009C2260" w:rsidP="00BF5540">
            <w:pPr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  <w:lang w:val="en-US"/>
              </w:rPr>
              <w:t>Cooperatives</w:t>
            </w:r>
          </w:p>
        </w:tc>
        <w:tc>
          <w:tcPr>
            <w:tcW w:w="814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5" w:type="dxa"/>
            <w:vMerge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104"/>
        </w:trPr>
        <w:tc>
          <w:tcPr>
            <w:tcW w:w="1992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Township Enterprises</w:t>
            </w:r>
          </w:p>
        </w:tc>
        <w:tc>
          <w:tcPr>
            <w:tcW w:w="814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5" w:type="dxa"/>
            <w:vMerge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C2260" w:rsidRPr="000671ED" w:rsidTr="00F90F8A">
        <w:trPr>
          <w:trHeight w:val="223"/>
        </w:trPr>
        <w:tc>
          <w:tcPr>
            <w:tcW w:w="1992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671ED">
              <w:rPr>
                <w:rFonts w:ascii="Arial" w:hAnsi="Arial" w:cs="Arial"/>
                <w:sz w:val="16"/>
                <w:szCs w:val="16"/>
              </w:rPr>
              <w:t>Rural Enterprises</w:t>
            </w:r>
          </w:p>
        </w:tc>
        <w:tc>
          <w:tcPr>
            <w:tcW w:w="814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1E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5" w:type="dxa"/>
            <w:vMerge/>
          </w:tcPr>
          <w:p w:rsidR="009C2260" w:rsidRPr="000671ED" w:rsidRDefault="009C2260" w:rsidP="00BF5540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50AB1" w:rsidRPr="000671ED" w:rsidRDefault="00650AB1" w:rsidP="00650AB1">
      <w:pPr>
        <w:rPr>
          <w:rFonts w:ascii="Arial" w:hAnsi="Arial" w:cs="Arial"/>
          <w:b/>
          <w:sz w:val="16"/>
          <w:szCs w:val="16"/>
        </w:rPr>
      </w:pPr>
    </w:p>
    <w:p w:rsidR="00650AB1" w:rsidRDefault="00650AB1" w:rsidP="00FB08F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50AB1">
        <w:rPr>
          <w:rFonts w:ascii="Arial" w:hAnsi="Arial" w:cs="Arial"/>
          <w:bCs/>
          <w:sz w:val="22"/>
          <w:szCs w:val="22"/>
        </w:rPr>
        <w:t>The above table provides an indication of the Total Measured Procurement Spend per SOC with the percentage of total procurement on each transformation initiatives</w:t>
      </w:r>
      <w:r>
        <w:rPr>
          <w:rFonts w:ascii="Arial" w:hAnsi="Arial" w:cs="Arial"/>
          <w:bCs/>
          <w:sz w:val="22"/>
          <w:szCs w:val="22"/>
        </w:rPr>
        <w:t xml:space="preserve"> f</w:t>
      </w:r>
      <w:r w:rsidRPr="00650AB1">
        <w:rPr>
          <w:rFonts w:ascii="Arial" w:hAnsi="Arial" w:cs="Arial"/>
          <w:bCs/>
          <w:sz w:val="22"/>
          <w:szCs w:val="22"/>
        </w:rPr>
        <w:t xml:space="preserve">or the </w:t>
      </w:r>
      <w:r>
        <w:rPr>
          <w:rFonts w:ascii="Arial" w:hAnsi="Arial" w:cs="Arial"/>
          <w:bCs/>
          <w:sz w:val="22"/>
          <w:szCs w:val="22"/>
        </w:rPr>
        <w:t>f</w:t>
      </w:r>
      <w:r w:rsidRPr="00650AB1">
        <w:rPr>
          <w:rFonts w:ascii="Arial" w:hAnsi="Arial" w:cs="Arial"/>
          <w:bCs/>
          <w:sz w:val="22"/>
          <w:szCs w:val="22"/>
        </w:rPr>
        <w:t>inancial year 202</w:t>
      </w:r>
      <w:r>
        <w:rPr>
          <w:rFonts w:ascii="Arial" w:hAnsi="Arial" w:cs="Arial"/>
          <w:bCs/>
          <w:sz w:val="22"/>
          <w:szCs w:val="22"/>
        </w:rPr>
        <w:t>2</w:t>
      </w:r>
      <w:r w:rsidRPr="00650AB1">
        <w:rPr>
          <w:rFonts w:ascii="Arial" w:hAnsi="Arial" w:cs="Arial"/>
          <w:bCs/>
          <w:sz w:val="22"/>
          <w:szCs w:val="22"/>
        </w:rPr>
        <w:t>/2</w:t>
      </w:r>
      <w:r>
        <w:rPr>
          <w:rFonts w:ascii="Arial" w:hAnsi="Arial" w:cs="Arial"/>
          <w:bCs/>
          <w:sz w:val="22"/>
          <w:szCs w:val="22"/>
        </w:rPr>
        <w:t>3.</w:t>
      </w:r>
    </w:p>
    <w:p w:rsidR="00F64263" w:rsidRDefault="00650AB1" w:rsidP="00FB08F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the 2022/23 financial year </w:t>
      </w:r>
      <w:r w:rsidRPr="00650AB1">
        <w:rPr>
          <w:rFonts w:ascii="Arial" w:hAnsi="Arial" w:cs="Arial"/>
          <w:bCs/>
          <w:sz w:val="22"/>
          <w:szCs w:val="22"/>
        </w:rPr>
        <w:t xml:space="preserve">SOCs within the Department portfolio reported a total </w:t>
      </w:r>
      <w:r w:rsidR="00FB08F8">
        <w:rPr>
          <w:rFonts w:ascii="Arial" w:hAnsi="Arial" w:cs="Arial"/>
          <w:bCs/>
          <w:sz w:val="22"/>
          <w:szCs w:val="22"/>
        </w:rPr>
        <w:t xml:space="preserve">measurable procurement </w:t>
      </w:r>
      <w:r w:rsidRPr="00650AB1">
        <w:rPr>
          <w:rFonts w:ascii="Arial" w:hAnsi="Arial" w:cs="Arial"/>
          <w:bCs/>
          <w:sz w:val="22"/>
          <w:szCs w:val="22"/>
        </w:rPr>
        <w:t>spent of R</w:t>
      </w:r>
      <w:r w:rsidR="00FB08F8">
        <w:rPr>
          <w:rFonts w:ascii="Arial" w:hAnsi="Arial" w:cs="Arial"/>
          <w:bCs/>
          <w:sz w:val="22"/>
          <w:szCs w:val="22"/>
        </w:rPr>
        <w:t>23</w:t>
      </w:r>
      <w:r w:rsidRPr="00650AB1">
        <w:rPr>
          <w:rFonts w:ascii="Arial" w:hAnsi="Arial" w:cs="Arial"/>
          <w:bCs/>
          <w:sz w:val="22"/>
          <w:szCs w:val="22"/>
        </w:rPr>
        <w:t>9 Billion</w:t>
      </w:r>
      <w:r w:rsidR="00FB08F8">
        <w:rPr>
          <w:rFonts w:ascii="Arial" w:hAnsi="Arial" w:cs="Arial"/>
          <w:bCs/>
          <w:sz w:val="22"/>
          <w:szCs w:val="22"/>
        </w:rPr>
        <w:t>.</w:t>
      </w:r>
      <w:r w:rsidR="00D366B6">
        <w:rPr>
          <w:rFonts w:ascii="Arial" w:hAnsi="Arial" w:cs="Arial"/>
          <w:bCs/>
          <w:sz w:val="22"/>
          <w:szCs w:val="22"/>
        </w:rPr>
        <w:t xml:space="preserve"> </w:t>
      </w:r>
      <w:r w:rsidR="00FB08F8">
        <w:rPr>
          <w:rFonts w:ascii="Arial" w:hAnsi="Arial" w:cs="Arial"/>
          <w:bCs/>
          <w:sz w:val="22"/>
          <w:szCs w:val="22"/>
        </w:rPr>
        <w:t>Of the R239</w:t>
      </w:r>
      <w:r w:rsidR="00D366B6">
        <w:rPr>
          <w:rFonts w:ascii="Arial" w:hAnsi="Arial" w:cs="Arial"/>
          <w:bCs/>
          <w:sz w:val="22"/>
          <w:szCs w:val="22"/>
        </w:rPr>
        <w:t xml:space="preserve"> B</w:t>
      </w:r>
      <w:r w:rsidR="00FB08F8">
        <w:rPr>
          <w:rFonts w:ascii="Arial" w:hAnsi="Arial" w:cs="Arial"/>
          <w:bCs/>
          <w:sz w:val="22"/>
          <w:szCs w:val="22"/>
        </w:rPr>
        <w:t>illion, R191</w:t>
      </w:r>
      <w:r w:rsidR="00D366B6">
        <w:rPr>
          <w:rFonts w:ascii="Arial" w:hAnsi="Arial" w:cs="Arial"/>
          <w:bCs/>
          <w:sz w:val="22"/>
          <w:szCs w:val="22"/>
        </w:rPr>
        <w:t xml:space="preserve"> </w:t>
      </w:r>
      <w:r w:rsidR="00FB08F8">
        <w:rPr>
          <w:rFonts w:ascii="Arial" w:hAnsi="Arial" w:cs="Arial"/>
          <w:bCs/>
          <w:sz w:val="22"/>
          <w:szCs w:val="22"/>
        </w:rPr>
        <w:t>Billion was spent</w:t>
      </w:r>
      <w:r w:rsidRPr="00650AB1">
        <w:rPr>
          <w:rFonts w:ascii="Arial" w:hAnsi="Arial" w:cs="Arial"/>
          <w:bCs/>
          <w:sz w:val="22"/>
          <w:szCs w:val="22"/>
        </w:rPr>
        <w:t xml:space="preserve"> on Transformation initiatives. Of the R19</w:t>
      </w:r>
      <w:r w:rsidR="00FB08F8">
        <w:rPr>
          <w:rFonts w:ascii="Arial" w:hAnsi="Arial" w:cs="Arial"/>
          <w:bCs/>
          <w:sz w:val="22"/>
          <w:szCs w:val="22"/>
        </w:rPr>
        <w:t>1</w:t>
      </w:r>
      <w:r w:rsidRPr="00650AB1">
        <w:rPr>
          <w:rFonts w:ascii="Arial" w:hAnsi="Arial" w:cs="Arial"/>
          <w:bCs/>
          <w:sz w:val="22"/>
          <w:szCs w:val="22"/>
        </w:rPr>
        <w:t xml:space="preserve"> Billion, </w:t>
      </w:r>
      <w:r w:rsidR="00FB08F8">
        <w:rPr>
          <w:rFonts w:ascii="Arial" w:hAnsi="Arial" w:cs="Arial"/>
          <w:bCs/>
          <w:sz w:val="22"/>
          <w:szCs w:val="22"/>
        </w:rPr>
        <w:t>37</w:t>
      </w:r>
      <w:r w:rsidRPr="00650AB1">
        <w:rPr>
          <w:rFonts w:ascii="Arial" w:hAnsi="Arial" w:cs="Arial"/>
          <w:bCs/>
          <w:sz w:val="22"/>
          <w:szCs w:val="22"/>
        </w:rPr>
        <w:t>% was on procurement from SMMEs, 1</w:t>
      </w:r>
      <w:r w:rsidR="00FB08F8">
        <w:rPr>
          <w:rFonts w:ascii="Arial" w:hAnsi="Arial" w:cs="Arial"/>
          <w:bCs/>
          <w:sz w:val="22"/>
          <w:szCs w:val="22"/>
        </w:rPr>
        <w:t>7</w:t>
      </w:r>
      <w:r w:rsidRPr="00650AB1">
        <w:rPr>
          <w:rFonts w:ascii="Arial" w:hAnsi="Arial" w:cs="Arial"/>
          <w:bCs/>
          <w:sz w:val="22"/>
          <w:szCs w:val="22"/>
        </w:rPr>
        <w:t xml:space="preserve">% on </w:t>
      </w:r>
      <w:r w:rsidR="001A7D6B" w:rsidRPr="00FB6A91">
        <w:rPr>
          <w:rFonts w:ascii="Arial" w:eastAsia="Calibri" w:hAnsi="Arial" w:cs="Arial"/>
          <w:sz w:val="22"/>
          <w:szCs w:val="22"/>
        </w:rPr>
        <w:t>Q</w:t>
      </w:r>
      <w:r w:rsidR="001A7D6B">
        <w:rPr>
          <w:rFonts w:ascii="Arial" w:eastAsia="Calibri" w:hAnsi="Arial" w:cs="Arial"/>
          <w:sz w:val="22"/>
          <w:szCs w:val="22"/>
        </w:rPr>
        <w:t xml:space="preserve">ualifying </w:t>
      </w:r>
      <w:r w:rsidR="001A7D6B" w:rsidRPr="00FB6A91">
        <w:rPr>
          <w:rFonts w:ascii="Arial" w:eastAsia="Calibri" w:hAnsi="Arial" w:cs="Arial"/>
          <w:sz w:val="22"/>
          <w:szCs w:val="22"/>
        </w:rPr>
        <w:t>S</w:t>
      </w:r>
      <w:r w:rsidR="001A7D6B">
        <w:rPr>
          <w:rFonts w:ascii="Arial" w:eastAsia="Calibri" w:hAnsi="Arial" w:cs="Arial"/>
          <w:sz w:val="22"/>
          <w:szCs w:val="22"/>
        </w:rPr>
        <w:t xml:space="preserve">mall 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 (QSE)</w:t>
      </w:r>
      <w:r w:rsidRPr="00650AB1">
        <w:rPr>
          <w:rFonts w:ascii="Arial" w:hAnsi="Arial" w:cs="Arial"/>
          <w:bCs/>
          <w:sz w:val="22"/>
          <w:szCs w:val="22"/>
        </w:rPr>
        <w:t>, 1</w:t>
      </w:r>
      <w:r w:rsidR="00FB08F8">
        <w:rPr>
          <w:rFonts w:ascii="Arial" w:hAnsi="Arial" w:cs="Arial"/>
          <w:bCs/>
          <w:sz w:val="22"/>
          <w:szCs w:val="22"/>
        </w:rPr>
        <w:t>6</w:t>
      </w:r>
      <w:r w:rsidRPr="00650AB1">
        <w:rPr>
          <w:rFonts w:ascii="Arial" w:hAnsi="Arial" w:cs="Arial"/>
          <w:bCs/>
          <w:sz w:val="22"/>
          <w:szCs w:val="22"/>
        </w:rPr>
        <w:t xml:space="preserve">% on 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 xml:space="preserve">xempted </w:t>
      </w:r>
      <w:r w:rsidR="001A7D6B" w:rsidRPr="00FB6A91">
        <w:rPr>
          <w:rFonts w:ascii="Arial" w:eastAsia="Calibri" w:hAnsi="Arial" w:cs="Arial"/>
          <w:sz w:val="22"/>
          <w:szCs w:val="22"/>
        </w:rPr>
        <w:t>M</w:t>
      </w:r>
      <w:r w:rsidR="001A7D6B">
        <w:rPr>
          <w:rFonts w:ascii="Arial" w:eastAsia="Calibri" w:hAnsi="Arial" w:cs="Arial"/>
          <w:sz w:val="22"/>
          <w:szCs w:val="22"/>
        </w:rPr>
        <w:t>icro-</w:t>
      </w:r>
      <w:r w:rsidR="001A7D6B" w:rsidRPr="00FB6A91">
        <w:rPr>
          <w:rFonts w:ascii="Arial" w:eastAsia="Calibri" w:hAnsi="Arial" w:cs="Arial"/>
          <w:sz w:val="22"/>
          <w:szCs w:val="22"/>
        </w:rPr>
        <w:t>E</w:t>
      </w:r>
      <w:r w:rsidR="001A7D6B">
        <w:rPr>
          <w:rFonts w:ascii="Arial" w:eastAsia="Calibri" w:hAnsi="Arial" w:cs="Arial"/>
          <w:sz w:val="22"/>
          <w:szCs w:val="22"/>
        </w:rPr>
        <w:t>nterprises</w:t>
      </w:r>
      <w:r w:rsidR="001A7D6B" w:rsidRPr="00650AB1">
        <w:rPr>
          <w:rFonts w:ascii="Arial" w:hAnsi="Arial" w:cs="Arial"/>
          <w:bCs/>
          <w:sz w:val="22"/>
          <w:szCs w:val="22"/>
        </w:rPr>
        <w:t xml:space="preserve"> </w:t>
      </w:r>
      <w:r w:rsidR="001A7D6B">
        <w:rPr>
          <w:rFonts w:ascii="Arial" w:hAnsi="Arial" w:cs="Arial"/>
          <w:bCs/>
          <w:sz w:val="22"/>
          <w:szCs w:val="22"/>
        </w:rPr>
        <w:t>(</w:t>
      </w:r>
      <w:r w:rsidRPr="00650AB1">
        <w:rPr>
          <w:rFonts w:ascii="Arial" w:hAnsi="Arial" w:cs="Arial"/>
          <w:bCs/>
          <w:sz w:val="22"/>
          <w:szCs w:val="22"/>
        </w:rPr>
        <w:t>EME</w:t>
      </w:r>
      <w:r w:rsidR="001A7D6B">
        <w:rPr>
          <w:rFonts w:ascii="Arial" w:hAnsi="Arial" w:cs="Arial"/>
          <w:bCs/>
          <w:sz w:val="22"/>
          <w:szCs w:val="22"/>
        </w:rPr>
        <w:t>)</w:t>
      </w:r>
      <w:r w:rsidRPr="00650AB1">
        <w:rPr>
          <w:rFonts w:ascii="Arial" w:hAnsi="Arial" w:cs="Arial"/>
          <w:bCs/>
          <w:sz w:val="22"/>
          <w:szCs w:val="22"/>
        </w:rPr>
        <w:t xml:space="preserve">, </w:t>
      </w:r>
      <w:r w:rsidR="00FB08F8">
        <w:rPr>
          <w:rFonts w:ascii="Arial" w:hAnsi="Arial" w:cs="Arial"/>
          <w:bCs/>
          <w:sz w:val="22"/>
          <w:szCs w:val="22"/>
        </w:rPr>
        <w:t>18</w:t>
      </w:r>
      <w:r w:rsidRPr="00650AB1">
        <w:rPr>
          <w:rFonts w:ascii="Arial" w:hAnsi="Arial" w:cs="Arial"/>
          <w:bCs/>
          <w:sz w:val="22"/>
          <w:szCs w:val="22"/>
        </w:rPr>
        <w:t xml:space="preserve">% </w:t>
      </w:r>
      <w:r w:rsidR="001A7D6B" w:rsidRPr="00650AB1">
        <w:rPr>
          <w:rFonts w:ascii="Arial" w:hAnsi="Arial" w:cs="Arial"/>
          <w:bCs/>
          <w:sz w:val="22"/>
          <w:szCs w:val="22"/>
        </w:rPr>
        <w:t>on</w:t>
      </w:r>
      <w:r w:rsidR="001A7D6B">
        <w:rPr>
          <w:rFonts w:ascii="Arial" w:hAnsi="Arial" w:cs="Arial"/>
          <w:bCs/>
          <w:sz w:val="22"/>
          <w:szCs w:val="22"/>
        </w:rPr>
        <w:t xml:space="preserve"> </w:t>
      </w:r>
      <w:r w:rsidR="001A7D6B" w:rsidRPr="001A7D6B">
        <w:rPr>
          <w:rFonts w:ascii="Arial" w:hAnsi="Arial" w:cs="Arial"/>
          <w:sz w:val="22"/>
          <w:szCs w:val="22"/>
        </w:rPr>
        <w:t>Black-owned enterprises</w:t>
      </w:r>
      <w:r w:rsidR="001A7D6B" w:rsidRPr="000671ED">
        <w:rPr>
          <w:rFonts w:ascii="Arial" w:hAnsi="Arial" w:cs="Arial"/>
          <w:sz w:val="16"/>
          <w:szCs w:val="16"/>
        </w:rPr>
        <w:t xml:space="preserve"> </w:t>
      </w:r>
      <w:r w:rsidR="001A7D6B" w:rsidRPr="001A7D6B">
        <w:rPr>
          <w:rFonts w:ascii="Arial" w:hAnsi="Arial" w:cs="Arial"/>
          <w:sz w:val="22"/>
          <w:szCs w:val="22"/>
        </w:rPr>
        <w:t>(</w:t>
      </w:r>
      <w:r w:rsidR="001A7D6B" w:rsidRPr="00650AB1">
        <w:rPr>
          <w:rFonts w:ascii="Arial" w:hAnsi="Arial" w:cs="Arial"/>
          <w:bCs/>
          <w:sz w:val="22"/>
          <w:szCs w:val="22"/>
        </w:rPr>
        <w:t>BOE</w:t>
      </w:r>
      <w:r w:rsidR="001A7D6B">
        <w:rPr>
          <w:rFonts w:ascii="Arial" w:hAnsi="Arial" w:cs="Arial"/>
          <w:bCs/>
          <w:sz w:val="22"/>
          <w:szCs w:val="22"/>
        </w:rPr>
        <w:t>)</w:t>
      </w:r>
      <w:r w:rsidRPr="00650AB1">
        <w:rPr>
          <w:rFonts w:ascii="Arial" w:hAnsi="Arial" w:cs="Arial"/>
          <w:bCs/>
          <w:sz w:val="22"/>
          <w:szCs w:val="22"/>
        </w:rPr>
        <w:t xml:space="preserve">, </w:t>
      </w:r>
      <w:r w:rsidR="00FB08F8">
        <w:rPr>
          <w:rFonts w:ascii="Arial" w:hAnsi="Arial" w:cs="Arial"/>
          <w:bCs/>
          <w:sz w:val="22"/>
          <w:szCs w:val="22"/>
        </w:rPr>
        <w:t>8</w:t>
      </w:r>
      <w:r w:rsidRPr="00650AB1">
        <w:rPr>
          <w:rFonts w:ascii="Arial" w:hAnsi="Arial" w:cs="Arial"/>
          <w:bCs/>
          <w:sz w:val="22"/>
          <w:szCs w:val="22"/>
        </w:rPr>
        <w:t xml:space="preserve">% </w:t>
      </w:r>
      <w:r w:rsidR="001A7D6B" w:rsidRPr="00650AB1">
        <w:rPr>
          <w:rFonts w:ascii="Arial" w:hAnsi="Arial" w:cs="Arial"/>
          <w:bCs/>
          <w:sz w:val="22"/>
          <w:szCs w:val="22"/>
        </w:rPr>
        <w:t>on</w:t>
      </w:r>
      <w:r w:rsidR="001A7D6B" w:rsidRPr="001A7D6B">
        <w:rPr>
          <w:rFonts w:ascii="Arial" w:hAnsi="Arial" w:cs="Arial"/>
          <w:sz w:val="16"/>
          <w:szCs w:val="16"/>
        </w:rPr>
        <w:t xml:space="preserve"> </w:t>
      </w:r>
      <w:r w:rsidR="001A7D6B" w:rsidRPr="001A7D6B">
        <w:rPr>
          <w:rFonts w:ascii="Arial" w:hAnsi="Arial" w:cs="Arial"/>
          <w:sz w:val="22"/>
          <w:szCs w:val="22"/>
        </w:rPr>
        <w:t>Black women owned</w:t>
      </w:r>
      <w:r w:rsidR="001A7D6B">
        <w:rPr>
          <w:rFonts w:ascii="Arial" w:hAnsi="Arial" w:cs="Arial"/>
          <w:bCs/>
          <w:sz w:val="22"/>
          <w:szCs w:val="22"/>
        </w:rPr>
        <w:t xml:space="preserve"> (</w:t>
      </w:r>
      <w:r w:rsidR="001A7D6B" w:rsidRPr="00650AB1">
        <w:rPr>
          <w:rFonts w:ascii="Arial" w:hAnsi="Arial" w:cs="Arial"/>
          <w:bCs/>
          <w:sz w:val="22"/>
          <w:szCs w:val="22"/>
        </w:rPr>
        <w:t>BWO</w:t>
      </w:r>
      <w:r w:rsidR="001A7D6B">
        <w:rPr>
          <w:rFonts w:ascii="Arial" w:hAnsi="Arial" w:cs="Arial"/>
          <w:bCs/>
          <w:sz w:val="22"/>
          <w:szCs w:val="22"/>
        </w:rPr>
        <w:t>)</w:t>
      </w:r>
      <w:r w:rsidRPr="00650AB1">
        <w:rPr>
          <w:rFonts w:ascii="Arial" w:hAnsi="Arial" w:cs="Arial"/>
          <w:bCs/>
          <w:sz w:val="22"/>
          <w:szCs w:val="22"/>
        </w:rPr>
        <w:t xml:space="preserve">, </w:t>
      </w:r>
      <w:r w:rsidR="00FB08F8">
        <w:rPr>
          <w:rFonts w:ascii="Arial" w:hAnsi="Arial" w:cs="Arial"/>
          <w:bCs/>
          <w:sz w:val="22"/>
          <w:szCs w:val="22"/>
        </w:rPr>
        <w:t>3</w:t>
      </w:r>
      <w:r w:rsidRPr="00650AB1">
        <w:rPr>
          <w:rFonts w:ascii="Arial" w:hAnsi="Arial" w:cs="Arial"/>
          <w:bCs/>
          <w:sz w:val="22"/>
          <w:szCs w:val="22"/>
        </w:rPr>
        <w:t>% on Youth owned Enterprises and</w:t>
      </w:r>
      <w:r w:rsidR="001A7D6B" w:rsidRPr="001A7D6B">
        <w:rPr>
          <w:rFonts w:ascii="Arial" w:hAnsi="Arial" w:cs="Arial"/>
          <w:sz w:val="16"/>
          <w:szCs w:val="16"/>
        </w:rPr>
        <w:t xml:space="preserve"> </w:t>
      </w:r>
      <w:r w:rsidR="001A7D6B" w:rsidRPr="001A7D6B">
        <w:rPr>
          <w:rFonts w:ascii="Arial" w:hAnsi="Arial" w:cs="Arial"/>
          <w:sz w:val="22"/>
          <w:szCs w:val="22"/>
        </w:rPr>
        <w:t>Black People with Disabilities</w:t>
      </w:r>
      <w:r w:rsidRPr="00650AB1">
        <w:rPr>
          <w:rFonts w:ascii="Arial" w:hAnsi="Arial" w:cs="Arial"/>
          <w:bCs/>
          <w:sz w:val="22"/>
          <w:szCs w:val="22"/>
        </w:rPr>
        <w:t xml:space="preserve"> </w:t>
      </w:r>
      <w:r w:rsidR="001A7D6B">
        <w:rPr>
          <w:rFonts w:ascii="Arial" w:hAnsi="Arial" w:cs="Arial"/>
          <w:bCs/>
          <w:sz w:val="22"/>
          <w:szCs w:val="22"/>
        </w:rPr>
        <w:t>(</w:t>
      </w:r>
      <w:r w:rsidRPr="00650AB1">
        <w:rPr>
          <w:rFonts w:ascii="Arial" w:hAnsi="Arial" w:cs="Arial"/>
          <w:bCs/>
          <w:sz w:val="22"/>
          <w:szCs w:val="22"/>
        </w:rPr>
        <w:t>BPD</w:t>
      </w:r>
      <w:r w:rsidR="001A7D6B">
        <w:rPr>
          <w:rFonts w:ascii="Arial" w:hAnsi="Arial" w:cs="Arial"/>
          <w:bCs/>
          <w:sz w:val="22"/>
          <w:szCs w:val="22"/>
        </w:rPr>
        <w:t>)</w:t>
      </w:r>
      <w:r w:rsidRPr="00650AB1">
        <w:rPr>
          <w:rFonts w:ascii="Arial" w:hAnsi="Arial" w:cs="Arial"/>
          <w:bCs/>
          <w:sz w:val="22"/>
          <w:szCs w:val="22"/>
        </w:rPr>
        <w:t xml:space="preserve">, while spent on Rural and Township Enterprises was </w:t>
      </w:r>
      <w:r w:rsidR="00FB08F8">
        <w:rPr>
          <w:rFonts w:ascii="Arial" w:hAnsi="Arial" w:cs="Arial"/>
          <w:bCs/>
          <w:sz w:val="22"/>
          <w:szCs w:val="22"/>
        </w:rPr>
        <w:t>not reported.</w:t>
      </w:r>
    </w:p>
    <w:p w:rsidR="00290D8E" w:rsidRPr="00FB08F8" w:rsidRDefault="00290D8E" w:rsidP="00FB08F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11403" w:rsidRPr="00290D8E" w:rsidRDefault="000671ED" w:rsidP="00290D8E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F8A">
        <w:rPr>
          <w:rFonts w:ascii="Arial" w:hAnsi="Arial" w:cs="Arial"/>
          <w:bCs/>
          <w:sz w:val="22"/>
          <w:szCs w:val="22"/>
        </w:rPr>
        <w:t>(aa) and (bb).</w:t>
      </w:r>
      <w:r w:rsidR="001367C5">
        <w:rPr>
          <w:rFonts w:ascii="Arial" w:hAnsi="Arial" w:cs="Arial"/>
          <w:bCs/>
          <w:sz w:val="22"/>
          <w:szCs w:val="22"/>
        </w:rPr>
        <w:t xml:space="preserve"> </w:t>
      </w:r>
      <w:r w:rsidR="00FB6A91" w:rsidRPr="00290D8E">
        <w:rPr>
          <w:rFonts w:ascii="Arial" w:hAnsi="Arial" w:cs="Arial"/>
          <w:bCs/>
          <w:sz w:val="22"/>
          <w:szCs w:val="22"/>
        </w:rPr>
        <w:t xml:space="preserve">The set-aside policy </w:t>
      </w:r>
      <w:r w:rsidR="00E315B0">
        <w:rPr>
          <w:rFonts w:ascii="Arial" w:hAnsi="Arial" w:cs="Arial"/>
          <w:bCs/>
          <w:sz w:val="22"/>
          <w:szCs w:val="22"/>
        </w:rPr>
        <w:t xml:space="preserve">has </w:t>
      </w:r>
      <w:r w:rsidR="007911C9">
        <w:rPr>
          <w:rFonts w:ascii="Arial" w:hAnsi="Arial" w:cs="Arial"/>
          <w:bCs/>
          <w:sz w:val="22"/>
          <w:szCs w:val="22"/>
        </w:rPr>
        <w:t>been</w:t>
      </w:r>
      <w:r w:rsidR="00E315B0">
        <w:rPr>
          <w:rFonts w:ascii="Arial" w:hAnsi="Arial" w:cs="Arial"/>
          <w:bCs/>
          <w:sz w:val="22"/>
          <w:szCs w:val="22"/>
        </w:rPr>
        <w:t xml:space="preserve"> discontinued</w:t>
      </w:r>
      <w:r w:rsidR="00FB6A91" w:rsidRPr="00290D8E">
        <w:rPr>
          <w:rFonts w:ascii="Arial" w:hAnsi="Arial" w:cs="Arial"/>
          <w:bCs/>
          <w:sz w:val="22"/>
          <w:szCs w:val="22"/>
        </w:rPr>
        <w:t xml:space="preserve"> by the National Treasury as from 16 January 2023 following a legal challenge. It is, thus, no longer applicable.</w:t>
      </w:r>
      <w:r w:rsidR="00F64263" w:rsidRPr="00290D8E">
        <w:rPr>
          <w:rFonts w:ascii="Arial" w:hAnsi="Arial" w:cs="Arial"/>
          <w:bCs/>
          <w:sz w:val="22"/>
          <w:szCs w:val="22"/>
        </w:rPr>
        <w:t xml:space="preserve"> The new Public Procurement Bill will seek to address this policy gap.</w:t>
      </w:r>
    </w:p>
    <w:p w:rsidR="00311403" w:rsidRPr="00FB6A91" w:rsidRDefault="00311403" w:rsidP="00224EEB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11403" w:rsidRPr="00FB6A91" w:rsidRDefault="00311403" w:rsidP="00224EEB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E575C0" w:rsidRPr="00FB6A91" w:rsidRDefault="00E575C0" w:rsidP="006E59BE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B0766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="00DD176C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       </w:t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0F38B8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8F1057" w:rsidRPr="00FB6A91" w:rsidRDefault="008F1057" w:rsidP="006E59BE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0E0ABD" w:rsidRPr="00FB6A91" w:rsidRDefault="000E0ABD" w:rsidP="006E59BE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483D87" w:rsidRPr="00FB6A91" w:rsidRDefault="00483D87" w:rsidP="006E59BE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311403" w:rsidRPr="00FB6A91" w:rsidRDefault="00311403" w:rsidP="006E59BE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483D87" w:rsidRPr="00FB6A91" w:rsidRDefault="00483D87" w:rsidP="006E59BE">
      <w:pPr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E575C0" w:rsidRPr="00FB6A91" w:rsidRDefault="001244D8" w:rsidP="006E59BE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>Jacky Molisane</w:t>
      </w:r>
      <w:r w:rsidR="007F0BBB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           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C03A0F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>P</w:t>
      </w:r>
      <w:r w:rsidR="00DA4619" w:rsidRPr="00FB6A91">
        <w:rPr>
          <w:rFonts w:ascii="Arial" w:hAnsi="Arial" w:cs="Arial"/>
          <w:b/>
          <w:bCs/>
          <w:sz w:val="22"/>
          <w:szCs w:val="22"/>
          <w:lang w:val="en-ZA"/>
        </w:rPr>
        <w:t>J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Gordhan, MP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E575C0" w:rsidRPr="00FB6A91" w:rsidRDefault="007F0BBB" w:rsidP="006E59BE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Acting 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>Director-General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    </w:t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B0766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="00DA4619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32436D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E575C0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Minister </w:t>
      </w:r>
    </w:p>
    <w:p w:rsidR="009F4B23" w:rsidRPr="00FB6A91" w:rsidRDefault="00E575C0" w:rsidP="006E59BE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FB6A91">
        <w:rPr>
          <w:rFonts w:ascii="Arial" w:hAnsi="Arial" w:cs="Arial"/>
          <w:b/>
          <w:bCs/>
          <w:sz w:val="22"/>
          <w:szCs w:val="22"/>
          <w:lang w:val="en-ZA"/>
        </w:rPr>
        <w:t>Date:</w:t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48600E" w:rsidRPr="00FB6A91">
        <w:rPr>
          <w:rFonts w:ascii="Arial" w:hAnsi="Arial" w:cs="Arial"/>
          <w:b/>
          <w:bCs/>
          <w:sz w:val="22"/>
          <w:szCs w:val="22"/>
          <w:lang w:val="en-ZA"/>
        </w:rPr>
        <w:t xml:space="preserve">             </w:t>
      </w:r>
      <w:r w:rsidR="00DA4619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32436D" w:rsidRPr="00FB6A91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1A84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FA5774" w:rsidRPr="00FB6A91">
        <w:rPr>
          <w:rFonts w:ascii="Arial" w:hAnsi="Arial" w:cs="Arial"/>
          <w:b/>
          <w:bCs/>
          <w:sz w:val="22"/>
          <w:szCs w:val="22"/>
          <w:lang w:val="en-ZA"/>
        </w:rPr>
        <w:t>Date:</w:t>
      </w:r>
    </w:p>
    <w:sectPr w:rsidR="009F4B23" w:rsidRPr="00FB6A91" w:rsidSect="007771E5">
      <w:footerReference w:type="default" r:id="rId9"/>
      <w:pgSz w:w="11907" w:h="16839" w:code="9"/>
      <w:pgMar w:top="567" w:right="1275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B2" w:rsidRDefault="00A42CB2" w:rsidP="006A43DE">
      <w:r>
        <w:separator/>
      </w:r>
    </w:p>
  </w:endnote>
  <w:endnote w:type="continuationSeparator" w:id="0">
    <w:p w:rsidR="00A42CB2" w:rsidRDefault="00A42CB2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0222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4E9" w:rsidRDefault="000D1F04">
        <w:pPr>
          <w:pStyle w:val="Footer"/>
          <w:jc w:val="right"/>
        </w:pPr>
        <w:r>
          <w:fldChar w:fldCharType="begin"/>
        </w:r>
        <w:r w:rsidR="00F324E9">
          <w:instrText xml:space="preserve"> PAGE   \* MERGEFORMAT </w:instrText>
        </w:r>
        <w:r>
          <w:fldChar w:fldCharType="separate"/>
        </w:r>
        <w:r w:rsidR="00A42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B2" w:rsidRDefault="00A42CB2" w:rsidP="006A43DE">
      <w:r>
        <w:separator/>
      </w:r>
    </w:p>
  </w:footnote>
  <w:footnote w:type="continuationSeparator" w:id="0">
    <w:p w:rsidR="00A42CB2" w:rsidRDefault="00A42CB2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FD6"/>
    <w:multiLevelType w:val="hybridMultilevel"/>
    <w:tmpl w:val="FDE4AAE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17A"/>
    <w:multiLevelType w:val="hybridMultilevel"/>
    <w:tmpl w:val="58CC0E18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C686D"/>
    <w:multiLevelType w:val="hybridMultilevel"/>
    <w:tmpl w:val="9DD0D8D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5CC4"/>
    <w:multiLevelType w:val="hybridMultilevel"/>
    <w:tmpl w:val="A2F8A792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2BA1"/>
    <w:multiLevelType w:val="hybridMultilevel"/>
    <w:tmpl w:val="FE267C06"/>
    <w:lvl w:ilvl="0" w:tplc="39C4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34B1"/>
    <w:multiLevelType w:val="hybridMultilevel"/>
    <w:tmpl w:val="2AA41D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5CB"/>
    <w:multiLevelType w:val="hybridMultilevel"/>
    <w:tmpl w:val="3204219E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791B"/>
    <w:multiLevelType w:val="hybridMultilevel"/>
    <w:tmpl w:val="41FCB9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7F2E"/>
    <w:multiLevelType w:val="hybridMultilevel"/>
    <w:tmpl w:val="E5D6C58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15612"/>
    <w:multiLevelType w:val="hybridMultilevel"/>
    <w:tmpl w:val="7F509092"/>
    <w:lvl w:ilvl="0" w:tplc="2B6E5E30">
      <w:start w:val="1"/>
      <w:numFmt w:val="decimal"/>
      <w:lvlText w:val="(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342B5"/>
    <w:multiLevelType w:val="hybridMultilevel"/>
    <w:tmpl w:val="0C0EF21C"/>
    <w:lvl w:ilvl="0" w:tplc="94809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92B90"/>
    <w:multiLevelType w:val="hybridMultilevel"/>
    <w:tmpl w:val="6C603224"/>
    <w:lvl w:ilvl="0" w:tplc="52866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815"/>
    <w:multiLevelType w:val="hybridMultilevel"/>
    <w:tmpl w:val="7CD6867E"/>
    <w:lvl w:ilvl="0" w:tplc="A99AE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51C9E"/>
    <w:multiLevelType w:val="hybridMultilevel"/>
    <w:tmpl w:val="02E200F6"/>
    <w:lvl w:ilvl="0" w:tplc="9B22EC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177F1"/>
    <w:multiLevelType w:val="hybridMultilevel"/>
    <w:tmpl w:val="6C78B386"/>
    <w:lvl w:ilvl="0" w:tplc="BC685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2BC0"/>
    <w:multiLevelType w:val="hybridMultilevel"/>
    <w:tmpl w:val="9BFA6B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A2616"/>
    <w:multiLevelType w:val="hybridMultilevel"/>
    <w:tmpl w:val="DAAA6B16"/>
    <w:lvl w:ilvl="0" w:tplc="73FC1F7A">
      <w:start w:val="170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57C"/>
    <w:multiLevelType w:val="hybridMultilevel"/>
    <w:tmpl w:val="A61E5D7E"/>
    <w:lvl w:ilvl="0" w:tplc="0D10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C0F5A"/>
    <w:multiLevelType w:val="hybridMultilevel"/>
    <w:tmpl w:val="5310FAE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A6644"/>
    <w:multiLevelType w:val="hybridMultilevel"/>
    <w:tmpl w:val="69A42A44"/>
    <w:lvl w:ilvl="0" w:tplc="D1A40C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F31D38"/>
    <w:multiLevelType w:val="hybridMultilevel"/>
    <w:tmpl w:val="320421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E33"/>
    <w:multiLevelType w:val="hybridMultilevel"/>
    <w:tmpl w:val="734A7EB4"/>
    <w:lvl w:ilvl="0" w:tplc="BE9E4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94C"/>
    <w:multiLevelType w:val="hybridMultilevel"/>
    <w:tmpl w:val="4ECC4474"/>
    <w:lvl w:ilvl="0" w:tplc="10B2D4C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730AF2"/>
    <w:multiLevelType w:val="hybridMultilevel"/>
    <w:tmpl w:val="ADA04792"/>
    <w:lvl w:ilvl="0" w:tplc="8F06705A">
      <w:start w:val="1"/>
      <w:numFmt w:val="decimal"/>
      <w:lvlText w:val="(%1)"/>
      <w:lvlJc w:val="left"/>
      <w:pPr>
        <w:ind w:left="4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1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18"/>
  </w:num>
  <w:num w:numId="2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48FA"/>
    <w:rsid w:val="00017CD7"/>
    <w:rsid w:val="0002393F"/>
    <w:rsid w:val="00047450"/>
    <w:rsid w:val="00051B4A"/>
    <w:rsid w:val="000568B9"/>
    <w:rsid w:val="000602C8"/>
    <w:rsid w:val="000629C6"/>
    <w:rsid w:val="000637C0"/>
    <w:rsid w:val="0006424B"/>
    <w:rsid w:val="000671ED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A36F2"/>
    <w:rsid w:val="000A580D"/>
    <w:rsid w:val="000B1317"/>
    <w:rsid w:val="000B33C9"/>
    <w:rsid w:val="000B6791"/>
    <w:rsid w:val="000B75A2"/>
    <w:rsid w:val="000C4756"/>
    <w:rsid w:val="000C48EB"/>
    <w:rsid w:val="000C5E97"/>
    <w:rsid w:val="000D1F04"/>
    <w:rsid w:val="000E0ABD"/>
    <w:rsid w:val="000F1091"/>
    <w:rsid w:val="000F38B8"/>
    <w:rsid w:val="000F6A8C"/>
    <w:rsid w:val="000F6FB5"/>
    <w:rsid w:val="000F7318"/>
    <w:rsid w:val="00110E63"/>
    <w:rsid w:val="001166F8"/>
    <w:rsid w:val="001204BE"/>
    <w:rsid w:val="001244D8"/>
    <w:rsid w:val="00125AC0"/>
    <w:rsid w:val="00125D8E"/>
    <w:rsid w:val="001367C5"/>
    <w:rsid w:val="00136F4F"/>
    <w:rsid w:val="00141409"/>
    <w:rsid w:val="00141EAA"/>
    <w:rsid w:val="0014202E"/>
    <w:rsid w:val="00152E8D"/>
    <w:rsid w:val="00153347"/>
    <w:rsid w:val="00153F81"/>
    <w:rsid w:val="00154D7F"/>
    <w:rsid w:val="00162952"/>
    <w:rsid w:val="001633F2"/>
    <w:rsid w:val="00164073"/>
    <w:rsid w:val="00170AB9"/>
    <w:rsid w:val="0017128F"/>
    <w:rsid w:val="0017710C"/>
    <w:rsid w:val="00190B29"/>
    <w:rsid w:val="00192EAB"/>
    <w:rsid w:val="001961F0"/>
    <w:rsid w:val="001A7D6B"/>
    <w:rsid w:val="001B13C2"/>
    <w:rsid w:val="001B747B"/>
    <w:rsid w:val="001C2A85"/>
    <w:rsid w:val="001C647A"/>
    <w:rsid w:val="001D28C7"/>
    <w:rsid w:val="001D4235"/>
    <w:rsid w:val="001E09A9"/>
    <w:rsid w:val="001E1264"/>
    <w:rsid w:val="001E1861"/>
    <w:rsid w:val="001F33B3"/>
    <w:rsid w:val="00203FBE"/>
    <w:rsid w:val="00204352"/>
    <w:rsid w:val="00205234"/>
    <w:rsid w:val="00210533"/>
    <w:rsid w:val="00224EEB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4480"/>
    <w:rsid w:val="00282EB8"/>
    <w:rsid w:val="00285DF9"/>
    <w:rsid w:val="00290D8E"/>
    <w:rsid w:val="002C030C"/>
    <w:rsid w:val="002C3BCE"/>
    <w:rsid w:val="002C3F65"/>
    <w:rsid w:val="002D17B8"/>
    <w:rsid w:val="002D2844"/>
    <w:rsid w:val="002D411A"/>
    <w:rsid w:val="002E2DC3"/>
    <w:rsid w:val="002F0387"/>
    <w:rsid w:val="002F1297"/>
    <w:rsid w:val="002F3790"/>
    <w:rsid w:val="002F5F24"/>
    <w:rsid w:val="003042F7"/>
    <w:rsid w:val="00307D62"/>
    <w:rsid w:val="00311403"/>
    <w:rsid w:val="0032436D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81343"/>
    <w:rsid w:val="00392DA3"/>
    <w:rsid w:val="003C15F1"/>
    <w:rsid w:val="003D0F34"/>
    <w:rsid w:val="003D13D8"/>
    <w:rsid w:val="003D288A"/>
    <w:rsid w:val="003E48CD"/>
    <w:rsid w:val="003E6872"/>
    <w:rsid w:val="003F2BC4"/>
    <w:rsid w:val="004019BD"/>
    <w:rsid w:val="00403B84"/>
    <w:rsid w:val="004048A9"/>
    <w:rsid w:val="004051E8"/>
    <w:rsid w:val="004105F0"/>
    <w:rsid w:val="00420395"/>
    <w:rsid w:val="00426CEF"/>
    <w:rsid w:val="00435FE3"/>
    <w:rsid w:val="004450E6"/>
    <w:rsid w:val="00450239"/>
    <w:rsid w:val="00454415"/>
    <w:rsid w:val="0045517E"/>
    <w:rsid w:val="00457802"/>
    <w:rsid w:val="0046053A"/>
    <w:rsid w:val="004607E5"/>
    <w:rsid w:val="00462B3C"/>
    <w:rsid w:val="004653BA"/>
    <w:rsid w:val="00470C6C"/>
    <w:rsid w:val="00476BB6"/>
    <w:rsid w:val="0047791E"/>
    <w:rsid w:val="00483C85"/>
    <w:rsid w:val="00483CAE"/>
    <w:rsid w:val="00483D87"/>
    <w:rsid w:val="0048600E"/>
    <w:rsid w:val="004955D4"/>
    <w:rsid w:val="004A2142"/>
    <w:rsid w:val="004A41DC"/>
    <w:rsid w:val="004A4357"/>
    <w:rsid w:val="004A7763"/>
    <w:rsid w:val="004B1D3B"/>
    <w:rsid w:val="004B3EDA"/>
    <w:rsid w:val="004B4B19"/>
    <w:rsid w:val="004B6811"/>
    <w:rsid w:val="004C0939"/>
    <w:rsid w:val="004C1F3F"/>
    <w:rsid w:val="004C3CFA"/>
    <w:rsid w:val="004C6935"/>
    <w:rsid w:val="004C727E"/>
    <w:rsid w:val="004E4E93"/>
    <w:rsid w:val="004E50AB"/>
    <w:rsid w:val="004F46C8"/>
    <w:rsid w:val="004F4E11"/>
    <w:rsid w:val="004F5833"/>
    <w:rsid w:val="004F6D7D"/>
    <w:rsid w:val="00500074"/>
    <w:rsid w:val="00500581"/>
    <w:rsid w:val="00502990"/>
    <w:rsid w:val="00505859"/>
    <w:rsid w:val="00505DDF"/>
    <w:rsid w:val="005070B8"/>
    <w:rsid w:val="00512022"/>
    <w:rsid w:val="005206AC"/>
    <w:rsid w:val="00521620"/>
    <w:rsid w:val="00533F1A"/>
    <w:rsid w:val="00534DDF"/>
    <w:rsid w:val="0054518F"/>
    <w:rsid w:val="0054771A"/>
    <w:rsid w:val="00562CB6"/>
    <w:rsid w:val="00563DAA"/>
    <w:rsid w:val="00566BCD"/>
    <w:rsid w:val="005703CE"/>
    <w:rsid w:val="00573020"/>
    <w:rsid w:val="005741CA"/>
    <w:rsid w:val="005843D2"/>
    <w:rsid w:val="0059316D"/>
    <w:rsid w:val="005A2ACD"/>
    <w:rsid w:val="005B2A1A"/>
    <w:rsid w:val="005C2884"/>
    <w:rsid w:val="005C28EA"/>
    <w:rsid w:val="005C408E"/>
    <w:rsid w:val="005C7C15"/>
    <w:rsid w:val="005D1885"/>
    <w:rsid w:val="005D4F0C"/>
    <w:rsid w:val="005D7AC8"/>
    <w:rsid w:val="005E68A7"/>
    <w:rsid w:val="00601570"/>
    <w:rsid w:val="00603B95"/>
    <w:rsid w:val="00607F78"/>
    <w:rsid w:val="00612054"/>
    <w:rsid w:val="00612C27"/>
    <w:rsid w:val="00614DA3"/>
    <w:rsid w:val="00624B6A"/>
    <w:rsid w:val="00626D60"/>
    <w:rsid w:val="00627F86"/>
    <w:rsid w:val="00647844"/>
    <w:rsid w:val="00650AB1"/>
    <w:rsid w:val="006512FA"/>
    <w:rsid w:val="0065694F"/>
    <w:rsid w:val="0066527A"/>
    <w:rsid w:val="00665425"/>
    <w:rsid w:val="006807DC"/>
    <w:rsid w:val="006825A7"/>
    <w:rsid w:val="0068265B"/>
    <w:rsid w:val="00694D5B"/>
    <w:rsid w:val="00697CC8"/>
    <w:rsid w:val="006A43DE"/>
    <w:rsid w:val="006B0028"/>
    <w:rsid w:val="006B2FD4"/>
    <w:rsid w:val="006C5A5E"/>
    <w:rsid w:val="006D2F5B"/>
    <w:rsid w:val="006D3B92"/>
    <w:rsid w:val="006D5B8D"/>
    <w:rsid w:val="006D650A"/>
    <w:rsid w:val="006E226F"/>
    <w:rsid w:val="006E28F9"/>
    <w:rsid w:val="006E59BE"/>
    <w:rsid w:val="006F5FEE"/>
    <w:rsid w:val="00711E1F"/>
    <w:rsid w:val="007125CF"/>
    <w:rsid w:val="00716A5F"/>
    <w:rsid w:val="007173B7"/>
    <w:rsid w:val="00730061"/>
    <w:rsid w:val="00735AB2"/>
    <w:rsid w:val="007376B9"/>
    <w:rsid w:val="007410D8"/>
    <w:rsid w:val="00741768"/>
    <w:rsid w:val="00753188"/>
    <w:rsid w:val="00757E57"/>
    <w:rsid w:val="00761EBB"/>
    <w:rsid w:val="00763854"/>
    <w:rsid w:val="00765B5F"/>
    <w:rsid w:val="00766B05"/>
    <w:rsid w:val="00767C12"/>
    <w:rsid w:val="007722FB"/>
    <w:rsid w:val="00772932"/>
    <w:rsid w:val="007730DC"/>
    <w:rsid w:val="00773B34"/>
    <w:rsid w:val="00773F1F"/>
    <w:rsid w:val="007771E5"/>
    <w:rsid w:val="00780828"/>
    <w:rsid w:val="00782018"/>
    <w:rsid w:val="007840BD"/>
    <w:rsid w:val="00784B7D"/>
    <w:rsid w:val="00784C94"/>
    <w:rsid w:val="007857F0"/>
    <w:rsid w:val="007911C9"/>
    <w:rsid w:val="00793BF5"/>
    <w:rsid w:val="007A0FE4"/>
    <w:rsid w:val="007A77D7"/>
    <w:rsid w:val="007B1C58"/>
    <w:rsid w:val="007B22A1"/>
    <w:rsid w:val="007B2942"/>
    <w:rsid w:val="007C424F"/>
    <w:rsid w:val="007C43A8"/>
    <w:rsid w:val="007C48D9"/>
    <w:rsid w:val="007E6189"/>
    <w:rsid w:val="007F0BBB"/>
    <w:rsid w:val="007F1FE5"/>
    <w:rsid w:val="007F26A6"/>
    <w:rsid w:val="007F2BDB"/>
    <w:rsid w:val="00817F1E"/>
    <w:rsid w:val="00821E1E"/>
    <w:rsid w:val="0082360C"/>
    <w:rsid w:val="00824E8E"/>
    <w:rsid w:val="00826FD8"/>
    <w:rsid w:val="00837E6B"/>
    <w:rsid w:val="00847C20"/>
    <w:rsid w:val="00853D65"/>
    <w:rsid w:val="00873AC2"/>
    <w:rsid w:val="00887188"/>
    <w:rsid w:val="0089120C"/>
    <w:rsid w:val="00892DE3"/>
    <w:rsid w:val="00892DFB"/>
    <w:rsid w:val="008960B2"/>
    <w:rsid w:val="008968F5"/>
    <w:rsid w:val="008A5641"/>
    <w:rsid w:val="008A64C8"/>
    <w:rsid w:val="008B08BA"/>
    <w:rsid w:val="008B50CB"/>
    <w:rsid w:val="008B5545"/>
    <w:rsid w:val="008C128F"/>
    <w:rsid w:val="008C1A84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0F94"/>
    <w:rsid w:val="0090214F"/>
    <w:rsid w:val="0090365F"/>
    <w:rsid w:val="00903F84"/>
    <w:rsid w:val="00905B7B"/>
    <w:rsid w:val="00906ED3"/>
    <w:rsid w:val="009144BA"/>
    <w:rsid w:val="00916B81"/>
    <w:rsid w:val="009200EB"/>
    <w:rsid w:val="00920EC4"/>
    <w:rsid w:val="00921240"/>
    <w:rsid w:val="00922D02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106A"/>
    <w:rsid w:val="00972069"/>
    <w:rsid w:val="0098319C"/>
    <w:rsid w:val="00992EEF"/>
    <w:rsid w:val="009A53BF"/>
    <w:rsid w:val="009B4F7B"/>
    <w:rsid w:val="009B6439"/>
    <w:rsid w:val="009B71DE"/>
    <w:rsid w:val="009C2260"/>
    <w:rsid w:val="009C440F"/>
    <w:rsid w:val="009C4542"/>
    <w:rsid w:val="009D185F"/>
    <w:rsid w:val="009D2819"/>
    <w:rsid w:val="009D531B"/>
    <w:rsid w:val="009E0221"/>
    <w:rsid w:val="009E0714"/>
    <w:rsid w:val="009E1DE6"/>
    <w:rsid w:val="009E6C64"/>
    <w:rsid w:val="009F4B23"/>
    <w:rsid w:val="00A00E8D"/>
    <w:rsid w:val="00A11241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CB2"/>
    <w:rsid w:val="00A42DF5"/>
    <w:rsid w:val="00A45C08"/>
    <w:rsid w:val="00A46A96"/>
    <w:rsid w:val="00A5793B"/>
    <w:rsid w:val="00A6074F"/>
    <w:rsid w:val="00A77EA7"/>
    <w:rsid w:val="00A83BB5"/>
    <w:rsid w:val="00A9377A"/>
    <w:rsid w:val="00A955B8"/>
    <w:rsid w:val="00A9593E"/>
    <w:rsid w:val="00A96EFA"/>
    <w:rsid w:val="00AA1B7C"/>
    <w:rsid w:val="00AA7303"/>
    <w:rsid w:val="00AB4CDE"/>
    <w:rsid w:val="00AB4CE7"/>
    <w:rsid w:val="00AB620F"/>
    <w:rsid w:val="00AD433D"/>
    <w:rsid w:val="00AD7539"/>
    <w:rsid w:val="00AE07A0"/>
    <w:rsid w:val="00AE7A7D"/>
    <w:rsid w:val="00AF3D71"/>
    <w:rsid w:val="00B0020D"/>
    <w:rsid w:val="00B143AB"/>
    <w:rsid w:val="00B15A06"/>
    <w:rsid w:val="00B2314F"/>
    <w:rsid w:val="00B24818"/>
    <w:rsid w:val="00B34D01"/>
    <w:rsid w:val="00B37418"/>
    <w:rsid w:val="00B37D9A"/>
    <w:rsid w:val="00B4040F"/>
    <w:rsid w:val="00B43A3C"/>
    <w:rsid w:val="00B521A2"/>
    <w:rsid w:val="00B62FA4"/>
    <w:rsid w:val="00B66A10"/>
    <w:rsid w:val="00B751EE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140"/>
    <w:rsid w:val="00BF2510"/>
    <w:rsid w:val="00BF5540"/>
    <w:rsid w:val="00BF716A"/>
    <w:rsid w:val="00C021A4"/>
    <w:rsid w:val="00C037D2"/>
    <w:rsid w:val="00C03A0F"/>
    <w:rsid w:val="00C11460"/>
    <w:rsid w:val="00C12A29"/>
    <w:rsid w:val="00C154E7"/>
    <w:rsid w:val="00C200BC"/>
    <w:rsid w:val="00C239C5"/>
    <w:rsid w:val="00C254E6"/>
    <w:rsid w:val="00C3196D"/>
    <w:rsid w:val="00C376CE"/>
    <w:rsid w:val="00C46606"/>
    <w:rsid w:val="00C53F6B"/>
    <w:rsid w:val="00C6140B"/>
    <w:rsid w:val="00C6515A"/>
    <w:rsid w:val="00C65CE4"/>
    <w:rsid w:val="00C71A4E"/>
    <w:rsid w:val="00C7276E"/>
    <w:rsid w:val="00C73A1D"/>
    <w:rsid w:val="00C76C58"/>
    <w:rsid w:val="00C82DC1"/>
    <w:rsid w:val="00C8665A"/>
    <w:rsid w:val="00C92674"/>
    <w:rsid w:val="00CA1C75"/>
    <w:rsid w:val="00CA2555"/>
    <w:rsid w:val="00CA7C80"/>
    <w:rsid w:val="00CB5194"/>
    <w:rsid w:val="00CB7B00"/>
    <w:rsid w:val="00CC2540"/>
    <w:rsid w:val="00CC2B32"/>
    <w:rsid w:val="00CC6424"/>
    <w:rsid w:val="00CD4D5D"/>
    <w:rsid w:val="00CE2F8A"/>
    <w:rsid w:val="00CE72A9"/>
    <w:rsid w:val="00CF1AE8"/>
    <w:rsid w:val="00CF2CE3"/>
    <w:rsid w:val="00CF4D92"/>
    <w:rsid w:val="00D115AC"/>
    <w:rsid w:val="00D25359"/>
    <w:rsid w:val="00D31EBA"/>
    <w:rsid w:val="00D329B6"/>
    <w:rsid w:val="00D35090"/>
    <w:rsid w:val="00D35463"/>
    <w:rsid w:val="00D366B6"/>
    <w:rsid w:val="00D433D3"/>
    <w:rsid w:val="00D45A7B"/>
    <w:rsid w:val="00D50332"/>
    <w:rsid w:val="00D53A9C"/>
    <w:rsid w:val="00D543BA"/>
    <w:rsid w:val="00D604E1"/>
    <w:rsid w:val="00D6168F"/>
    <w:rsid w:val="00D7131A"/>
    <w:rsid w:val="00D7252A"/>
    <w:rsid w:val="00D7334D"/>
    <w:rsid w:val="00D80F16"/>
    <w:rsid w:val="00D81315"/>
    <w:rsid w:val="00D94178"/>
    <w:rsid w:val="00D959E2"/>
    <w:rsid w:val="00DA251F"/>
    <w:rsid w:val="00DA4619"/>
    <w:rsid w:val="00DB1776"/>
    <w:rsid w:val="00DB6521"/>
    <w:rsid w:val="00DD176C"/>
    <w:rsid w:val="00DD3D30"/>
    <w:rsid w:val="00DD5878"/>
    <w:rsid w:val="00DE22B4"/>
    <w:rsid w:val="00DE4BFC"/>
    <w:rsid w:val="00DE5267"/>
    <w:rsid w:val="00DE52C7"/>
    <w:rsid w:val="00DF2645"/>
    <w:rsid w:val="00DF6415"/>
    <w:rsid w:val="00E03991"/>
    <w:rsid w:val="00E06376"/>
    <w:rsid w:val="00E06501"/>
    <w:rsid w:val="00E15BDA"/>
    <w:rsid w:val="00E16D35"/>
    <w:rsid w:val="00E25C2E"/>
    <w:rsid w:val="00E270DE"/>
    <w:rsid w:val="00E315B0"/>
    <w:rsid w:val="00E36A15"/>
    <w:rsid w:val="00E4134B"/>
    <w:rsid w:val="00E45886"/>
    <w:rsid w:val="00E46280"/>
    <w:rsid w:val="00E46F4E"/>
    <w:rsid w:val="00E51A0C"/>
    <w:rsid w:val="00E52C00"/>
    <w:rsid w:val="00E575C0"/>
    <w:rsid w:val="00E6734E"/>
    <w:rsid w:val="00E71093"/>
    <w:rsid w:val="00E73ABB"/>
    <w:rsid w:val="00E75EA6"/>
    <w:rsid w:val="00E82E1D"/>
    <w:rsid w:val="00E83FF9"/>
    <w:rsid w:val="00E84030"/>
    <w:rsid w:val="00EA0731"/>
    <w:rsid w:val="00EA2229"/>
    <w:rsid w:val="00EA489C"/>
    <w:rsid w:val="00EB2717"/>
    <w:rsid w:val="00EB6669"/>
    <w:rsid w:val="00EC797F"/>
    <w:rsid w:val="00EC7A1C"/>
    <w:rsid w:val="00EC7B69"/>
    <w:rsid w:val="00ED0FA4"/>
    <w:rsid w:val="00ED385C"/>
    <w:rsid w:val="00EE5757"/>
    <w:rsid w:val="00EF35EA"/>
    <w:rsid w:val="00F02045"/>
    <w:rsid w:val="00F059DE"/>
    <w:rsid w:val="00F100F2"/>
    <w:rsid w:val="00F26613"/>
    <w:rsid w:val="00F27F1F"/>
    <w:rsid w:val="00F31673"/>
    <w:rsid w:val="00F31D7B"/>
    <w:rsid w:val="00F324E9"/>
    <w:rsid w:val="00F33C79"/>
    <w:rsid w:val="00F34711"/>
    <w:rsid w:val="00F40076"/>
    <w:rsid w:val="00F45181"/>
    <w:rsid w:val="00F627BB"/>
    <w:rsid w:val="00F62BDA"/>
    <w:rsid w:val="00F63886"/>
    <w:rsid w:val="00F64263"/>
    <w:rsid w:val="00F651DA"/>
    <w:rsid w:val="00F7162E"/>
    <w:rsid w:val="00F77706"/>
    <w:rsid w:val="00F80DD2"/>
    <w:rsid w:val="00F81D71"/>
    <w:rsid w:val="00F861E9"/>
    <w:rsid w:val="00F90558"/>
    <w:rsid w:val="00F9084E"/>
    <w:rsid w:val="00F90F8A"/>
    <w:rsid w:val="00F94AFA"/>
    <w:rsid w:val="00F965DE"/>
    <w:rsid w:val="00FA0E34"/>
    <w:rsid w:val="00FA1518"/>
    <w:rsid w:val="00FA231D"/>
    <w:rsid w:val="00FA2EA9"/>
    <w:rsid w:val="00FA5621"/>
    <w:rsid w:val="00FA5774"/>
    <w:rsid w:val="00FB0766"/>
    <w:rsid w:val="00FB08F8"/>
    <w:rsid w:val="00FB5183"/>
    <w:rsid w:val="00FB525C"/>
    <w:rsid w:val="00FB6A91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04"/>
    <w:rPr>
      <w:sz w:val="24"/>
      <w:szCs w:val="24"/>
    </w:rPr>
  </w:style>
  <w:style w:type="paragraph" w:styleId="Heading1">
    <w:name w:val="heading 1"/>
    <w:basedOn w:val="Normal"/>
    <w:next w:val="Normal"/>
    <w:qFormat/>
    <w:rsid w:val="000D1F0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D1F0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0D1F0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D1F0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0D1F0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39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table" w:customStyle="1" w:styleId="TableGrid2">
    <w:name w:val="Table Grid2"/>
    <w:basedOn w:val="TableNormal"/>
    <w:next w:val="TableGrid"/>
    <w:uiPriority w:val="39"/>
    <w:rsid w:val="00BF5540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AED2-8FAC-47C9-9A9E-F06DFD81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5376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2023-06-05T08:54:00Z</cp:lastPrinted>
  <dcterms:created xsi:type="dcterms:W3CDTF">2023-06-27T13:01:00Z</dcterms:created>
  <dcterms:modified xsi:type="dcterms:W3CDTF">2023-06-27T13:01:00Z</dcterms:modified>
</cp:coreProperties>
</file>