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F38" w:rsidRPr="005B2D97" w:rsidRDefault="00AF5F38" w:rsidP="00AF5F38">
      <w:pPr>
        <w:spacing w:after="160" w:line="259" w:lineRule="auto"/>
        <w:rPr>
          <w:rFonts w:ascii="Arial" w:eastAsia="Calibri" w:hAnsi="Arial" w:cs="Arial"/>
          <w:b/>
          <w:bCs/>
          <w:color w:val="4F6228"/>
          <w:sz w:val="22"/>
          <w:szCs w:val="22"/>
          <w:lang w:val="en-ZA"/>
        </w:rPr>
      </w:pPr>
      <w:r w:rsidRPr="005B2D97">
        <w:rPr>
          <w:rFonts w:ascii="Calibri" w:eastAsia="Calibri" w:hAnsi="Calibri"/>
          <w:noProof/>
          <w:sz w:val="22"/>
          <w:szCs w:val="22"/>
          <w:lang w:val="en-ZA" w:eastAsia="en-ZA"/>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143000" cy="1352550"/>
            <wp:effectExtent l="0" t="0" r="0" b="0"/>
            <wp:wrapSquare wrapText="bothSides"/>
            <wp:docPr id="1" name="Picture 1" descr="Description: Description: 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environment.gov.za/soer/estuary/navig/coatarms.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0" cy="1352550"/>
                    </a:xfrm>
                    <a:prstGeom prst="rect">
                      <a:avLst/>
                    </a:prstGeom>
                    <a:noFill/>
                  </pic:spPr>
                </pic:pic>
              </a:graphicData>
            </a:graphic>
          </wp:anchor>
        </w:drawing>
      </w:r>
    </w:p>
    <w:p w:rsidR="00AF5F38" w:rsidRPr="005B2D97" w:rsidRDefault="00AF5F38" w:rsidP="00AF5F38">
      <w:pPr>
        <w:spacing w:after="160" w:line="259" w:lineRule="auto"/>
        <w:jc w:val="center"/>
        <w:rPr>
          <w:rFonts w:ascii="Arial" w:eastAsia="Calibri" w:hAnsi="Arial" w:cs="Arial"/>
          <w:b/>
          <w:bCs/>
          <w:color w:val="4F6228"/>
          <w:sz w:val="22"/>
          <w:szCs w:val="22"/>
          <w:lang w:val="en-ZA"/>
        </w:rPr>
      </w:pPr>
    </w:p>
    <w:p w:rsidR="00AF5F38" w:rsidRPr="005B2D97" w:rsidRDefault="00AF5F38" w:rsidP="00AF5F38">
      <w:pPr>
        <w:spacing w:after="160" w:line="259" w:lineRule="auto"/>
        <w:jc w:val="center"/>
        <w:rPr>
          <w:rFonts w:ascii="Arial" w:eastAsia="Calibri" w:hAnsi="Arial" w:cs="Arial"/>
          <w:b/>
          <w:bCs/>
          <w:color w:val="4F6228"/>
          <w:sz w:val="22"/>
          <w:szCs w:val="22"/>
          <w:lang w:val="en-ZA"/>
        </w:rPr>
      </w:pPr>
    </w:p>
    <w:p w:rsidR="00AF5F38" w:rsidRPr="005B2D97" w:rsidRDefault="00AF5F38" w:rsidP="00AF5F38">
      <w:pPr>
        <w:spacing w:after="160" w:line="259" w:lineRule="auto"/>
        <w:jc w:val="center"/>
        <w:rPr>
          <w:rFonts w:ascii="Arial" w:eastAsia="Calibri" w:hAnsi="Arial" w:cs="Arial"/>
          <w:b/>
          <w:bCs/>
          <w:color w:val="4F6228"/>
          <w:sz w:val="22"/>
          <w:szCs w:val="22"/>
          <w:lang w:val="en-ZA"/>
        </w:rPr>
      </w:pPr>
    </w:p>
    <w:p w:rsidR="00AF5F38" w:rsidRPr="005B2D97" w:rsidRDefault="00AF5F38" w:rsidP="00AF5F38">
      <w:pPr>
        <w:spacing w:after="160" w:line="259" w:lineRule="auto"/>
        <w:jc w:val="center"/>
        <w:rPr>
          <w:rFonts w:ascii="Arial" w:eastAsia="Calibri" w:hAnsi="Arial" w:cs="Arial"/>
          <w:b/>
          <w:bCs/>
          <w:color w:val="4F6228"/>
          <w:sz w:val="22"/>
          <w:szCs w:val="22"/>
          <w:lang w:val="en-ZA"/>
        </w:rPr>
      </w:pPr>
    </w:p>
    <w:p w:rsidR="00AF5F38" w:rsidRPr="005B2D97" w:rsidRDefault="00AF5F38" w:rsidP="00AF5F38">
      <w:pPr>
        <w:spacing w:after="160" w:line="259" w:lineRule="auto"/>
        <w:jc w:val="center"/>
        <w:rPr>
          <w:rFonts w:ascii="Arial" w:eastAsia="Calibri" w:hAnsi="Arial" w:cs="Arial"/>
          <w:b/>
          <w:bCs/>
          <w:color w:val="4F6228"/>
          <w:sz w:val="22"/>
          <w:szCs w:val="22"/>
          <w:lang w:val="en-ZA"/>
        </w:rPr>
      </w:pPr>
      <w:r w:rsidRPr="005B2D97">
        <w:rPr>
          <w:rFonts w:ascii="Arial" w:eastAsia="Calibri" w:hAnsi="Arial" w:cs="Arial"/>
          <w:b/>
          <w:bCs/>
          <w:color w:val="4F6228"/>
          <w:sz w:val="22"/>
          <w:szCs w:val="22"/>
          <w:lang w:val="en-ZA"/>
        </w:rPr>
        <w:t>MINISTRY</w:t>
      </w:r>
    </w:p>
    <w:p w:rsidR="00AF5F38" w:rsidRPr="005B2D97" w:rsidRDefault="00AF5F38" w:rsidP="00AF5F38">
      <w:pPr>
        <w:spacing w:after="160" w:line="259" w:lineRule="auto"/>
        <w:jc w:val="center"/>
        <w:rPr>
          <w:rFonts w:ascii="Arial" w:eastAsia="Calibri" w:hAnsi="Arial" w:cs="Arial"/>
          <w:b/>
          <w:bCs/>
          <w:color w:val="4F6228"/>
          <w:sz w:val="22"/>
          <w:szCs w:val="22"/>
          <w:lang w:val="en-ZA"/>
        </w:rPr>
      </w:pPr>
      <w:r w:rsidRPr="005B2D97">
        <w:rPr>
          <w:rFonts w:ascii="Arial" w:eastAsia="Calibri" w:hAnsi="Arial" w:cs="Arial"/>
          <w:b/>
          <w:bCs/>
          <w:color w:val="4F6228"/>
          <w:sz w:val="22"/>
          <w:szCs w:val="22"/>
          <w:lang w:val="en-ZA"/>
        </w:rPr>
        <w:t>HUMAN SETTLEMENTS</w:t>
      </w:r>
    </w:p>
    <w:p w:rsidR="00AF5F38" w:rsidRPr="005B2D97" w:rsidRDefault="00AF5F38" w:rsidP="00AF5F38">
      <w:pPr>
        <w:tabs>
          <w:tab w:val="center" w:pos="4513"/>
          <w:tab w:val="left" w:pos="6660"/>
        </w:tabs>
        <w:spacing w:after="160" w:line="259" w:lineRule="auto"/>
        <w:rPr>
          <w:rFonts w:ascii="Arial" w:eastAsia="Calibri" w:hAnsi="Arial" w:cs="Arial"/>
          <w:b/>
          <w:bCs/>
          <w:color w:val="4F6228"/>
          <w:sz w:val="22"/>
          <w:szCs w:val="22"/>
          <w:lang w:val="en-ZA"/>
        </w:rPr>
      </w:pPr>
      <w:r w:rsidRPr="005B2D97">
        <w:rPr>
          <w:rFonts w:ascii="Arial" w:eastAsia="Calibri" w:hAnsi="Arial" w:cs="Arial"/>
          <w:b/>
          <w:bCs/>
          <w:color w:val="4F6228"/>
          <w:sz w:val="22"/>
          <w:szCs w:val="22"/>
          <w:lang w:val="en-ZA"/>
        </w:rPr>
        <w:tab/>
        <w:t xml:space="preserve">REPUBLIC OF SOUTH AFRICA </w:t>
      </w:r>
      <w:r w:rsidRPr="005B2D97">
        <w:rPr>
          <w:rFonts w:ascii="Arial" w:eastAsia="Calibri" w:hAnsi="Arial" w:cs="Arial"/>
          <w:b/>
          <w:bCs/>
          <w:color w:val="4F6228"/>
          <w:sz w:val="22"/>
          <w:szCs w:val="22"/>
          <w:lang w:val="en-ZA"/>
        </w:rPr>
        <w:tab/>
      </w:r>
    </w:p>
    <w:p w:rsidR="00AF5F38" w:rsidRPr="005B2D97" w:rsidRDefault="00AF5F38" w:rsidP="00AF5F38">
      <w:pPr>
        <w:spacing w:after="160" w:line="259" w:lineRule="auto"/>
        <w:jc w:val="center"/>
        <w:outlineLvl w:val="0"/>
        <w:rPr>
          <w:rFonts w:ascii="Arial" w:eastAsia="Calibri" w:hAnsi="Arial" w:cs="Arial"/>
          <w:color w:val="000000"/>
          <w:sz w:val="22"/>
          <w:szCs w:val="22"/>
          <w:lang w:val="en-ZA"/>
        </w:rPr>
      </w:pPr>
      <w:r w:rsidRPr="005B2D97">
        <w:rPr>
          <w:rFonts w:ascii="Arial" w:eastAsia="Calibri" w:hAnsi="Arial" w:cs="Arial"/>
          <w:color w:val="000000"/>
          <w:sz w:val="22"/>
          <w:szCs w:val="22"/>
          <w:lang w:val="en-ZA"/>
        </w:rPr>
        <w:t xml:space="preserve">Private Bag X645, Pretoria, 0001. Tel: (012) 421 1309, Fax: (012) 341 8513  </w:t>
      </w:r>
    </w:p>
    <w:p w:rsidR="00AF5F38" w:rsidRPr="005B2D97" w:rsidRDefault="00AF5F38" w:rsidP="00AF5F38">
      <w:pPr>
        <w:spacing w:after="160" w:line="259" w:lineRule="auto"/>
        <w:jc w:val="center"/>
        <w:outlineLvl w:val="0"/>
        <w:rPr>
          <w:rFonts w:ascii="Arial" w:eastAsia="Calibri" w:hAnsi="Arial" w:cs="Arial"/>
          <w:sz w:val="22"/>
          <w:szCs w:val="22"/>
          <w:lang w:val="en-ZA"/>
        </w:rPr>
      </w:pPr>
      <w:r w:rsidRPr="005B2D97">
        <w:rPr>
          <w:rFonts w:ascii="Arial" w:eastAsia="Calibri" w:hAnsi="Arial" w:cs="Arial"/>
          <w:color w:val="000000"/>
          <w:sz w:val="22"/>
          <w:szCs w:val="22"/>
          <w:lang w:val="en-ZA"/>
        </w:rPr>
        <w:t xml:space="preserve">Private Bag X9029, Cape Town, 8000. Tel (021) 466 7603, </w:t>
      </w:r>
      <w:r w:rsidRPr="005B2D97">
        <w:rPr>
          <w:rFonts w:ascii="Arial" w:eastAsia="Calibri" w:hAnsi="Arial" w:cs="Arial"/>
          <w:sz w:val="22"/>
          <w:szCs w:val="22"/>
          <w:lang w:val="en-ZA"/>
        </w:rPr>
        <w:t xml:space="preserve">Fax: (021) 466 3610 </w:t>
      </w:r>
    </w:p>
    <w:p w:rsidR="00AF5F38" w:rsidRDefault="00AF5F38" w:rsidP="00AF5F38">
      <w:pPr>
        <w:tabs>
          <w:tab w:val="left" w:pos="432"/>
          <w:tab w:val="left" w:pos="864"/>
        </w:tabs>
        <w:spacing w:before="100" w:beforeAutospacing="1"/>
        <w:rPr>
          <w:rFonts w:ascii="Arial" w:hAnsi="Arial" w:cs="Arial"/>
          <w:b/>
        </w:rPr>
      </w:pPr>
    </w:p>
    <w:p w:rsidR="004721D3" w:rsidRPr="00527792" w:rsidRDefault="004721D3" w:rsidP="00AF5F38">
      <w:pPr>
        <w:tabs>
          <w:tab w:val="left" w:pos="432"/>
          <w:tab w:val="left" w:pos="864"/>
        </w:tabs>
        <w:spacing w:before="100" w:beforeAutospacing="1"/>
        <w:rPr>
          <w:rFonts w:ascii="Arial" w:hAnsi="Arial" w:cs="Arial"/>
          <w:b/>
        </w:rPr>
      </w:pPr>
      <w:r w:rsidRPr="00527792">
        <w:rPr>
          <w:rFonts w:ascii="Arial" w:hAnsi="Arial" w:cs="Arial"/>
          <w:b/>
        </w:rPr>
        <w:t>NATIONAL ASSEMBLY</w:t>
      </w:r>
    </w:p>
    <w:p w:rsidR="004721D3" w:rsidRPr="00527792" w:rsidRDefault="004721D3" w:rsidP="00AF5F38">
      <w:pPr>
        <w:tabs>
          <w:tab w:val="left" w:pos="432"/>
          <w:tab w:val="left" w:pos="864"/>
        </w:tabs>
        <w:spacing w:before="100" w:beforeAutospacing="1"/>
        <w:ind w:left="720" w:hanging="720"/>
        <w:rPr>
          <w:rFonts w:ascii="Arial" w:hAnsi="Arial" w:cs="Arial"/>
          <w:b/>
        </w:rPr>
      </w:pPr>
      <w:r w:rsidRPr="00527792">
        <w:rPr>
          <w:rFonts w:ascii="Arial" w:hAnsi="Arial" w:cs="Arial"/>
          <w:b/>
        </w:rPr>
        <w:t>QUESTION FOR WRITTEN REPLY</w:t>
      </w:r>
    </w:p>
    <w:p w:rsidR="00BC597D" w:rsidRPr="00BC597D" w:rsidRDefault="00BC597D" w:rsidP="00AF5F38">
      <w:pPr>
        <w:tabs>
          <w:tab w:val="left" w:pos="432"/>
          <w:tab w:val="left" w:pos="864"/>
        </w:tabs>
        <w:spacing w:before="100" w:beforeAutospacing="1"/>
        <w:ind w:left="720" w:hanging="720"/>
        <w:rPr>
          <w:rFonts w:ascii="Arial" w:hAnsi="Arial" w:cs="Arial"/>
          <w:b/>
        </w:rPr>
      </w:pPr>
      <w:r w:rsidRPr="00BC597D">
        <w:rPr>
          <w:rFonts w:ascii="Arial" w:hAnsi="Arial" w:cs="Arial"/>
          <w:b/>
        </w:rPr>
        <w:t xml:space="preserve">QUESTION NUMBER: </w:t>
      </w:r>
      <w:r w:rsidR="00DD0D57">
        <w:rPr>
          <w:rFonts w:ascii="Arial" w:hAnsi="Arial" w:cs="Arial"/>
          <w:b/>
        </w:rPr>
        <w:t>PQ 1699</w:t>
      </w:r>
      <w:r w:rsidR="00FC2697">
        <w:rPr>
          <w:rFonts w:ascii="Arial" w:hAnsi="Arial" w:cs="Arial"/>
          <w:b/>
        </w:rPr>
        <w:t xml:space="preserve"> (</w:t>
      </w:r>
      <w:r w:rsidR="00DD0D57">
        <w:rPr>
          <w:rFonts w:ascii="Arial" w:hAnsi="Arial" w:cs="Arial"/>
          <w:b/>
        </w:rPr>
        <w:t>NW1940E</w:t>
      </w:r>
      <w:r w:rsidR="00FC2697">
        <w:rPr>
          <w:rFonts w:ascii="Arial" w:hAnsi="Arial" w:cs="Arial"/>
          <w:b/>
        </w:rPr>
        <w:t>)</w:t>
      </w:r>
    </w:p>
    <w:p w:rsidR="006C1C0F" w:rsidRPr="00527792" w:rsidRDefault="00BC597D" w:rsidP="00AF5F38">
      <w:pPr>
        <w:tabs>
          <w:tab w:val="left" w:pos="432"/>
          <w:tab w:val="left" w:pos="864"/>
        </w:tabs>
        <w:spacing w:before="100" w:beforeAutospacing="1"/>
        <w:ind w:left="720" w:hanging="720"/>
        <w:rPr>
          <w:rFonts w:ascii="Arial" w:hAnsi="Arial" w:cs="Arial"/>
        </w:rPr>
      </w:pPr>
      <w:r w:rsidRPr="00BC597D">
        <w:rPr>
          <w:rFonts w:ascii="Arial" w:hAnsi="Arial" w:cs="Arial"/>
          <w:b/>
        </w:rPr>
        <w:t xml:space="preserve">DATE OF PUBLICATION: </w:t>
      </w:r>
      <w:r w:rsidR="00E81E4D">
        <w:rPr>
          <w:rFonts w:ascii="Arial" w:hAnsi="Arial" w:cs="Arial"/>
          <w:b/>
        </w:rPr>
        <w:t>12 MAY 2023</w:t>
      </w:r>
    </w:p>
    <w:p w:rsidR="006201E5" w:rsidRPr="0097377A" w:rsidRDefault="006201E5" w:rsidP="006201E5">
      <w:pPr>
        <w:tabs>
          <w:tab w:val="left" w:pos="432"/>
          <w:tab w:val="left" w:pos="864"/>
        </w:tabs>
        <w:spacing w:before="100" w:beforeAutospacing="1" w:line="276" w:lineRule="auto"/>
        <w:rPr>
          <w:rFonts w:ascii="Arial" w:hAnsi="Arial" w:cs="Arial"/>
          <w:b/>
        </w:rPr>
      </w:pPr>
    </w:p>
    <w:p w:rsidR="00965E04" w:rsidRDefault="006B2520" w:rsidP="0097377A">
      <w:pPr>
        <w:spacing w:line="360" w:lineRule="auto"/>
        <w:ind w:left="709" w:hanging="709"/>
        <w:jc w:val="both"/>
        <w:rPr>
          <w:rFonts w:ascii="Arial" w:hAnsi="Arial" w:cs="Arial"/>
          <w:b/>
          <w:lang w:val="en-ZA"/>
        </w:rPr>
      </w:pPr>
      <w:bookmarkStart w:id="0" w:name="_Hlk135072223"/>
      <w:r w:rsidRPr="0097377A">
        <w:rPr>
          <w:rFonts w:ascii="Arial" w:hAnsi="Arial" w:cs="Arial"/>
          <w:b/>
          <w:lang w:val="en-ZA"/>
        </w:rPr>
        <w:t xml:space="preserve">Mr </w:t>
      </w:r>
      <w:r w:rsidR="00A1518A">
        <w:rPr>
          <w:rFonts w:ascii="Arial" w:hAnsi="Arial" w:cs="Arial"/>
          <w:b/>
          <w:lang w:val="en-ZA"/>
        </w:rPr>
        <w:t>J Engelbrecht (DA) to ask the Minister of Human Settlements</w:t>
      </w:r>
      <w:r w:rsidRPr="0097377A">
        <w:rPr>
          <w:rFonts w:ascii="Arial" w:hAnsi="Arial" w:cs="Arial"/>
          <w:b/>
          <w:lang w:val="en-ZA"/>
        </w:rPr>
        <w:t>:</w:t>
      </w:r>
    </w:p>
    <w:p w:rsidR="0097377A" w:rsidRPr="0097377A" w:rsidRDefault="0097377A" w:rsidP="0097377A">
      <w:pPr>
        <w:spacing w:line="360" w:lineRule="auto"/>
        <w:ind w:left="709" w:hanging="709"/>
        <w:jc w:val="both"/>
        <w:rPr>
          <w:rFonts w:ascii="Arial" w:hAnsi="Arial" w:cs="Arial"/>
          <w:lang w:val="en-ZA"/>
        </w:rPr>
      </w:pPr>
    </w:p>
    <w:p w:rsidR="00A47EBB" w:rsidRDefault="00A1518A" w:rsidP="00A1518A">
      <w:pPr>
        <w:spacing w:line="360" w:lineRule="auto"/>
        <w:jc w:val="both"/>
        <w:rPr>
          <w:rFonts w:ascii="Arial" w:hAnsi="Arial" w:cs="Arial"/>
          <w:lang w:val="en-ZA"/>
        </w:rPr>
      </w:pPr>
      <w:r w:rsidRPr="00A1518A">
        <w:rPr>
          <w:rFonts w:ascii="Arial" w:hAnsi="Arial" w:cs="Arial"/>
          <w:lang w:val="en-ZA"/>
        </w:rPr>
        <w:t>Whether she will furnish Mr J Engelbrecht with a comprehensive brea</w:t>
      </w:r>
      <w:r w:rsidR="00D85073">
        <w:rPr>
          <w:rFonts w:ascii="Arial" w:hAnsi="Arial" w:cs="Arial"/>
          <w:lang w:val="en-ZA"/>
        </w:rPr>
        <w:t>k</w:t>
      </w:r>
      <w:r w:rsidRPr="00A1518A">
        <w:rPr>
          <w:rFonts w:ascii="Arial" w:hAnsi="Arial" w:cs="Arial"/>
          <w:lang w:val="en-ZA"/>
        </w:rPr>
        <w:t>down of the procurement allocation of (a) her department and (b) every entity reporting to her in terms of the percentages allocated to (</w:t>
      </w:r>
      <w:proofErr w:type="spellStart"/>
      <w:r w:rsidRPr="00A1518A">
        <w:rPr>
          <w:rFonts w:ascii="Arial" w:hAnsi="Arial" w:cs="Arial"/>
          <w:lang w:val="en-ZA"/>
        </w:rPr>
        <w:t>i</w:t>
      </w:r>
      <w:proofErr w:type="spellEnd"/>
      <w:r w:rsidRPr="00A1518A">
        <w:rPr>
          <w:rFonts w:ascii="Arial" w:hAnsi="Arial" w:cs="Arial"/>
          <w:lang w:val="en-ZA"/>
        </w:rPr>
        <w:t xml:space="preserve">) small-, medium- and micro-enterprises, (ii) cooperatives, (iii) township enterprises and (iv) rural enterprises with a view to evaluating the effectiveness of the set-aside policy of the government in fostering an inclusive and diverse economic landscape in the (aa) 2021-22 financial year and (bb) since 1 April </w:t>
      </w:r>
      <w:r>
        <w:rPr>
          <w:rFonts w:ascii="Arial" w:hAnsi="Arial" w:cs="Arial"/>
          <w:lang w:val="en-ZA"/>
        </w:rPr>
        <w:t>2023.</w:t>
      </w:r>
    </w:p>
    <w:p w:rsidR="002D5FD2" w:rsidRPr="00111616" w:rsidRDefault="0024444C" w:rsidP="00111616">
      <w:pPr>
        <w:spacing w:line="360" w:lineRule="auto"/>
        <w:jc w:val="both"/>
        <w:rPr>
          <w:rFonts w:ascii="Arial" w:hAnsi="Arial" w:cs="Arial"/>
          <w:lang w:val="en-ZA"/>
        </w:rPr>
      </w:pPr>
      <w:r w:rsidRPr="00A1518A">
        <w:rPr>
          <w:rFonts w:ascii="Arial" w:hAnsi="Arial" w:cs="Arial"/>
          <w:lang w:val="en-ZA"/>
        </w:rPr>
        <w:tab/>
      </w:r>
    </w:p>
    <w:p w:rsidR="00111616" w:rsidRDefault="00131EF0" w:rsidP="00630B84">
      <w:pPr>
        <w:tabs>
          <w:tab w:val="left" w:pos="432"/>
          <w:tab w:val="left" w:pos="864"/>
        </w:tabs>
        <w:spacing w:line="360" w:lineRule="auto"/>
        <w:rPr>
          <w:rFonts w:ascii="Arial" w:hAnsi="Arial" w:cs="Arial"/>
          <w:b/>
        </w:rPr>
      </w:pPr>
      <w:r w:rsidRPr="0097377A">
        <w:rPr>
          <w:rFonts w:ascii="Arial" w:hAnsi="Arial" w:cs="Arial"/>
          <w:b/>
        </w:rPr>
        <w:t xml:space="preserve">REPLY: </w:t>
      </w:r>
    </w:p>
    <w:p w:rsidR="002F0989" w:rsidRPr="00630B84" w:rsidRDefault="002F0989" w:rsidP="00630B84">
      <w:pPr>
        <w:tabs>
          <w:tab w:val="left" w:pos="432"/>
          <w:tab w:val="left" w:pos="864"/>
        </w:tabs>
        <w:spacing w:line="360" w:lineRule="auto"/>
        <w:rPr>
          <w:rFonts w:ascii="Arial" w:hAnsi="Arial" w:cs="Arial"/>
          <w:b/>
        </w:rPr>
      </w:pPr>
    </w:p>
    <w:p w:rsidR="00303872" w:rsidRPr="006174C0" w:rsidRDefault="00303872" w:rsidP="00303872">
      <w:pPr>
        <w:pStyle w:val="ListParagraph"/>
        <w:numPr>
          <w:ilvl w:val="0"/>
          <w:numId w:val="20"/>
        </w:numPr>
        <w:tabs>
          <w:tab w:val="left" w:pos="1134"/>
        </w:tabs>
        <w:spacing w:line="360" w:lineRule="auto"/>
        <w:jc w:val="both"/>
        <w:rPr>
          <w:rFonts w:ascii="Arial" w:hAnsi="Arial" w:cs="Arial"/>
        </w:rPr>
      </w:pPr>
      <w:r w:rsidRPr="00303872">
        <w:rPr>
          <w:rFonts w:ascii="Arial" w:hAnsi="Arial" w:cs="Arial"/>
        </w:rPr>
        <w:t xml:space="preserve">The </w:t>
      </w:r>
      <w:bookmarkStart w:id="1" w:name="_Hlk136370011"/>
      <w:r w:rsidRPr="00303872">
        <w:rPr>
          <w:rFonts w:ascii="Arial" w:hAnsi="Arial" w:cs="Arial"/>
        </w:rPr>
        <w:t>National Department of Human Settlement</w:t>
      </w:r>
      <w:bookmarkEnd w:id="1"/>
      <w:r w:rsidR="006174C0">
        <w:rPr>
          <w:rFonts w:ascii="Arial" w:hAnsi="Arial" w:cs="Arial"/>
        </w:rPr>
        <w:t>’</w:t>
      </w:r>
      <w:r w:rsidRPr="00303872">
        <w:rPr>
          <w:rFonts w:ascii="Arial" w:hAnsi="Arial" w:cs="Arial"/>
        </w:rPr>
        <w:t>s procurement allocations</w:t>
      </w:r>
      <w:r w:rsidR="006174C0">
        <w:rPr>
          <w:rFonts w:ascii="Arial" w:hAnsi="Arial" w:cs="Arial"/>
        </w:rPr>
        <w:t>.</w:t>
      </w:r>
    </w:p>
    <w:p w:rsidR="00303872" w:rsidRDefault="00303872" w:rsidP="00303872">
      <w:pPr>
        <w:spacing w:line="360" w:lineRule="auto"/>
        <w:jc w:val="both"/>
        <w:rPr>
          <w:rFonts w:ascii="Arial" w:hAnsi="Arial" w:cs="Arial"/>
        </w:rPr>
      </w:pPr>
    </w:p>
    <w:p w:rsidR="00303872" w:rsidRPr="00303872" w:rsidRDefault="00303872" w:rsidP="00303872">
      <w:pPr>
        <w:pStyle w:val="ListParagraph"/>
        <w:tabs>
          <w:tab w:val="left" w:pos="1134"/>
        </w:tabs>
        <w:spacing w:line="360" w:lineRule="auto"/>
        <w:ind w:left="360"/>
        <w:jc w:val="both"/>
        <w:rPr>
          <w:rFonts w:ascii="Arial" w:hAnsi="Arial" w:cs="Arial"/>
        </w:rPr>
      </w:pPr>
      <w:r w:rsidRPr="00303872">
        <w:rPr>
          <w:rFonts w:ascii="Arial" w:hAnsi="Arial" w:cs="Arial"/>
          <w:b/>
          <w:bCs/>
        </w:rPr>
        <w:t>(aa)</w:t>
      </w:r>
      <w:r w:rsidRPr="00303872">
        <w:rPr>
          <w:rFonts w:ascii="Arial" w:hAnsi="Arial" w:cs="Arial"/>
        </w:rPr>
        <w:t xml:space="preserve"> In respect of </w:t>
      </w:r>
      <w:r w:rsidRPr="00303872">
        <w:rPr>
          <w:rFonts w:ascii="Arial" w:hAnsi="Arial" w:cs="Arial"/>
          <w:b/>
          <w:bCs/>
        </w:rPr>
        <w:t>2021-22 financial year</w:t>
      </w:r>
      <w:r w:rsidRPr="00303872">
        <w:rPr>
          <w:rFonts w:ascii="Arial" w:hAnsi="Arial" w:cs="Arial"/>
        </w:rPr>
        <w:t xml:space="preserve">, the National Department of Human </w:t>
      </w:r>
    </w:p>
    <w:p w:rsidR="00303872" w:rsidRPr="00303872" w:rsidRDefault="00303872" w:rsidP="00303872">
      <w:pPr>
        <w:pStyle w:val="ListParagraph"/>
        <w:tabs>
          <w:tab w:val="left" w:pos="1134"/>
        </w:tabs>
        <w:spacing w:line="360" w:lineRule="auto"/>
        <w:ind w:left="360"/>
        <w:jc w:val="both"/>
        <w:rPr>
          <w:rFonts w:ascii="Arial" w:hAnsi="Arial" w:cs="Arial"/>
        </w:rPr>
      </w:pPr>
      <w:r w:rsidRPr="00303872">
        <w:rPr>
          <w:rFonts w:ascii="Arial" w:hAnsi="Arial" w:cs="Arial"/>
        </w:rPr>
        <w:t xml:space="preserve">       Settlements procured over fifty five percent (55%) of goods and services </w:t>
      </w:r>
    </w:p>
    <w:p w:rsidR="00303872" w:rsidRPr="00303872" w:rsidRDefault="00303872" w:rsidP="00303872">
      <w:pPr>
        <w:pStyle w:val="ListParagraph"/>
        <w:tabs>
          <w:tab w:val="left" w:pos="1134"/>
        </w:tabs>
        <w:spacing w:line="360" w:lineRule="auto"/>
        <w:ind w:left="360"/>
        <w:jc w:val="both"/>
        <w:rPr>
          <w:rFonts w:ascii="Arial" w:hAnsi="Arial" w:cs="Arial"/>
        </w:rPr>
      </w:pPr>
      <w:r w:rsidRPr="00303872">
        <w:rPr>
          <w:rFonts w:ascii="Arial" w:hAnsi="Arial" w:cs="Arial"/>
        </w:rPr>
        <w:lastRenderedPageBreak/>
        <w:t xml:space="preserve">       from suppliers and service providers who are on B-BBEE level 1-4.</w:t>
      </w:r>
    </w:p>
    <w:p w:rsidR="00303872" w:rsidRPr="00303872" w:rsidRDefault="00303872" w:rsidP="00303872">
      <w:pPr>
        <w:pStyle w:val="ListParagraph"/>
        <w:tabs>
          <w:tab w:val="left" w:pos="1134"/>
        </w:tabs>
        <w:spacing w:line="360" w:lineRule="auto"/>
        <w:jc w:val="both"/>
        <w:rPr>
          <w:rFonts w:ascii="Arial" w:hAnsi="Arial" w:cs="Arial"/>
        </w:rPr>
      </w:pPr>
      <w:proofErr w:type="spellStart"/>
      <w:r w:rsidRPr="00303872">
        <w:rPr>
          <w:rFonts w:ascii="Arial" w:hAnsi="Arial" w:cs="Arial"/>
        </w:rPr>
        <w:t>i</w:t>
      </w:r>
      <w:proofErr w:type="spellEnd"/>
      <w:r w:rsidRPr="00303872">
        <w:rPr>
          <w:rFonts w:ascii="Arial" w:hAnsi="Arial" w:cs="Arial"/>
        </w:rPr>
        <w:t>)</w:t>
      </w:r>
      <w:r w:rsidRPr="00303872">
        <w:rPr>
          <w:rFonts w:ascii="Arial" w:hAnsi="Arial" w:cs="Arial"/>
        </w:rPr>
        <w:tab/>
        <w:t>The procurement allocation is</w:t>
      </w:r>
      <w:r w:rsidR="006E7948">
        <w:rPr>
          <w:rFonts w:ascii="Arial" w:hAnsi="Arial" w:cs="Arial"/>
        </w:rPr>
        <w:t xml:space="preserve"> R 60 988 816,96</w:t>
      </w:r>
    </w:p>
    <w:p w:rsidR="00303872" w:rsidRPr="00303872" w:rsidRDefault="00303872" w:rsidP="00303872">
      <w:pPr>
        <w:pStyle w:val="ListParagraph"/>
        <w:tabs>
          <w:tab w:val="left" w:pos="1134"/>
        </w:tabs>
        <w:spacing w:line="360" w:lineRule="auto"/>
        <w:jc w:val="both"/>
        <w:rPr>
          <w:rFonts w:ascii="Arial" w:hAnsi="Arial" w:cs="Arial"/>
        </w:rPr>
      </w:pPr>
      <w:r w:rsidRPr="00303872">
        <w:rPr>
          <w:rFonts w:ascii="Arial" w:hAnsi="Arial" w:cs="Arial"/>
        </w:rPr>
        <w:t>ii)</w:t>
      </w:r>
      <w:r w:rsidRPr="00303872">
        <w:rPr>
          <w:rFonts w:ascii="Arial" w:hAnsi="Arial" w:cs="Arial"/>
        </w:rPr>
        <w:tab/>
        <w:t xml:space="preserve">Procurement from co-operatives </w:t>
      </w:r>
      <w:r w:rsidR="006E7948">
        <w:rPr>
          <w:rFonts w:ascii="Arial" w:hAnsi="Arial" w:cs="Arial"/>
        </w:rPr>
        <w:t>R 0,00</w:t>
      </w:r>
    </w:p>
    <w:p w:rsidR="00303872" w:rsidRPr="00303872" w:rsidRDefault="00303872" w:rsidP="00303872">
      <w:pPr>
        <w:pStyle w:val="ListParagraph"/>
        <w:tabs>
          <w:tab w:val="left" w:pos="1134"/>
        </w:tabs>
        <w:spacing w:line="360" w:lineRule="auto"/>
        <w:jc w:val="both"/>
        <w:rPr>
          <w:rFonts w:ascii="Arial" w:hAnsi="Arial" w:cs="Arial"/>
        </w:rPr>
      </w:pPr>
      <w:r w:rsidRPr="00303872">
        <w:rPr>
          <w:rFonts w:ascii="Arial" w:hAnsi="Arial" w:cs="Arial"/>
        </w:rPr>
        <w:t>iii)</w:t>
      </w:r>
      <w:r w:rsidRPr="00303872">
        <w:rPr>
          <w:rFonts w:ascii="Arial" w:hAnsi="Arial" w:cs="Arial"/>
        </w:rPr>
        <w:tab/>
        <w:t xml:space="preserve">Township enterprises R 2 154 021,48 and </w:t>
      </w:r>
    </w:p>
    <w:p w:rsidR="006174C0" w:rsidRPr="006E7948" w:rsidRDefault="00303872" w:rsidP="006E7948">
      <w:pPr>
        <w:pStyle w:val="ListParagraph"/>
        <w:tabs>
          <w:tab w:val="left" w:pos="1134"/>
        </w:tabs>
        <w:spacing w:line="360" w:lineRule="auto"/>
        <w:jc w:val="both"/>
        <w:rPr>
          <w:rFonts w:ascii="Arial" w:hAnsi="Arial" w:cs="Arial"/>
        </w:rPr>
      </w:pPr>
      <w:r w:rsidRPr="00303872">
        <w:rPr>
          <w:rFonts w:ascii="Arial" w:hAnsi="Arial" w:cs="Arial"/>
        </w:rPr>
        <w:t>iv)</w:t>
      </w:r>
      <w:r w:rsidRPr="00303872">
        <w:rPr>
          <w:rFonts w:ascii="Arial" w:hAnsi="Arial" w:cs="Arial"/>
        </w:rPr>
        <w:tab/>
        <w:t>Rural enterprises R 2 162 825,54</w:t>
      </w:r>
      <w:r w:rsidR="006E7948">
        <w:rPr>
          <w:rFonts w:ascii="Arial" w:hAnsi="Arial" w:cs="Arial"/>
        </w:rPr>
        <w:t>.</w:t>
      </w:r>
    </w:p>
    <w:p w:rsidR="006174C0" w:rsidRPr="006174C0" w:rsidRDefault="006174C0" w:rsidP="006174C0">
      <w:pPr>
        <w:pStyle w:val="ListParagraph"/>
        <w:tabs>
          <w:tab w:val="left" w:pos="1134"/>
        </w:tabs>
        <w:spacing w:line="360" w:lineRule="auto"/>
        <w:jc w:val="both"/>
        <w:rPr>
          <w:rFonts w:ascii="Arial" w:hAnsi="Arial" w:cs="Arial"/>
        </w:rPr>
      </w:pPr>
    </w:p>
    <w:p w:rsidR="00303872" w:rsidRPr="00303872" w:rsidRDefault="00303872" w:rsidP="00303872">
      <w:pPr>
        <w:pStyle w:val="ListParagraph"/>
        <w:tabs>
          <w:tab w:val="left" w:pos="1134"/>
        </w:tabs>
        <w:spacing w:line="360" w:lineRule="auto"/>
        <w:ind w:left="360"/>
        <w:jc w:val="both"/>
        <w:rPr>
          <w:rFonts w:ascii="Arial" w:hAnsi="Arial" w:cs="Arial"/>
          <w:b/>
          <w:bCs/>
        </w:rPr>
      </w:pPr>
      <w:r w:rsidRPr="00303872">
        <w:rPr>
          <w:rFonts w:ascii="Arial" w:hAnsi="Arial" w:cs="Arial"/>
          <w:b/>
          <w:bCs/>
        </w:rPr>
        <w:t>April 2023</w:t>
      </w:r>
    </w:p>
    <w:p w:rsidR="00303872" w:rsidRPr="00303872" w:rsidRDefault="00303872" w:rsidP="00303872">
      <w:pPr>
        <w:pStyle w:val="ListParagraph"/>
        <w:tabs>
          <w:tab w:val="left" w:pos="1134"/>
        </w:tabs>
        <w:spacing w:line="360" w:lineRule="auto"/>
        <w:ind w:left="360"/>
        <w:jc w:val="both"/>
        <w:rPr>
          <w:rFonts w:ascii="Arial" w:hAnsi="Arial" w:cs="Arial"/>
        </w:rPr>
      </w:pPr>
    </w:p>
    <w:p w:rsidR="00303872" w:rsidRPr="00303872" w:rsidRDefault="00303872" w:rsidP="00303872">
      <w:pPr>
        <w:pStyle w:val="ListParagraph"/>
        <w:tabs>
          <w:tab w:val="left" w:pos="1134"/>
        </w:tabs>
        <w:spacing w:line="360" w:lineRule="auto"/>
        <w:ind w:left="360"/>
        <w:jc w:val="both"/>
        <w:rPr>
          <w:rFonts w:ascii="Arial" w:hAnsi="Arial" w:cs="Arial"/>
        </w:rPr>
      </w:pPr>
      <w:r w:rsidRPr="00303872">
        <w:rPr>
          <w:rFonts w:ascii="Arial" w:hAnsi="Arial" w:cs="Arial"/>
        </w:rPr>
        <w:t xml:space="preserve">In respect of </w:t>
      </w:r>
      <w:r w:rsidRPr="00303872">
        <w:rPr>
          <w:rFonts w:ascii="Arial" w:hAnsi="Arial" w:cs="Arial"/>
          <w:b/>
          <w:bCs/>
        </w:rPr>
        <w:t>2022/23 financial year</w:t>
      </w:r>
      <w:r w:rsidRPr="00303872">
        <w:rPr>
          <w:rFonts w:ascii="Arial" w:hAnsi="Arial" w:cs="Arial"/>
        </w:rPr>
        <w:t xml:space="preserve">, the National Department of Human </w:t>
      </w:r>
    </w:p>
    <w:p w:rsidR="00303872" w:rsidRPr="00303872" w:rsidRDefault="00303872" w:rsidP="00303872">
      <w:pPr>
        <w:pStyle w:val="ListParagraph"/>
        <w:tabs>
          <w:tab w:val="left" w:pos="1134"/>
        </w:tabs>
        <w:spacing w:line="360" w:lineRule="auto"/>
        <w:ind w:left="360"/>
        <w:jc w:val="both"/>
        <w:rPr>
          <w:rFonts w:ascii="Arial" w:hAnsi="Arial" w:cs="Arial"/>
        </w:rPr>
      </w:pPr>
      <w:r w:rsidRPr="00303872">
        <w:rPr>
          <w:rFonts w:ascii="Arial" w:hAnsi="Arial" w:cs="Arial"/>
        </w:rPr>
        <w:t xml:space="preserve">Settlements procured over ninety seven percent (97%) of goods and services </w:t>
      </w:r>
    </w:p>
    <w:p w:rsidR="00303872" w:rsidRPr="00303872" w:rsidRDefault="00303872" w:rsidP="00303872">
      <w:pPr>
        <w:pStyle w:val="ListParagraph"/>
        <w:tabs>
          <w:tab w:val="left" w:pos="1134"/>
        </w:tabs>
        <w:spacing w:line="360" w:lineRule="auto"/>
        <w:ind w:left="360"/>
        <w:jc w:val="both"/>
        <w:rPr>
          <w:rFonts w:ascii="Arial" w:hAnsi="Arial" w:cs="Arial"/>
        </w:rPr>
      </w:pPr>
      <w:r w:rsidRPr="00303872">
        <w:rPr>
          <w:rFonts w:ascii="Arial" w:hAnsi="Arial" w:cs="Arial"/>
        </w:rPr>
        <w:t>from suppliers and service providers who are on B-BBEE level 1-4.</w:t>
      </w:r>
    </w:p>
    <w:p w:rsidR="00303872" w:rsidRPr="00303872" w:rsidRDefault="00303872" w:rsidP="00303872">
      <w:pPr>
        <w:pStyle w:val="ListParagraph"/>
        <w:tabs>
          <w:tab w:val="left" w:pos="1134"/>
        </w:tabs>
        <w:spacing w:line="360" w:lineRule="auto"/>
        <w:jc w:val="both"/>
        <w:rPr>
          <w:rFonts w:ascii="Arial" w:hAnsi="Arial" w:cs="Arial"/>
        </w:rPr>
      </w:pPr>
      <w:proofErr w:type="spellStart"/>
      <w:r w:rsidRPr="00303872">
        <w:rPr>
          <w:rFonts w:ascii="Arial" w:hAnsi="Arial" w:cs="Arial"/>
        </w:rPr>
        <w:t>i</w:t>
      </w:r>
      <w:proofErr w:type="spellEnd"/>
      <w:r w:rsidRPr="00303872">
        <w:rPr>
          <w:rFonts w:ascii="Arial" w:hAnsi="Arial" w:cs="Arial"/>
        </w:rPr>
        <w:t>)</w:t>
      </w:r>
      <w:r w:rsidRPr="00303872">
        <w:rPr>
          <w:rFonts w:ascii="Arial" w:hAnsi="Arial" w:cs="Arial"/>
        </w:rPr>
        <w:tab/>
        <w:t>The procurement allocation is</w:t>
      </w:r>
      <w:r w:rsidR="006E7948">
        <w:rPr>
          <w:rFonts w:ascii="Arial" w:hAnsi="Arial" w:cs="Arial"/>
        </w:rPr>
        <w:t xml:space="preserve"> R 23 334 019,86</w:t>
      </w:r>
    </w:p>
    <w:p w:rsidR="00303872" w:rsidRPr="00303872" w:rsidRDefault="00303872" w:rsidP="00303872">
      <w:pPr>
        <w:pStyle w:val="ListParagraph"/>
        <w:tabs>
          <w:tab w:val="left" w:pos="1134"/>
        </w:tabs>
        <w:spacing w:line="360" w:lineRule="auto"/>
        <w:jc w:val="both"/>
        <w:rPr>
          <w:rFonts w:ascii="Arial" w:hAnsi="Arial" w:cs="Arial"/>
        </w:rPr>
      </w:pPr>
      <w:r w:rsidRPr="00303872">
        <w:rPr>
          <w:rFonts w:ascii="Arial" w:hAnsi="Arial" w:cs="Arial"/>
        </w:rPr>
        <w:t xml:space="preserve">(ii) </w:t>
      </w:r>
      <w:r w:rsidRPr="00303872">
        <w:rPr>
          <w:rFonts w:ascii="Arial" w:hAnsi="Arial" w:cs="Arial"/>
        </w:rPr>
        <w:tab/>
        <w:t xml:space="preserve">Procurement from cooperatives </w:t>
      </w:r>
      <w:r w:rsidR="006E7948">
        <w:rPr>
          <w:rFonts w:ascii="Arial" w:hAnsi="Arial" w:cs="Arial"/>
        </w:rPr>
        <w:t xml:space="preserve">R </w:t>
      </w:r>
      <w:r w:rsidRPr="00303872">
        <w:rPr>
          <w:rFonts w:ascii="Arial" w:hAnsi="Arial" w:cs="Arial"/>
        </w:rPr>
        <w:t>0</w:t>
      </w:r>
      <w:r w:rsidR="006E7948">
        <w:rPr>
          <w:rFonts w:ascii="Arial" w:hAnsi="Arial" w:cs="Arial"/>
        </w:rPr>
        <w:t>,00</w:t>
      </w:r>
    </w:p>
    <w:p w:rsidR="00303872" w:rsidRPr="00303872" w:rsidRDefault="00303872" w:rsidP="00303872">
      <w:pPr>
        <w:pStyle w:val="ListParagraph"/>
        <w:tabs>
          <w:tab w:val="left" w:pos="1134"/>
        </w:tabs>
        <w:spacing w:line="360" w:lineRule="auto"/>
        <w:jc w:val="both"/>
        <w:rPr>
          <w:rFonts w:ascii="Arial" w:hAnsi="Arial" w:cs="Arial"/>
        </w:rPr>
      </w:pPr>
      <w:r w:rsidRPr="00303872">
        <w:rPr>
          <w:rFonts w:ascii="Arial" w:hAnsi="Arial" w:cs="Arial"/>
        </w:rPr>
        <w:t xml:space="preserve">(iii) </w:t>
      </w:r>
      <w:r w:rsidRPr="00303872">
        <w:rPr>
          <w:rFonts w:ascii="Arial" w:hAnsi="Arial" w:cs="Arial"/>
        </w:rPr>
        <w:tab/>
        <w:t xml:space="preserve">Township enterprises R 2 162 825,54 and </w:t>
      </w:r>
    </w:p>
    <w:p w:rsidR="00303872" w:rsidRDefault="00303872" w:rsidP="00303872">
      <w:pPr>
        <w:pStyle w:val="ListParagraph"/>
        <w:tabs>
          <w:tab w:val="left" w:pos="1134"/>
        </w:tabs>
        <w:spacing w:line="360" w:lineRule="auto"/>
        <w:jc w:val="both"/>
        <w:rPr>
          <w:rFonts w:ascii="Arial" w:hAnsi="Arial" w:cs="Arial"/>
        </w:rPr>
      </w:pPr>
      <w:r w:rsidRPr="00303872">
        <w:rPr>
          <w:rFonts w:ascii="Arial" w:hAnsi="Arial" w:cs="Arial"/>
        </w:rPr>
        <w:t xml:space="preserve">(iv) </w:t>
      </w:r>
      <w:r w:rsidRPr="00303872">
        <w:rPr>
          <w:rFonts w:ascii="Arial" w:hAnsi="Arial" w:cs="Arial"/>
        </w:rPr>
        <w:tab/>
        <w:t>Rural enterprises R 327 122,75</w:t>
      </w:r>
      <w:r w:rsidR="006E7948">
        <w:rPr>
          <w:rFonts w:ascii="Arial" w:hAnsi="Arial" w:cs="Arial"/>
        </w:rPr>
        <w:t>.</w:t>
      </w:r>
    </w:p>
    <w:p w:rsidR="00AC7C92" w:rsidRPr="00AC7C92" w:rsidRDefault="00AC7C92" w:rsidP="00AC7C92">
      <w:pPr>
        <w:pStyle w:val="ListParagraph"/>
        <w:tabs>
          <w:tab w:val="left" w:pos="1134"/>
        </w:tabs>
        <w:spacing w:line="360" w:lineRule="auto"/>
        <w:ind w:left="360"/>
        <w:jc w:val="both"/>
        <w:rPr>
          <w:rFonts w:ascii="Arial" w:hAnsi="Arial" w:cs="Arial"/>
        </w:rPr>
      </w:pPr>
    </w:p>
    <w:p w:rsidR="003F2FE1" w:rsidRPr="005E0208" w:rsidRDefault="00BD77DA" w:rsidP="003F2FE1">
      <w:pPr>
        <w:pStyle w:val="ListParagraph"/>
        <w:numPr>
          <w:ilvl w:val="0"/>
          <w:numId w:val="20"/>
        </w:numPr>
        <w:tabs>
          <w:tab w:val="left" w:pos="1134"/>
        </w:tabs>
        <w:spacing w:line="360" w:lineRule="auto"/>
        <w:jc w:val="both"/>
        <w:rPr>
          <w:rFonts w:ascii="Arial" w:hAnsi="Arial" w:cs="Arial"/>
        </w:rPr>
      </w:pPr>
      <w:r w:rsidRPr="005E0208">
        <w:rPr>
          <w:rFonts w:ascii="Arial" w:hAnsi="Arial" w:cs="Arial"/>
          <w:b/>
        </w:rPr>
        <w:t>Entities Reporting to the Minister</w:t>
      </w:r>
    </w:p>
    <w:p w:rsidR="003F2FE1" w:rsidRDefault="003F2FE1" w:rsidP="003F2FE1">
      <w:pPr>
        <w:tabs>
          <w:tab w:val="left" w:pos="1134"/>
        </w:tabs>
        <w:spacing w:line="360" w:lineRule="auto"/>
        <w:jc w:val="both"/>
        <w:rPr>
          <w:rFonts w:ascii="Arial" w:hAnsi="Arial" w:cs="Arial"/>
          <w:b/>
        </w:rPr>
      </w:pPr>
    </w:p>
    <w:p w:rsidR="003F2FE1" w:rsidRPr="00AC7C92" w:rsidRDefault="00D85073" w:rsidP="00B1593D">
      <w:pPr>
        <w:pStyle w:val="ListParagraph"/>
        <w:numPr>
          <w:ilvl w:val="0"/>
          <w:numId w:val="15"/>
        </w:numPr>
        <w:tabs>
          <w:tab w:val="left" w:pos="1134"/>
        </w:tabs>
        <w:spacing w:line="360" w:lineRule="auto"/>
        <w:jc w:val="both"/>
        <w:rPr>
          <w:rFonts w:ascii="Arial" w:hAnsi="Arial" w:cs="Arial"/>
          <w:b/>
        </w:rPr>
      </w:pPr>
      <w:r w:rsidRPr="00AC7C92">
        <w:rPr>
          <w:rFonts w:ascii="Arial" w:hAnsi="Arial" w:cs="Arial"/>
          <w:b/>
        </w:rPr>
        <w:t>Community Schemes Ombud Service</w:t>
      </w:r>
      <w:bookmarkEnd w:id="0"/>
      <w:r w:rsidR="003F2FE1" w:rsidRPr="00AC7C92">
        <w:rPr>
          <w:rFonts w:ascii="Arial" w:hAnsi="Arial" w:cs="Arial"/>
          <w:b/>
        </w:rPr>
        <w:t xml:space="preserve">: </w:t>
      </w:r>
      <w:r w:rsidR="00D92CE8" w:rsidRPr="00AC7C92">
        <w:rPr>
          <w:rFonts w:ascii="Arial" w:hAnsi="Arial" w:cs="Arial"/>
        </w:rPr>
        <w:t xml:space="preserve">The Community Schemes Ombud Service does not have specific targeted procurement spend allocations for the procurement categories mentioned by the honourable member. </w:t>
      </w:r>
      <w:r w:rsidR="00EF076F" w:rsidRPr="00AC7C92">
        <w:rPr>
          <w:rFonts w:ascii="Arial" w:hAnsi="Arial" w:cs="Arial"/>
        </w:rPr>
        <w:t>However, t</w:t>
      </w:r>
      <w:r w:rsidR="00D92CE8" w:rsidRPr="00AC7C92">
        <w:rPr>
          <w:rFonts w:ascii="Arial" w:hAnsi="Arial" w:cs="Arial"/>
        </w:rPr>
        <w:t xml:space="preserve">he Community Schemes Ombud Service </w:t>
      </w:r>
      <w:r w:rsidR="00EF076F" w:rsidRPr="00AC7C92">
        <w:rPr>
          <w:rFonts w:ascii="Arial" w:hAnsi="Arial" w:cs="Arial"/>
        </w:rPr>
        <w:t xml:space="preserve">has </w:t>
      </w:r>
      <w:r w:rsidR="003F2FE1" w:rsidRPr="00AC7C92">
        <w:rPr>
          <w:rFonts w:ascii="Arial" w:hAnsi="Arial" w:cs="Arial"/>
        </w:rPr>
        <w:t xml:space="preserve">since </w:t>
      </w:r>
      <w:r w:rsidR="00EF076F" w:rsidRPr="00AC7C92">
        <w:rPr>
          <w:rFonts w:ascii="Arial" w:hAnsi="Arial" w:cs="Arial"/>
        </w:rPr>
        <w:t xml:space="preserve">determined that it spent </w:t>
      </w:r>
      <w:r w:rsidR="00D92CE8" w:rsidRPr="00AC7C92">
        <w:rPr>
          <w:rFonts w:ascii="Arial" w:hAnsi="Arial" w:cs="Arial"/>
        </w:rPr>
        <w:t>(</w:t>
      </w:r>
      <w:proofErr w:type="spellStart"/>
      <w:r w:rsidR="00D92CE8" w:rsidRPr="00AC7C92">
        <w:rPr>
          <w:rFonts w:ascii="Arial" w:hAnsi="Arial" w:cs="Arial"/>
        </w:rPr>
        <w:t>i</w:t>
      </w:r>
      <w:proofErr w:type="spellEnd"/>
      <w:r w:rsidR="00D92CE8" w:rsidRPr="00AC7C92">
        <w:rPr>
          <w:rFonts w:ascii="Arial" w:hAnsi="Arial" w:cs="Arial"/>
        </w:rPr>
        <w:t>)</w:t>
      </w:r>
      <w:r w:rsidR="00D87B38" w:rsidRPr="00AC7C92">
        <w:rPr>
          <w:rFonts w:ascii="Arial" w:hAnsi="Arial" w:cs="Arial"/>
        </w:rPr>
        <w:t xml:space="preserve"> </w:t>
      </w:r>
      <w:r w:rsidR="00D92CE8" w:rsidRPr="00AC7C92">
        <w:rPr>
          <w:rFonts w:ascii="Arial" w:hAnsi="Arial" w:cs="Arial"/>
        </w:rPr>
        <w:t xml:space="preserve">R42 374 176 </w:t>
      </w:r>
      <w:r w:rsidR="006F1212" w:rsidRPr="00AC7C92">
        <w:rPr>
          <w:rFonts w:ascii="Arial" w:hAnsi="Arial" w:cs="Arial"/>
        </w:rPr>
        <w:t xml:space="preserve">(74%) </w:t>
      </w:r>
      <w:r w:rsidR="00D92CE8" w:rsidRPr="00AC7C92">
        <w:rPr>
          <w:rFonts w:ascii="Arial" w:hAnsi="Arial" w:cs="Arial"/>
        </w:rPr>
        <w:t xml:space="preserve">on </w:t>
      </w:r>
      <w:r w:rsidR="00D92CE8" w:rsidRPr="00AC7C92">
        <w:rPr>
          <w:rFonts w:ascii="Arial" w:hAnsi="Arial" w:cs="Arial"/>
          <w:lang w:val="en-ZA"/>
        </w:rPr>
        <w:t>small-, medium- and micro-enterprises</w:t>
      </w:r>
      <w:r w:rsidR="00D87B38" w:rsidRPr="00AC7C92">
        <w:rPr>
          <w:rFonts w:ascii="Arial" w:hAnsi="Arial" w:cs="Arial"/>
          <w:lang w:val="en-ZA"/>
        </w:rPr>
        <w:t xml:space="preserve"> during the (bb) 2021/22 financial year</w:t>
      </w:r>
      <w:r w:rsidR="00D92CE8" w:rsidRPr="00AC7C92">
        <w:rPr>
          <w:rFonts w:ascii="Arial" w:hAnsi="Arial" w:cs="Arial"/>
          <w:lang w:val="en-ZA"/>
        </w:rPr>
        <w:t xml:space="preserve">. </w:t>
      </w:r>
    </w:p>
    <w:p w:rsidR="00AC7C92" w:rsidRPr="00AC7C92" w:rsidRDefault="00AC7C92" w:rsidP="00AC7C92">
      <w:pPr>
        <w:pStyle w:val="ListParagraph"/>
        <w:tabs>
          <w:tab w:val="left" w:pos="1134"/>
        </w:tabs>
        <w:spacing w:line="360" w:lineRule="auto"/>
        <w:ind w:left="360"/>
        <w:jc w:val="both"/>
        <w:rPr>
          <w:rFonts w:ascii="Arial" w:hAnsi="Arial" w:cs="Arial"/>
          <w:b/>
        </w:rPr>
      </w:pPr>
    </w:p>
    <w:p w:rsidR="003F2FE1" w:rsidRPr="00AC7C92" w:rsidRDefault="00BD77DA" w:rsidP="00D8330C">
      <w:pPr>
        <w:pStyle w:val="ListParagraph"/>
        <w:numPr>
          <w:ilvl w:val="0"/>
          <w:numId w:val="15"/>
        </w:numPr>
        <w:tabs>
          <w:tab w:val="left" w:pos="1134"/>
        </w:tabs>
        <w:spacing w:line="360" w:lineRule="auto"/>
        <w:jc w:val="both"/>
        <w:rPr>
          <w:rFonts w:ascii="Arial" w:hAnsi="Arial" w:cs="Arial"/>
          <w:b/>
        </w:rPr>
      </w:pPr>
      <w:r w:rsidRPr="00AC7C92">
        <w:rPr>
          <w:rFonts w:ascii="Arial" w:hAnsi="Arial" w:cs="Arial"/>
          <w:b/>
        </w:rPr>
        <w:t>Property Practitioners Regulatory Authority</w:t>
      </w:r>
      <w:r w:rsidR="003F2FE1" w:rsidRPr="00AC7C92">
        <w:rPr>
          <w:rFonts w:ascii="Arial" w:hAnsi="Arial" w:cs="Arial"/>
          <w:b/>
        </w:rPr>
        <w:t>:</w:t>
      </w:r>
      <w:r w:rsidR="003F2FE1" w:rsidRPr="00AC7C92">
        <w:rPr>
          <w:rFonts w:ascii="Arial" w:hAnsi="Arial" w:cs="Arial"/>
        </w:rPr>
        <w:t xml:space="preserve"> </w:t>
      </w:r>
      <w:r w:rsidR="0020377B" w:rsidRPr="00AC7C92">
        <w:rPr>
          <w:rFonts w:ascii="Arial" w:hAnsi="Arial" w:cs="Arial"/>
        </w:rPr>
        <w:t xml:space="preserve">The Property Practitioners Regulatory Authority </w:t>
      </w:r>
      <w:r w:rsidR="003F2FE1" w:rsidRPr="00AC7C92">
        <w:rPr>
          <w:rFonts w:ascii="Arial" w:hAnsi="Arial" w:cs="Arial"/>
        </w:rPr>
        <w:t xml:space="preserve">has advised the Department that it </w:t>
      </w:r>
      <w:r w:rsidR="0020377B" w:rsidRPr="00AC7C92">
        <w:rPr>
          <w:rFonts w:ascii="Arial" w:hAnsi="Arial" w:cs="Arial"/>
        </w:rPr>
        <w:t>did not record any percentage procurement spend for (</w:t>
      </w:r>
      <w:proofErr w:type="spellStart"/>
      <w:r w:rsidR="0020377B" w:rsidRPr="00AC7C92">
        <w:rPr>
          <w:rFonts w:ascii="Arial" w:hAnsi="Arial" w:cs="Arial"/>
        </w:rPr>
        <w:t>i</w:t>
      </w:r>
      <w:proofErr w:type="spellEnd"/>
      <w:r w:rsidR="0020377B" w:rsidRPr="00AC7C92">
        <w:rPr>
          <w:rFonts w:ascii="Arial" w:hAnsi="Arial" w:cs="Arial"/>
        </w:rPr>
        <w:t xml:space="preserve">) </w:t>
      </w:r>
      <w:r w:rsidR="0020377B" w:rsidRPr="00AC7C92">
        <w:rPr>
          <w:rFonts w:ascii="Arial" w:hAnsi="Arial" w:cs="Arial"/>
          <w:lang w:val="en-ZA"/>
        </w:rPr>
        <w:t>small-, medium- and micro-enterprises</w:t>
      </w:r>
      <w:r w:rsidR="0020377B" w:rsidRPr="00AC7C92">
        <w:rPr>
          <w:rFonts w:ascii="Arial" w:hAnsi="Arial" w:cs="Arial"/>
        </w:rPr>
        <w:t xml:space="preserve"> (ii) Cooperatives, (iii) Township and (iv) Rural Enterprises during the (</w:t>
      </w:r>
      <w:proofErr w:type="spellStart"/>
      <w:r w:rsidR="0020377B" w:rsidRPr="00AC7C92">
        <w:rPr>
          <w:rFonts w:ascii="Arial" w:hAnsi="Arial" w:cs="Arial"/>
        </w:rPr>
        <w:t>aa</w:t>
      </w:r>
      <w:proofErr w:type="spellEnd"/>
      <w:r w:rsidR="0020377B" w:rsidRPr="00AC7C92">
        <w:rPr>
          <w:rFonts w:ascii="Arial" w:hAnsi="Arial" w:cs="Arial"/>
        </w:rPr>
        <w:t>) 2021/22 financial year.</w:t>
      </w:r>
      <w:r w:rsidR="003F2FE1" w:rsidRPr="00AC7C92">
        <w:rPr>
          <w:rFonts w:ascii="Arial" w:hAnsi="Arial" w:cs="Arial"/>
        </w:rPr>
        <w:t xml:space="preserve"> </w:t>
      </w:r>
    </w:p>
    <w:p w:rsidR="00AC7C92" w:rsidRPr="00AC7C92" w:rsidRDefault="00AC7C92" w:rsidP="00AC7C92">
      <w:pPr>
        <w:tabs>
          <w:tab w:val="left" w:pos="1134"/>
        </w:tabs>
        <w:spacing w:line="360" w:lineRule="auto"/>
        <w:jc w:val="both"/>
        <w:rPr>
          <w:rFonts w:ascii="Arial" w:hAnsi="Arial" w:cs="Arial"/>
          <w:b/>
        </w:rPr>
      </w:pPr>
    </w:p>
    <w:p w:rsidR="00AA48D6" w:rsidRPr="00AC7C92" w:rsidRDefault="00AA48D6" w:rsidP="0018581F">
      <w:pPr>
        <w:pStyle w:val="ListParagraph"/>
        <w:numPr>
          <w:ilvl w:val="0"/>
          <w:numId w:val="15"/>
        </w:numPr>
        <w:tabs>
          <w:tab w:val="left" w:pos="1134"/>
        </w:tabs>
        <w:spacing w:line="360" w:lineRule="auto"/>
        <w:jc w:val="both"/>
        <w:rPr>
          <w:rFonts w:ascii="Arial" w:hAnsi="Arial" w:cs="Arial"/>
          <w:b/>
        </w:rPr>
      </w:pPr>
      <w:r w:rsidRPr="00AC7C92">
        <w:rPr>
          <w:rFonts w:ascii="Arial" w:hAnsi="Arial" w:cs="Arial"/>
          <w:b/>
          <w:color w:val="000000"/>
          <w:bdr w:val="none" w:sz="0" w:space="0" w:color="auto" w:frame="1"/>
        </w:rPr>
        <w:t xml:space="preserve">Social Housing Regulatory Authority: </w:t>
      </w:r>
      <w:r w:rsidRPr="00AC7C92">
        <w:rPr>
          <w:rFonts w:ascii="Arial" w:hAnsi="Arial" w:cs="Arial"/>
          <w:color w:val="000000" w:themeColor="text1"/>
        </w:rPr>
        <w:t xml:space="preserve">The Social Housing Regulatory Authority spent eighty-five percent (85.61%) on </w:t>
      </w:r>
      <w:r w:rsidRPr="00AC7C92">
        <w:rPr>
          <w:rFonts w:ascii="Arial" w:hAnsi="Arial" w:cs="Arial"/>
          <w:color w:val="000000" w:themeColor="text1"/>
          <w:lang w:val="en-ZA"/>
        </w:rPr>
        <w:t>(</w:t>
      </w:r>
      <w:proofErr w:type="spellStart"/>
      <w:r w:rsidRPr="00AC7C92">
        <w:rPr>
          <w:rFonts w:ascii="Arial" w:hAnsi="Arial" w:cs="Arial"/>
          <w:color w:val="000000" w:themeColor="text1"/>
          <w:lang w:val="en-ZA"/>
        </w:rPr>
        <w:t>i</w:t>
      </w:r>
      <w:proofErr w:type="spellEnd"/>
      <w:r w:rsidRPr="00AC7C92">
        <w:rPr>
          <w:rFonts w:ascii="Arial" w:hAnsi="Arial" w:cs="Arial"/>
          <w:color w:val="000000" w:themeColor="text1"/>
          <w:lang w:val="en-ZA"/>
        </w:rPr>
        <w:t>) small-, medium- and micro-enterprises during the (aa) 2021/22 financial year.</w:t>
      </w:r>
      <w:r w:rsidRPr="00AC7C92">
        <w:rPr>
          <w:rFonts w:ascii="Arial" w:hAnsi="Arial" w:cs="Arial"/>
          <w:color w:val="000000" w:themeColor="text1"/>
        </w:rPr>
        <w:t xml:space="preserve"> </w:t>
      </w:r>
      <w:bookmarkStart w:id="2" w:name="_Hlk135815145"/>
      <w:r w:rsidRPr="00AC7C92">
        <w:rPr>
          <w:rFonts w:ascii="Arial" w:hAnsi="Arial" w:cs="Arial"/>
          <w:color w:val="000000" w:themeColor="text1"/>
        </w:rPr>
        <w:t xml:space="preserve">No percentage procurement spent for (ii) Cooperatives, (iii) Township and (iv) Rural Enterprises has been recorded by the Social Housing Regulatory Authority during the (aa) </w:t>
      </w:r>
      <w:r w:rsidRPr="00AC7C92">
        <w:rPr>
          <w:rFonts w:ascii="Arial" w:hAnsi="Arial" w:cs="Arial"/>
          <w:color w:val="000000" w:themeColor="text1"/>
          <w:lang w:val="en-ZA"/>
        </w:rPr>
        <w:t xml:space="preserve">2021/22 financial </w:t>
      </w:r>
      <w:bookmarkEnd w:id="2"/>
      <w:r w:rsidRPr="00AC7C92">
        <w:rPr>
          <w:rFonts w:ascii="Arial" w:hAnsi="Arial" w:cs="Arial"/>
          <w:color w:val="000000" w:themeColor="text1"/>
          <w:lang w:val="en-ZA"/>
        </w:rPr>
        <w:t>year</w:t>
      </w:r>
      <w:r w:rsidRPr="00AC7C92">
        <w:rPr>
          <w:rFonts w:ascii="Arial" w:hAnsi="Arial" w:cs="Arial"/>
          <w:color w:val="000000" w:themeColor="text1"/>
        </w:rPr>
        <w:t xml:space="preserve">. </w:t>
      </w:r>
    </w:p>
    <w:p w:rsidR="00AC7C92" w:rsidRPr="00AC7C92" w:rsidRDefault="00AC7C92" w:rsidP="00AC7C92">
      <w:pPr>
        <w:tabs>
          <w:tab w:val="left" w:pos="1134"/>
        </w:tabs>
        <w:spacing w:line="360" w:lineRule="auto"/>
        <w:jc w:val="both"/>
        <w:rPr>
          <w:rFonts w:ascii="Arial" w:hAnsi="Arial" w:cs="Arial"/>
          <w:b/>
        </w:rPr>
      </w:pPr>
    </w:p>
    <w:p w:rsidR="003F2FE1" w:rsidRPr="003F2FE1" w:rsidRDefault="00C009F2" w:rsidP="00224CA1">
      <w:pPr>
        <w:pStyle w:val="ListParagraph"/>
        <w:numPr>
          <w:ilvl w:val="0"/>
          <w:numId w:val="15"/>
        </w:numPr>
        <w:tabs>
          <w:tab w:val="left" w:pos="1134"/>
        </w:tabs>
        <w:spacing w:line="360" w:lineRule="auto"/>
        <w:jc w:val="both"/>
        <w:rPr>
          <w:rFonts w:ascii="Arial" w:hAnsi="Arial" w:cs="Arial"/>
          <w:b/>
        </w:rPr>
      </w:pPr>
      <w:r w:rsidRPr="003F2FE1">
        <w:rPr>
          <w:rFonts w:ascii="Arial" w:hAnsi="Arial" w:cs="Arial"/>
          <w:b/>
        </w:rPr>
        <w:t>Housing Development Agency</w:t>
      </w:r>
      <w:r w:rsidR="003F2FE1">
        <w:rPr>
          <w:rFonts w:ascii="Arial" w:hAnsi="Arial" w:cs="Arial"/>
          <w:b/>
        </w:rPr>
        <w:t>:</w:t>
      </w:r>
      <w:r w:rsidR="003F2FE1">
        <w:rPr>
          <w:rFonts w:ascii="Arial" w:hAnsi="Arial" w:cs="Arial"/>
        </w:rPr>
        <w:t xml:space="preserve"> </w:t>
      </w:r>
      <w:r w:rsidR="00D92CE8" w:rsidRPr="003F2FE1">
        <w:rPr>
          <w:rFonts w:ascii="Arial" w:hAnsi="Arial" w:cs="Arial"/>
        </w:rPr>
        <w:t xml:space="preserve">The Housing Development Agency does not have specific targeted procurement spend allocations for the procurement categories mentioned by the honourable member. The Housing Development Agency targets procurement </w:t>
      </w:r>
      <w:proofErr w:type="gramStart"/>
      <w:r w:rsidR="00D92CE8" w:rsidRPr="003F2FE1">
        <w:rPr>
          <w:rFonts w:ascii="Arial" w:hAnsi="Arial" w:cs="Arial"/>
        </w:rPr>
        <w:t>spend</w:t>
      </w:r>
      <w:proofErr w:type="gramEnd"/>
      <w:r w:rsidR="00D92CE8" w:rsidRPr="003F2FE1">
        <w:rPr>
          <w:rFonts w:ascii="Arial" w:hAnsi="Arial" w:cs="Arial"/>
        </w:rPr>
        <w:t xml:space="preserve"> on </w:t>
      </w:r>
      <w:r w:rsidR="00224CA1" w:rsidRPr="003F2FE1">
        <w:rPr>
          <w:rFonts w:ascii="Arial" w:hAnsi="Arial" w:cs="Arial"/>
        </w:rPr>
        <w:t>w</w:t>
      </w:r>
      <w:r w:rsidR="00D92CE8" w:rsidRPr="003F2FE1">
        <w:rPr>
          <w:rFonts w:ascii="Arial" w:hAnsi="Arial" w:cs="Arial"/>
        </w:rPr>
        <w:t>omen, youth and persons with disabilities</w:t>
      </w:r>
      <w:r w:rsidR="00224CA1" w:rsidRPr="003F2FE1">
        <w:rPr>
          <w:rFonts w:ascii="Arial" w:hAnsi="Arial" w:cs="Arial"/>
        </w:rPr>
        <w:t xml:space="preserve"> in line with Government’s empowerment object. The results are as follows</w:t>
      </w:r>
      <w:r w:rsidR="00D92CE8" w:rsidRPr="003F2FE1">
        <w:rPr>
          <w:rFonts w:ascii="Arial" w:hAnsi="Arial" w:cs="Arial"/>
        </w:rPr>
        <w:t>:</w:t>
      </w:r>
      <w:r w:rsidR="003F2FE1">
        <w:rPr>
          <w:rFonts w:ascii="Arial" w:hAnsi="Arial" w:cs="Arial"/>
        </w:rPr>
        <w:t xml:space="preserve"> </w:t>
      </w:r>
    </w:p>
    <w:p w:rsidR="003F2FE1" w:rsidRPr="003F2FE1" w:rsidRDefault="003F2FE1" w:rsidP="003F2FE1">
      <w:pPr>
        <w:pStyle w:val="ListParagraph"/>
        <w:rPr>
          <w:rFonts w:ascii="Arial" w:hAnsi="Arial" w:cs="Arial"/>
          <w:color w:val="000000" w:themeColor="text1"/>
        </w:rPr>
      </w:pPr>
    </w:p>
    <w:p w:rsidR="003F2FE1" w:rsidRPr="003F2FE1" w:rsidRDefault="00EB6F1A" w:rsidP="00224CA1">
      <w:pPr>
        <w:pStyle w:val="ListParagraph"/>
        <w:numPr>
          <w:ilvl w:val="1"/>
          <w:numId w:val="15"/>
        </w:numPr>
        <w:tabs>
          <w:tab w:val="left" w:pos="1134"/>
        </w:tabs>
        <w:spacing w:line="360" w:lineRule="auto"/>
        <w:jc w:val="both"/>
        <w:rPr>
          <w:rFonts w:ascii="Arial" w:hAnsi="Arial" w:cs="Arial"/>
          <w:b/>
        </w:rPr>
      </w:pPr>
      <w:r w:rsidRPr="003F2FE1">
        <w:rPr>
          <w:rFonts w:ascii="Arial" w:hAnsi="Arial" w:cs="Arial"/>
          <w:color w:val="000000" w:themeColor="text1"/>
        </w:rPr>
        <w:t>Procurement spent targeted at businesses owned by women amounting to R536 025 527. 97</w:t>
      </w:r>
      <w:r w:rsidR="006F1212" w:rsidRPr="003F2FE1">
        <w:rPr>
          <w:rFonts w:ascii="Arial" w:hAnsi="Arial" w:cs="Arial"/>
          <w:color w:val="000000" w:themeColor="text1"/>
        </w:rPr>
        <w:t xml:space="preserve"> (8.12%)</w:t>
      </w:r>
      <w:r w:rsidRPr="003F2FE1">
        <w:rPr>
          <w:rFonts w:ascii="Arial" w:hAnsi="Arial" w:cs="Arial"/>
          <w:color w:val="000000" w:themeColor="text1"/>
        </w:rPr>
        <w:t xml:space="preserve"> during the (aa) 2021/22 financial year. </w:t>
      </w:r>
    </w:p>
    <w:p w:rsidR="003F2FE1" w:rsidRPr="003F2FE1" w:rsidRDefault="00EB6F1A" w:rsidP="00224CA1">
      <w:pPr>
        <w:pStyle w:val="ListParagraph"/>
        <w:numPr>
          <w:ilvl w:val="1"/>
          <w:numId w:val="15"/>
        </w:numPr>
        <w:tabs>
          <w:tab w:val="left" w:pos="1134"/>
        </w:tabs>
        <w:spacing w:line="360" w:lineRule="auto"/>
        <w:jc w:val="both"/>
        <w:rPr>
          <w:rFonts w:ascii="Arial" w:hAnsi="Arial" w:cs="Arial"/>
          <w:b/>
        </w:rPr>
      </w:pPr>
      <w:r w:rsidRPr="003F2FE1">
        <w:rPr>
          <w:rFonts w:ascii="Arial" w:hAnsi="Arial" w:cs="Arial"/>
          <w:color w:val="000000" w:themeColor="text1"/>
        </w:rPr>
        <w:t xml:space="preserve">Procurement spent targeted at businesses owned by youth amounting to R334 757 829. 86 </w:t>
      </w:r>
      <w:r w:rsidR="006F1212" w:rsidRPr="003F2FE1">
        <w:rPr>
          <w:rFonts w:ascii="Arial" w:hAnsi="Arial" w:cs="Arial"/>
          <w:color w:val="000000" w:themeColor="text1"/>
        </w:rPr>
        <w:t xml:space="preserve">(2.92%) </w:t>
      </w:r>
      <w:r w:rsidRPr="003F2FE1">
        <w:rPr>
          <w:rFonts w:ascii="Arial" w:hAnsi="Arial" w:cs="Arial"/>
          <w:color w:val="000000" w:themeColor="text1"/>
        </w:rPr>
        <w:t>during the (aa) 2021/22 financial year.</w:t>
      </w:r>
    </w:p>
    <w:p w:rsidR="003F2FE1" w:rsidRPr="003F2FE1" w:rsidRDefault="00EB6F1A" w:rsidP="00224CA1">
      <w:pPr>
        <w:pStyle w:val="ListParagraph"/>
        <w:numPr>
          <w:ilvl w:val="1"/>
          <w:numId w:val="15"/>
        </w:numPr>
        <w:tabs>
          <w:tab w:val="left" w:pos="1134"/>
        </w:tabs>
        <w:spacing w:line="360" w:lineRule="auto"/>
        <w:jc w:val="both"/>
        <w:rPr>
          <w:rFonts w:ascii="Arial" w:hAnsi="Arial" w:cs="Arial"/>
          <w:b/>
        </w:rPr>
      </w:pPr>
      <w:r w:rsidRPr="003F2FE1">
        <w:rPr>
          <w:rFonts w:ascii="Arial" w:hAnsi="Arial" w:cs="Arial"/>
          <w:color w:val="000000" w:themeColor="text1"/>
        </w:rPr>
        <w:t xml:space="preserve">Procurement spent on businesses owned by persons with disabilities amounting to R124 981 016. 18 </w:t>
      </w:r>
      <w:r w:rsidR="006F1212" w:rsidRPr="003F2FE1">
        <w:rPr>
          <w:rFonts w:ascii="Arial" w:hAnsi="Arial" w:cs="Arial"/>
          <w:color w:val="000000" w:themeColor="text1"/>
        </w:rPr>
        <w:t xml:space="preserve">(0.53%) </w:t>
      </w:r>
      <w:r w:rsidRPr="003F2FE1">
        <w:rPr>
          <w:rFonts w:ascii="Arial" w:hAnsi="Arial" w:cs="Arial"/>
          <w:color w:val="000000" w:themeColor="text1"/>
        </w:rPr>
        <w:t xml:space="preserve">during the (aa) 2021/22 financial year. </w:t>
      </w:r>
    </w:p>
    <w:p w:rsidR="003F2FE1" w:rsidRPr="003F2FE1" w:rsidRDefault="003F2FE1" w:rsidP="003F2FE1">
      <w:pPr>
        <w:tabs>
          <w:tab w:val="left" w:pos="1134"/>
        </w:tabs>
        <w:spacing w:line="360" w:lineRule="auto"/>
        <w:jc w:val="both"/>
        <w:rPr>
          <w:rFonts w:ascii="Arial" w:hAnsi="Arial" w:cs="Arial"/>
          <w:b/>
        </w:rPr>
      </w:pPr>
    </w:p>
    <w:p w:rsidR="00AA48D6" w:rsidRPr="00AA48D6" w:rsidRDefault="00C009F2" w:rsidP="00AA48D6">
      <w:pPr>
        <w:pStyle w:val="ListParagraph"/>
        <w:numPr>
          <w:ilvl w:val="0"/>
          <w:numId w:val="15"/>
        </w:numPr>
        <w:tabs>
          <w:tab w:val="left" w:pos="1134"/>
        </w:tabs>
        <w:spacing w:line="360" w:lineRule="auto"/>
        <w:jc w:val="both"/>
        <w:rPr>
          <w:rFonts w:ascii="Arial" w:hAnsi="Arial" w:cs="Arial"/>
          <w:b/>
        </w:rPr>
      </w:pPr>
      <w:r w:rsidRPr="003F2FE1">
        <w:rPr>
          <w:rFonts w:ascii="Arial" w:hAnsi="Arial" w:cs="Arial"/>
          <w:b/>
        </w:rPr>
        <w:t>National Housing Finance Corporation</w:t>
      </w:r>
      <w:r w:rsidR="003F2FE1">
        <w:rPr>
          <w:rFonts w:ascii="Arial" w:hAnsi="Arial" w:cs="Arial"/>
          <w:b/>
        </w:rPr>
        <w:t xml:space="preserve">: </w:t>
      </w:r>
      <w:r w:rsidR="00AA7321" w:rsidRPr="003F2FE1">
        <w:rPr>
          <w:rFonts w:ascii="Arial" w:hAnsi="Arial" w:cs="Arial"/>
        </w:rPr>
        <w:t>The National Housing Finance Corporation does not have specific targeted procurement spend allocations for the procurement categories mentioned by the honourable member.</w:t>
      </w:r>
      <w:r w:rsidR="003F2FE1">
        <w:rPr>
          <w:rFonts w:ascii="Arial" w:hAnsi="Arial" w:cs="Arial"/>
        </w:rPr>
        <w:t xml:space="preserve"> </w:t>
      </w:r>
      <w:r w:rsidR="00AA7321" w:rsidRPr="003F2FE1">
        <w:rPr>
          <w:rFonts w:ascii="Arial" w:hAnsi="Arial" w:cs="Arial"/>
          <w:bCs/>
        </w:rPr>
        <w:t>However</w:t>
      </w:r>
      <w:r w:rsidR="00AA48D6">
        <w:rPr>
          <w:rFonts w:ascii="Arial" w:hAnsi="Arial" w:cs="Arial"/>
          <w:bCs/>
        </w:rPr>
        <w:t xml:space="preserve">, </w:t>
      </w:r>
      <w:r w:rsidR="00AA7321" w:rsidRPr="003F2FE1">
        <w:rPr>
          <w:rFonts w:ascii="Arial" w:hAnsi="Arial" w:cs="Arial"/>
          <w:bCs/>
        </w:rPr>
        <w:t>d</w:t>
      </w:r>
      <w:r w:rsidR="005D10FE" w:rsidRPr="003F2FE1">
        <w:rPr>
          <w:rFonts w:ascii="Arial" w:hAnsi="Arial" w:cs="Arial"/>
          <w:bCs/>
        </w:rPr>
        <w:t xml:space="preserve">uring the </w:t>
      </w:r>
      <w:r w:rsidR="00AA7321" w:rsidRPr="003F2FE1">
        <w:rPr>
          <w:rFonts w:ascii="Arial" w:hAnsi="Arial" w:cs="Arial"/>
          <w:bCs/>
        </w:rPr>
        <w:t>(</w:t>
      </w:r>
      <w:proofErr w:type="gramStart"/>
      <w:r w:rsidR="00AA7321" w:rsidRPr="003F2FE1">
        <w:rPr>
          <w:rFonts w:ascii="Arial" w:hAnsi="Arial" w:cs="Arial"/>
          <w:bCs/>
        </w:rPr>
        <w:t>aa</w:t>
      </w:r>
      <w:proofErr w:type="gramEnd"/>
      <w:r w:rsidR="00AA7321" w:rsidRPr="003F2FE1">
        <w:rPr>
          <w:rFonts w:ascii="Arial" w:hAnsi="Arial" w:cs="Arial"/>
          <w:bCs/>
        </w:rPr>
        <w:t xml:space="preserve">) </w:t>
      </w:r>
      <w:r w:rsidR="005D10FE" w:rsidRPr="003F2FE1">
        <w:rPr>
          <w:rFonts w:ascii="Arial" w:hAnsi="Arial" w:cs="Arial"/>
          <w:bCs/>
        </w:rPr>
        <w:t xml:space="preserve">2021/22 financial year, the </w:t>
      </w:r>
      <w:r w:rsidR="00D368DE" w:rsidRPr="003F2FE1">
        <w:rPr>
          <w:rFonts w:ascii="Arial" w:hAnsi="Arial" w:cs="Arial"/>
          <w:bCs/>
        </w:rPr>
        <w:t>National</w:t>
      </w:r>
      <w:r w:rsidR="005D10FE" w:rsidRPr="003F2FE1">
        <w:rPr>
          <w:rFonts w:ascii="Arial" w:hAnsi="Arial" w:cs="Arial"/>
          <w:bCs/>
        </w:rPr>
        <w:t xml:space="preserve"> Housing </w:t>
      </w:r>
      <w:r w:rsidR="00D368DE" w:rsidRPr="003F2FE1">
        <w:rPr>
          <w:rFonts w:ascii="Arial" w:hAnsi="Arial" w:cs="Arial"/>
          <w:bCs/>
        </w:rPr>
        <w:t>Finance</w:t>
      </w:r>
      <w:r w:rsidR="005D10FE" w:rsidRPr="003F2FE1">
        <w:rPr>
          <w:rFonts w:ascii="Arial" w:hAnsi="Arial" w:cs="Arial"/>
          <w:bCs/>
        </w:rPr>
        <w:t xml:space="preserve"> </w:t>
      </w:r>
      <w:r w:rsidR="00AA7321" w:rsidRPr="003F2FE1">
        <w:rPr>
          <w:rFonts w:ascii="Arial" w:hAnsi="Arial" w:cs="Arial"/>
          <w:bCs/>
        </w:rPr>
        <w:t>C</w:t>
      </w:r>
      <w:r w:rsidR="005D10FE" w:rsidRPr="003F2FE1">
        <w:rPr>
          <w:rFonts w:ascii="Arial" w:hAnsi="Arial" w:cs="Arial"/>
          <w:bCs/>
        </w:rPr>
        <w:t xml:space="preserve">orporation targeted the </w:t>
      </w:r>
      <w:r w:rsidR="00D368DE" w:rsidRPr="003F2FE1">
        <w:rPr>
          <w:rFonts w:ascii="Arial" w:hAnsi="Arial" w:cs="Arial"/>
          <w:bCs/>
        </w:rPr>
        <w:t>procurement</w:t>
      </w:r>
      <w:r w:rsidR="005D10FE" w:rsidRPr="003F2FE1">
        <w:rPr>
          <w:rFonts w:ascii="Arial" w:hAnsi="Arial" w:cs="Arial"/>
          <w:bCs/>
        </w:rPr>
        <w:t xml:space="preserve"> of goods and services from Broad Based Black Economic Empowerment (B-BBEE) firms level 1 to 4. Due to the nature of competition and service required it is not always practical to purchase goods and services from the tar</w:t>
      </w:r>
      <w:r w:rsidR="00AA7321" w:rsidRPr="003F2FE1">
        <w:rPr>
          <w:rFonts w:ascii="Arial" w:hAnsi="Arial" w:cs="Arial"/>
          <w:bCs/>
        </w:rPr>
        <w:t>geted</w:t>
      </w:r>
      <w:r w:rsidR="005D10FE" w:rsidRPr="003F2FE1">
        <w:rPr>
          <w:rFonts w:ascii="Arial" w:hAnsi="Arial" w:cs="Arial"/>
          <w:bCs/>
        </w:rPr>
        <w:t xml:space="preserve"> B-BBEE levels. </w:t>
      </w:r>
      <w:r w:rsidR="000C25B9" w:rsidRPr="003F2FE1">
        <w:rPr>
          <w:rFonts w:ascii="Arial" w:hAnsi="Arial" w:cs="Arial"/>
          <w:bCs/>
        </w:rPr>
        <w:t>T</w:t>
      </w:r>
      <w:r w:rsidR="005D10FE" w:rsidRPr="003F2FE1">
        <w:rPr>
          <w:rFonts w:ascii="Arial" w:hAnsi="Arial" w:cs="Arial"/>
          <w:bCs/>
        </w:rPr>
        <w:t xml:space="preserve">he </w:t>
      </w:r>
      <w:r w:rsidR="00D368DE" w:rsidRPr="003F2FE1">
        <w:rPr>
          <w:rFonts w:ascii="Arial" w:hAnsi="Arial" w:cs="Arial"/>
          <w:bCs/>
        </w:rPr>
        <w:t>National</w:t>
      </w:r>
      <w:r w:rsidR="005D10FE" w:rsidRPr="003F2FE1">
        <w:rPr>
          <w:rFonts w:ascii="Arial" w:hAnsi="Arial" w:cs="Arial"/>
          <w:bCs/>
        </w:rPr>
        <w:t xml:space="preserve"> Housing </w:t>
      </w:r>
      <w:r w:rsidR="00D368DE" w:rsidRPr="003F2FE1">
        <w:rPr>
          <w:rFonts w:ascii="Arial" w:hAnsi="Arial" w:cs="Arial"/>
          <w:bCs/>
        </w:rPr>
        <w:t>Finance</w:t>
      </w:r>
      <w:r w:rsidR="005D10FE" w:rsidRPr="003F2FE1">
        <w:rPr>
          <w:rFonts w:ascii="Arial" w:hAnsi="Arial" w:cs="Arial"/>
          <w:bCs/>
        </w:rPr>
        <w:t xml:space="preserve"> </w:t>
      </w:r>
      <w:r w:rsidR="00D368DE" w:rsidRPr="003F2FE1">
        <w:rPr>
          <w:rFonts w:ascii="Arial" w:hAnsi="Arial" w:cs="Arial"/>
          <w:bCs/>
        </w:rPr>
        <w:t>Corporation</w:t>
      </w:r>
      <w:r w:rsidR="005D10FE" w:rsidRPr="003F2FE1">
        <w:rPr>
          <w:rFonts w:ascii="Arial" w:hAnsi="Arial" w:cs="Arial"/>
          <w:bCs/>
        </w:rPr>
        <w:t xml:space="preserve"> procured over seventy five percent (75%) from suppliers and service providers who are on B-BBEE level 1-4, specifically:</w:t>
      </w:r>
    </w:p>
    <w:p w:rsidR="00AA48D6" w:rsidRPr="00AA48D6" w:rsidRDefault="005D10FE" w:rsidP="00AA48D6">
      <w:pPr>
        <w:pStyle w:val="ListParagraph"/>
        <w:numPr>
          <w:ilvl w:val="1"/>
          <w:numId w:val="15"/>
        </w:numPr>
        <w:tabs>
          <w:tab w:val="left" w:pos="1134"/>
        </w:tabs>
        <w:spacing w:line="360" w:lineRule="auto"/>
        <w:jc w:val="both"/>
        <w:rPr>
          <w:rFonts w:ascii="Arial" w:hAnsi="Arial" w:cs="Arial"/>
          <w:b/>
        </w:rPr>
      </w:pPr>
      <w:r w:rsidRPr="00AA48D6">
        <w:rPr>
          <w:rFonts w:ascii="Arial" w:hAnsi="Arial" w:cs="Arial"/>
          <w:bCs/>
        </w:rPr>
        <w:t>Level 1: R62 195 048.84</w:t>
      </w:r>
      <w:r w:rsidR="00AA7321" w:rsidRPr="00AA48D6">
        <w:rPr>
          <w:rFonts w:ascii="Arial" w:hAnsi="Arial" w:cs="Arial"/>
          <w:bCs/>
        </w:rPr>
        <w:t xml:space="preserve"> (66%)</w:t>
      </w:r>
    </w:p>
    <w:p w:rsidR="00AA48D6" w:rsidRPr="00AA48D6" w:rsidRDefault="005D10FE" w:rsidP="00AA48D6">
      <w:pPr>
        <w:pStyle w:val="ListParagraph"/>
        <w:numPr>
          <w:ilvl w:val="1"/>
          <w:numId w:val="15"/>
        </w:numPr>
        <w:tabs>
          <w:tab w:val="left" w:pos="1134"/>
        </w:tabs>
        <w:spacing w:line="360" w:lineRule="auto"/>
        <w:jc w:val="both"/>
        <w:rPr>
          <w:rFonts w:ascii="Arial" w:hAnsi="Arial" w:cs="Arial"/>
          <w:b/>
        </w:rPr>
      </w:pPr>
      <w:r w:rsidRPr="00AA48D6">
        <w:rPr>
          <w:rFonts w:ascii="Arial" w:hAnsi="Arial" w:cs="Arial"/>
          <w:bCs/>
        </w:rPr>
        <w:t>Level 2: R4 168 264.19</w:t>
      </w:r>
      <w:r w:rsidR="00AA7321" w:rsidRPr="00AA48D6">
        <w:rPr>
          <w:rFonts w:ascii="Arial" w:hAnsi="Arial" w:cs="Arial"/>
          <w:bCs/>
        </w:rPr>
        <w:t xml:space="preserve"> (4%)</w:t>
      </w:r>
    </w:p>
    <w:p w:rsidR="00AA48D6" w:rsidRPr="00AA48D6" w:rsidRDefault="005D10FE" w:rsidP="00AA48D6">
      <w:pPr>
        <w:pStyle w:val="ListParagraph"/>
        <w:numPr>
          <w:ilvl w:val="1"/>
          <w:numId w:val="15"/>
        </w:numPr>
        <w:tabs>
          <w:tab w:val="left" w:pos="1134"/>
        </w:tabs>
        <w:spacing w:line="360" w:lineRule="auto"/>
        <w:jc w:val="both"/>
        <w:rPr>
          <w:rFonts w:ascii="Arial" w:hAnsi="Arial" w:cs="Arial"/>
          <w:b/>
        </w:rPr>
      </w:pPr>
      <w:r w:rsidRPr="00AA48D6">
        <w:rPr>
          <w:rFonts w:ascii="Arial" w:hAnsi="Arial" w:cs="Arial"/>
          <w:bCs/>
        </w:rPr>
        <w:t>Level 3: R5 407 730.74</w:t>
      </w:r>
      <w:r w:rsidR="00AA7321" w:rsidRPr="00AA48D6">
        <w:rPr>
          <w:rFonts w:ascii="Arial" w:hAnsi="Arial" w:cs="Arial"/>
          <w:bCs/>
        </w:rPr>
        <w:t xml:space="preserve"> (6%)</w:t>
      </w:r>
    </w:p>
    <w:p w:rsidR="00224CA1" w:rsidRPr="00AC7C92" w:rsidRDefault="005D10FE" w:rsidP="00AC7C92">
      <w:pPr>
        <w:pStyle w:val="ListParagraph"/>
        <w:numPr>
          <w:ilvl w:val="1"/>
          <w:numId w:val="15"/>
        </w:numPr>
        <w:tabs>
          <w:tab w:val="left" w:pos="1134"/>
        </w:tabs>
        <w:spacing w:line="360" w:lineRule="auto"/>
        <w:jc w:val="both"/>
        <w:rPr>
          <w:rFonts w:ascii="Arial" w:hAnsi="Arial" w:cs="Arial"/>
          <w:b/>
        </w:rPr>
      </w:pPr>
      <w:r w:rsidRPr="00AA48D6">
        <w:rPr>
          <w:rFonts w:ascii="Arial" w:hAnsi="Arial" w:cs="Arial"/>
          <w:bCs/>
        </w:rPr>
        <w:t>Level 4: R6 880 403.03</w:t>
      </w:r>
      <w:r w:rsidR="00AA7321" w:rsidRPr="00AA48D6">
        <w:rPr>
          <w:rFonts w:ascii="Arial" w:hAnsi="Arial" w:cs="Arial"/>
          <w:bCs/>
        </w:rPr>
        <w:t xml:space="preserve"> (7%)</w:t>
      </w:r>
    </w:p>
    <w:p w:rsidR="004A01D5" w:rsidRDefault="004A01D5" w:rsidP="00224CA1">
      <w:pPr>
        <w:tabs>
          <w:tab w:val="left" w:pos="432"/>
          <w:tab w:val="left" w:pos="864"/>
        </w:tabs>
        <w:spacing w:line="360" w:lineRule="auto"/>
        <w:rPr>
          <w:rFonts w:ascii="Arial" w:hAnsi="Arial" w:cs="Arial"/>
          <w:b/>
        </w:rPr>
      </w:pPr>
    </w:p>
    <w:p w:rsidR="00AA48D6" w:rsidRPr="00AA48D6" w:rsidRDefault="00C009F2" w:rsidP="00AA48D6">
      <w:pPr>
        <w:pStyle w:val="ListParagraph"/>
        <w:numPr>
          <w:ilvl w:val="0"/>
          <w:numId w:val="15"/>
        </w:numPr>
        <w:tabs>
          <w:tab w:val="left" w:pos="1134"/>
        </w:tabs>
        <w:spacing w:line="360" w:lineRule="auto"/>
        <w:jc w:val="both"/>
        <w:rPr>
          <w:rFonts w:ascii="Arial" w:hAnsi="Arial" w:cs="Arial"/>
          <w:b/>
        </w:rPr>
      </w:pPr>
      <w:r w:rsidRPr="00AA48D6">
        <w:rPr>
          <w:rFonts w:ascii="Arial" w:hAnsi="Arial" w:cs="Arial"/>
          <w:b/>
        </w:rPr>
        <w:t>Nat</w:t>
      </w:r>
      <w:r w:rsidR="00586CF6" w:rsidRPr="00AA48D6">
        <w:rPr>
          <w:rFonts w:ascii="Arial" w:hAnsi="Arial" w:cs="Arial"/>
          <w:b/>
        </w:rPr>
        <w:t>ional Home Builders Registration Council</w:t>
      </w:r>
      <w:r w:rsidR="00AA48D6" w:rsidRPr="00AA48D6">
        <w:rPr>
          <w:rFonts w:ascii="Arial" w:hAnsi="Arial" w:cs="Arial"/>
          <w:b/>
        </w:rPr>
        <w:t xml:space="preserve">: </w:t>
      </w:r>
      <w:r w:rsidR="00EC213C" w:rsidRPr="00AA48D6">
        <w:rPr>
          <w:rFonts w:ascii="Arial" w:hAnsi="Arial" w:cs="Arial"/>
        </w:rPr>
        <w:t>The National Home Builders Registration Council does not have specific targeted procurement spend allocations for the procurement categories mentioned by the honourable member. However, the National Home Builders Registration Council can report actual procurement expenditure as follows:</w:t>
      </w:r>
    </w:p>
    <w:p w:rsidR="00AA48D6" w:rsidRPr="00AA48D6" w:rsidRDefault="00EC213C" w:rsidP="00EC213C">
      <w:pPr>
        <w:pStyle w:val="ListParagraph"/>
        <w:numPr>
          <w:ilvl w:val="1"/>
          <w:numId w:val="15"/>
        </w:numPr>
        <w:tabs>
          <w:tab w:val="left" w:pos="1134"/>
        </w:tabs>
        <w:spacing w:line="360" w:lineRule="auto"/>
        <w:jc w:val="both"/>
        <w:rPr>
          <w:rFonts w:ascii="Arial" w:hAnsi="Arial" w:cs="Arial"/>
          <w:b/>
        </w:rPr>
      </w:pPr>
      <w:r w:rsidRPr="00AA48D6">
        <w:rPr>
          <w:rFonts w:ascii="Arial" w:hAnsi="Arial" w:cs="Arial"/>
        </w:rPr>
        <w:t>Procurement spent on businesses owned by women</w:t>
      </w:r>
      <w:r w:rsidR="00D87B38" w:rsidRPr="00AA48D6">
        <w:rPr>
          <w:rFonts w:ascii="Arial" w:hAnsi="Arial" w:cs="Arial"/>
        </w:rPr>
        <w:t xml:space="preserve"> amounting to</w:t>
      </w:r>
      <w:r w:rsidRPr="00AA48D6">
        <w:rPr>
          <w:rFonts w:ascii="Arial" w:hAnsi="Arial" w:cs="Arial"/>
        </w:rPr>
        <w:t xml:space="preserve"> R4 187 541.17</w:t>
      </w:r>
      <w:r w:rsidR="00D87B38" w:rsidRPr="00AA48D6">
        <w:rPr>
          <w:rFonts w:ascii="Arial" w:hAnsi="Arial" w:cs="Arial"/>
        </w:rPr>
        <w:t xml:space="preserve"> </w:t>
      </w:r>
      <w:r w:rsidR="003E78BF" w:rsidRPr="00AA48D6">
        <w:rPr>
          <w:rFonts w:ascii="Arial" w:hAnsi="Arial" w:cs="Arial"/>
        </w:rPr>
        <w:t xml:space="preserve">(18%) </w:t>
      </w:r>
      <w:r w:rsidR="00D87B38" w:rsidRPr="00AA48D6">
        <w:rPr>
          <w:rFonts w:ascii="Arial" w:hAnsi="Arial" w:cs="Arial"/>
        </w:rPr>
        <w:t xml:space="preserve">during the </w:t>
      </w:r>
      <w:r w:rsidR="00946EB6" w:rsidRPr="00AA48D6">
        <w:rPr>
          <w:rFonts w:ascii="Arial" w:hAnsi="Arial" w:cs="Arial"/>
        </w:rPr>
        <w:t xml:space="preserve">(aa) </w:t>
      </w:r>
      <w:r w:rsidR="00D87B38" w:rsidRPr="00AA48D6">
        <w:rPr>
          <w:rFonts w:ascii="Arial" w:hAnsi="Arial" w:cs="Arial"/>
        </w:rPr>
        <w:t>2021/22 financial year</w:t>
      </w:r>
      <w:r w:rsidRPr="00AA48D6">
        <w:rPr>
          <w:rFonts w:ascii="Arial" w:hAnsi="Arial" w:cs="Arial"/>
        </w:rPr>
        <w:t xml:space="preserve">. </w:t>
      </w:r>
    </w:p>
    <w:p w:rsidR="00AA48D6" w:rsidRPr="00AA48D6" w:rsidRDefault="00EC213C" w:rsidP="00EC213C">
      <w:pPr>
        <w:pStyle w:val="ListParagraph"/>
        <w:numPr>
          <w:ilvl w:val="1"/>
          <w:numId w:val="15"/>
        </w:numPr>
        <w:tabs>
          <w:tab w:val="left" w:pos="1134"/>
        </w:tabs>
        <w:spacing w:line="360" w:lineRule="auto"/>
        <w:jc w:val="both"/>
        <w:rPr>
          <w:rFonts w:ascii="Arial" w:hAnsi="Arial" w:cs="Arial"/>
          <w:b/>
        </w:rPr>
      </w:pPr>
      <w:r w:rsidRPr="00AA48D6">
        <w:rPr>
          <w:rFonts w:ascii="Arial" w:hAnsi="Arial" w:cs="Arial"/>
        </w:rPr>
        <w:t>Procurement spent on businesses owned by youth</w:t>
      </w:r>
      <w:r w:rsidR="00D87B38" w:rsidRPr="00AA48D6">
        <w:rPr>
          <w:rFonts w:ascii="Arial" w:hAnsi="Arial" w:cs="Arial"/>
        </w:rPr>
        <w:t xml:space="preserve"> amounting to</w:t>
      </w:r>
      <w:r w:rsidRPr="00AA48D6">
        <w:rPr>
          <w:rFonts w:ascii="Arial" w:hAnsi="Arial" w:cs="Arial"/>
        </w:rPr>
        <w:t xml:space="preserve"> R1 261 913.85</w:t>
      </w:r>
      <w:r w:rsidR="003E78BF" w:rsidRPr="00AA48D6">
        <w:rPr>
          <w:rFonts w:ascii="Arial" w:hAnsi="Arial" w:cs="Arial"/>
        </w:rPr>
        <w:t xml:space="preserve"> (7%)</w:t>
      </w:r>
      <w:r w:rsidR="00D87B38" w:rsidRPr="00AA48D6">
        <w:rPr>
          <w:rFonts w:ascii="Arial" w:hAnsi="Arial" w:cs="Arial"/>
        </w:rPr>
        <w:t xml:space="preserve"> during the </w:t>
      </w:r>
      <w:r w:rsidR="00946EB6" w:rsidRPr="00AA48D6">
        <w:rPr>
          <w:rFonts w:ascii="Arial" w:hAnsi="Arial" w:cs="Arial"/>
        </w:rPr>
        <w:t xml:space="preserve">(aa) </w:t>
      </w:r>
      <w:r w:rsidR="00D87B38" w:rsidRPr="00AA48D6">
        <w:rPr>
          <w:rFonts w:ascii="Arial" w:hAnsi="Arial" w:cs="Arial"/>
        </w:rPr>
        <w:t>2021/22 financial year</w:t>
      </w:r>
      <w:r w:rsidRPr="00AA48D6">
        <w:rPr>
          <w:rFonts w:ascii="Arial" w:hAnsi="Arial" w:cs="Arial"/>
        </w:rPr>
        <w:t>.</w:t>
      </w:r>
    </w:p>
    <w:p w:rsidR="006174C0" w:rsidRPr="002F0989" w:rsidRDefault="00EC213C" w:rsidP="002F0989">
      <w:pPr>
        <w:pStyle w:val="ListParagraph"/>
        <w:numPr>
          <w:ilvl w:val="1"/>
          <w:numId w:val="15"/>
        </w:numPr>
        <w:tabs>
          <w:tab w:val="left" w:pos="1134"/>
        </w:tabs>
        <w:spacing w:line="360" w:lineRule="auto"/>
        <w:jc w:val="both"/>
        <w:rPr>
          <w:rFonts w:ascii="Arial" w:hAnsi="Arial" w:cs="Arial"/>
          <w:b/>
        </w:rPr>
      </w:pPr>
      <w:r w:rsidRPr="00AA48D6">
        <w:rPr>
          <w:rFonts w:ascii="Arial" w:hAnsi="Arial" w:cs="Arial"/>
        </w:rPr>
        <w:t>Procurement spent on businesses owned by persons with disabilities</w:t>
      </w:r>
      <w:r w:rsidR="00D87B38" w:rsidRPr="00AA48D6">
        <w:rPr>
          <w:rFonts w:ascii="Arial" w:hAnsi="Arial" w:cs="Arial"/>
        </w:rPr>
        <w:t xml:space="preserve"> amounting to</w:t>
      </w:r>
      <w:r w:rsidRPr="00AA48D6">
        <w:rPr>
          <w:rFonts w:ascii="Arial" w:hAnsi="Arial" w:cs="Arial"/>
        </w:rPr>
        <w:t xml:space="preserve"> </w:t>
      </w:r>
      <w:r w:rsidR="003E78BF" w:rsidRPr="00AA48D6">
        <w:rPr>
          <w:rFonts w:ascii="Arial" w:hAnsi="Arial" w:cs="Arial"/>
        </w:rPr>
        <w:t xml:space="preserve">(0.3%) </w:t>
      </w:r>
      <w:r w:rsidRPr="00AA48D6">
        <w:rPr>
          <w:rFonts w:ascii="Arial" w:hAnsi="Arial" w:cs="Arial"/>
        </w:rPr>
        <w:t>R12 289.37</w:t>
      </w:r>
      <w:r w:rsidR="00D87B38" w:rsidRPr="00AA48D6">
        <w:rPr>
          <w:rFonts w:ascii="Arial" w:hAnsi="Arial" w:cs="Arial"/>
        </w:rPr>
        <w:t xml:space="preserve"> during the </w:t>
      </w:r>
      <w:r w:rsidR="00946EB6" w:rsidRPr="00AA48D6">
        <w:rPr>
          <w:rFonts w:ascii="Arial" w:hAnsi="Arial" w:cs="Arial"/>
        </w:rPr>
        <w:t xml:space="preserve">(aa) </w:t>
      </w:r>
      <w:r w:rsidR="00D87B38" w:rsidRPr="00AA48D6">
        <w:rPr>
          <w:rFonts w:ascii="Arial" w:hAnsi="Arial" w:cs="Arial"/>
        </w:rPr>
        <w:t>2021/22 financial year</w:t>
      </w:r>
      <w:r w:rsidRPr="00AA48D6">
        <w:rPr>
          <w:rFonts w:ascii="Arial" w:hAnsi="Arial" w:cs="Arial"/>
        </w:rPr>
        <w:t xml:space="preserve">. </w:t>
      </w:r>
    </w:p>
    <w:p w:rsidR="00111616" w:rsidRDefault="00111616" w:rsidP="00131EF0">
      <w:pPr>
        <w:tabs>
          <w:tab w:val="left" w:pos="432"/>
          <w:tab w:val="left" w:pos="864"/>
        </w:tabs>
        <w:spacing w:before="100" w:beforeAutospacing="1" w:line="276" w:lineRule="auto"/>
        <w:rPr>
          <w:rFonts w:ascii="Arial" w:hAnsi="Arial" w:cs="Arial"/>
          <w:b/>
        </w:rPr>
      </w:pPr>
    </w:p>
    <w:p w:rsidR="00111616" w:rsidRDefault="00111616" w:rsidP="00131EF0">
      <w:pPr>
        <w:tabs>
          <w:tab w:val="left" w:pos="432"/>
          <w:tab w:val="left" w:pos="864"/>
        </w:tabs>
        <w:spacing w:before="100" w:beforeAutospacing="1" w:line="276" w:lineRule="auto"/>
        <w:rPr>
          <w:rFonts w:ascii="Arial" w:hAnsi="Arial" w:cs="Arial"/>
          <w:b/>
        </w:rPr>
      </w:pPr>
    </w:p>
    <w:p w:rsidR="00643190" w:rsidRDefault="00643190" w:rsidP="006201E5">
      <w:pPr>
        <w:spacing w:line="360" w:lineRule="auto"/>
        <w:jc w:val="both"/>
        <w:rPr>
          <w:rFonts w:ascii="Arial" w:hAnsi="Arial" w:cs="Arial"/>
          <w:b/>
        </w:rPr>
      </w:pPr>
    </w:p>
    <w:sectPr w:rsidR="00643190" w:rsidSect="00252BC0">
      <w:footerReference w:type="default" r:id="rId9"/>
      <w:pgSz w:w="11909" w:h="16834" w:code="9"/>
      <w:pgMar w:top="1440" w:right="1440" w:bottom="1135"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43E" w:rsidRDefault="0082743E" w:rsidP="00252BC0">
      <w:r>
        <w:separator/>
      </w:r>
    </w:p>
  </w:endnote>
  <w:endnote w:type="continuationSeparator" w:id="0">
    <w:p w:rsidR="0082743E" w:rsidRDefault="0082743E" w:rsidP="00252B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7688228"/>
      <w:docPartObj>
        <w:docPartGallery w:val="Page Numbers (Bottom of Page)"/>
        <w:docPartUnique/>
      </w:docPartObj>
    </w:sdtPr>
    <w:sdtContent>
      <w:p w:rsidR="00252BC0" w:rsidRDefault="009A729E">
        <w:pPr>
          <w:pStyle w:val="Footer"/>
          <w:jc w:val="right"/>
        </w:pPr>
        <w:r>
          <w:fldChar w:fldCharType="begin"/>
        </w:r>
        <w:r w:rsidR="00252BC0">
          <w:instrText>PAGE   \* MERGEFORMAT</w:instrText>
        </w:r>
        <w:r>
          <w:fldChar w:fldCharType="separate"/>
        </w:r>
        <w:r w:rsidR="00D45CBD">
          <w:rPr>
            <w:noProof/>
          </w:rPr>
          <w:t>4</w:t>
        </w:r>
        <w:r>
          <w:fldChar w:fldCharType="end"/>
        </w:r>
      </w:p>
    </w:sdtContent>
  </w:sdt>
  <w:p w:rsidR="00252BC0" w:rsidRDefault="00252B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43E" w:rsidRDefault="0082743E" w:rsidP="00252BC0">
      <w:r>
        <w:separator/>
      </w:r>
    </w:p>
  </w:footnote>
  <w:footnote w:type="continuationSeparator" w:id="0">
    <w:p w:rsidR="0082743E" w:rsidRDefault="0082743E" w:rsidP="00252B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69DF"/>
    <w:multiLevelType w:val="hybridMultilevel"/>
    <w:tmpl w:val="371ED53E"/>
    <w:lvl w:ilvl="0" w:tplc="1C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4C8160A"/>
    <w:multiLevelType w:val="hybridMultilevel"/>
    <w:tmpl w:val="CEFAF93A"/>
    <w:lvl w:ilvl="0" w:tplc="A9162214">
      <w:start w:val="1"/>
      <w:numFmt w:val="decimal"/>
      <w:lvlText w:val="(%1)"/>
      <w:lvlJc w:val="left"/>
      <w:pPr>
        <w:ind w:left="1419" w:hanging="71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0C276B0B"/>
    <w:multiLevelType w:val="hybridMultilevel"/>
    <w:tmpl w:val="C22A55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8F3678D"/>
    <w:multiLevelType w:val="hybridMultilevel"/>
    <w:tmpl w:val="7C7C2070"/>
    <w:lvl w:ilvl="0" w:tplc="F510E770">
      <w:start w:val="1"/>
      <w:numFmt w:val="decimal"/>
      <w:lvlText w:val="(%1)"/>
      <w:lvlJc w:val="left"/>
      <w:pPr>
        <w:ind w:left="1942" w:hanging="360"/>
      </w:pPr>
      <w:rPr>
        <w:rFonts w:hint="default"/>
      </w:rPr>
    </w:lvl>
    <w:lvl w:ilvl="1" w:tplc="1C090019" w:tentative="1">
      <w:start w:val="1"/>
      <w:numFmt w:val="lowerLetter"/>
      <w:lvlText w:val="%2."/>
      <w:lvlJc w:val="left"/>
      <w:pPr>
        <w:ind w:left="3672" w:hanging="360"/>
      </w:pPr>
    </w:lvl>
    <w:lvl w:ilvl="2" w:tplc="1C09001B" w:tentative="1">
      <w:start w:val="1"/>
      <w:numFmt w:val="lowerRoman"/>
      <w:lvlText w:val="%3."/>
      <w:lvlJc w:val="right"/>
      <w:pPr>
        <w:ind w:left="4392" w:hanging="180"/>
      </w:pPr>
    </w:lvl>
    <w:lvl w:ilvl="3" w:tplc="1C09000F" w:tentative="1">
      <w:start w:val="1"/>
      <w:numFmt w:val="decimal"/>
      <w:lvlText w:val="%4."/>
      <w:lvlJc w:val="left"/>
      <w:pPr>
        <w:ind w:left="5112" w:hanging="360"/>
      </w:pPr>
    </w:lvl>
    <w:lvl w:ilvl="4" w:tplc="1C090019" w:tentative="1">
      <w:start w:val="1"/>
      <w:numFmt w:val="lowerLetter"/>
      <w:lvlText w:val="%5."/>
      <w:lvlJc w:val="left"/>
      <w:pPr>
        <w:ind w:left="5832" w:hanging="360"/>
      </w:pPr>
    </w:lvl>
    <w:lvl w:ilvl="5" w:tplc="1C09001B" w:tentative="1">
      <w:start w:val="1"/>
      <w:numFmt w:val="lowerRoman"/>
      <w:lvlText w:val="%6."/>
      <w:lvlJc w:val="right"/>
      <w:pPr>
        <w:ind w:left="6552" w:hanging="180"/>
      </w:pPr>
    </w:lvl>
    <w:lvl w:ilvl="6" w:tplc="1C09000F" w:tentative="1">
      <w:start w:val="1"/>
      <w:numFmt w:val="decimal"/>
      <w:lvlText w:val="%7."/>
      <w:lvlJc w:val="left"/>
      <w:pPr>
        <w:ind w:left="7272" w:hanging="360"/>
      </w:pPr>
    </w:lvl>
    <w:lvl w:ilvl="7" w:tplc="1C090019" w:tentative="1">
      <w:start w:val="1"/>
      <w:numFmt w:val="lowerLetter"/>
      <w:lvlText w:val="%8."/>
      <w:lvlJc w:val="left"/>
      <w:pPr>
        <w:ind w:left="7992" w:hanging="360"/>
      </w:pPr>
    </w:lvl>
    <w:lvl w:ilvl="8" w:tplc="1C09001B" w:tentative="1">
      <w:start w:val="1"/>
      <w:numFmt w:val="lowerRoman"/>
      <w:lvlText w:val="%9."/>
      <w:lvlJc w:val="right"/>
      <w:pPr>
        <w:ind w:left="8712" w:hanging="180"/>
      </w:pPr>
    </w:lvl>
  </w:abstractNum>
  <w:abstractNum w:abstractNumId="4">
    <w:nsid w:val="40E96B84"/>
    <w:multiLevelType w:val="hybridMultilevel"/>
    <w:tmpl w:val="083C330A"/>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46A03C29"/>
    <w:multiLevelType w:val="hybridMultilevel"/>
    <w:tmpl w:val="7D743B6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nsid w:val="4FD96C2F"/>
    <w:multiLevelType w:val="hybridMultilevel"/>
    <w:tmpl w:val="88A0CD66"/>
    <w:lvl w:ilvl="0" w:tplc="3864DA7E">
      <w:start w:val="1"/>
      <w:numFmt w:val="lowerLetter"/>
      <w:pStyle w:val="Heading3"/>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51DE75A4"/>
    <w:multiLevelType w:val="hybridMultilevel"/>
    <w:tmpl w:val="6A1E6022"/>
    <w:lvl w:ilvl="0" w:tplc="64CA0AF4">
      <w:start w:val="1"/>
      <w:numFmt w:val="lowerLetter"/>
      <w:lvlText w:val="(%1)"/>
      <w:lvlJc w:val="left"/>
      <w:pPr>
        <w:ind w:left="1080" w:hanging="360"/>
      </w:pPr>
      <w:rPr>
        <w:rFonts w:ascii="Arial" w:eastAsia="Times New Roman" w:hAnsi="Arial" w:cs="Arial"/>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7F75842"/>
    <w:multiLevelType w:val="hybridMultilevel"/>
    <w:tmpl w:val="59743888"/>
    <w:lvl w:ilvl="0" w:tplc="1C090001">
      <w:start w:val="1"/>
      <w:numFmt w:val="bullet"/>
      <w:lvlText w:val=""/>
      <w:lvlJc w:val="left"/>
      <w:pPr>
        <w:ind w:left="1584" w:hanging="360"/>
      </w:pPr>
      <w:rPr>
        <w:rFonts w:ascii="Symbol" w:hAnsi="Symbol" w:hint="default"/>
      </w:rPr>
    </w:lvl>
    <w:lvl w:ilvl="1" w:tplc="1C090003" w:tentative="1">
      <w:start w:val="1"/>
      <w:numFmt w:val="bullet"/>
      <w:lvlText w:val="o"/>
      <w:lvlJc w:val="left"/>
      <w:pPr>
        <w:ind w:left="2304" w:hanging="360"/>
      </w:pPr>
      <w:rPr>
        <w:rFonts w:ascii="Courier New" w:hAnsi="Courier New" w:cs="Courier New" w:hint="default"/>
      </w:rPr>
    </w:lvl>
    <w:lvl w:ilvl="2" w:tplc="1C090005" w:tentative="1">
      <w:start w:val="1"/>
      <w:numFmt w:val="bullet"/>
      <w:lvlText w:val=""/>
      <w:lvlJc w:val="left"/>
      <w:pPr>
        <w:ind w:left="3024" w:hanging="360"/>
      </w:pPr>
      <w:rPr>
        <w:rFonts w:ascii="Wingdings" w:hAnsi="Wingdings" w:hint="default"/>
      </w:rPr>
    </w:lvl>
    <w:lvl w:ilvl="3" w:tplc="1C090001" w:tentative="1">
      <w:start w:val="1"/>
      <w:numFmt w:val="bullet"/>
      <w:lvlText w:val=""/>
      <w:lvlJc w:val="left"/>
      <w:pPr>
        <w:ind w:left="3744" w:hanging="360"/>
      </w:pPr>
      <w:rPr>
        <w:rFonts w:ascii="Symbol" w:hAnsi="Symbol" w:hint="default"/>
      </w:rPr>
    </w:lvl>
    <w:lvl w:ilvl="4" w:tplc="1C090003" w:tentative="1">
      <w:start w:val="1"/>
      <w:numFmt w:val="bullet"/>
      <w:lvlText w:val="o"/>
      <w:lvlJc w:val="left"/>
      <w:pPr>
        <w:ind w:left="4464" w:hanging="360"/>
      </w:pPr>
      <w:rPr>
        <w:rFonts w:ascii="Courier New" w:hAnsi="Courier New" w:cs="Courier New" w:hint="default"/>
      </w:rPr>
    </w:lvl>
    <w:lvl w:ilvl="5" w:tplc="1C090005" w:tentative="1">
      <w:start w:val="1"/>
      <w:numFmt w:val="bullet"/>
      <w:lvlText w:val=""/>
      <w:lvlJc w:val="left"/>
      <w:pPr>
        <w:ind w:left="5184" w:hanging="360"/>
      </w:pPr>
      <w:rPr>
        <w:rFonts w:ascii="Wingdings" w:hAnsi="Wingdings" w:hint="default"/>
      </w:rPr>
    </w:lvl>
    <w:lvl w:ilvl="6" w:tplc="1C090001" w:tentative="1">
      <w:start w:val="1"/>
      <w:numFmt w:val="bullet"/>
      <w:lvlText w:val=""/>
      <w:lvlJc w:val="left"/>
      <w:pPr>
        <w:ind w:left="5904" w:hanging="360"/>
      </w:pPr>
      <w:rPr>
        <w:rFonts w:ascii="Symbol" w:hAnsi="Symbol" w:hint="default"/>
      </w:rPr>
    </w:lvl>
    <w:lvl w:ilvl="7" w:tplc="1C090003" w:tentative="1">
      <w:start w:val="1"/>
      <w:numFmt w:val="bullet"/>
      <w:lvlText w:val="o"/>
      <w:lvlJc w:val="left"/>
      <w:pPr>
        <w:ind w:left="6624" w:hanging="360"/>
      </w:pPr>
      <w:rPr>
        <w:rFonts w:ascii="Courier New" w:hAnsi="Courier New" w:cs="Courier New" w:hint="default"/>
      </w:rPr>
    </w:lvl>
    <w:lvl w:ilvl="8" w:tplc="1C090005" w:tentative="1">
      <w:start w:val="1"/>
      <w:numFmt w:val="bullet"/>
      <w:lvlText w:val=""/>
      <w:lvlJc w:val="left"/>
      <w:pPr>
        <w:ind w:left="7344" w:hanging="360"/>
      </w:pPr>
      <w:rPr>
        <w:rFonts w:ascii="Wingdings" w:hAnsi="Wingdings" w:hint="default"/>
      </w:rPr>
    </w:lvl>
  </w:abstractNum>
  <w:abstractNum w:abstractNumId="9">
    <w:nsid w:val="58C849EB"/>
    <w:multiLevelType w:val="hybridMultilevel"/>
    <w:tmpl w:val="F0769B60"/>
    <w:lvl w:ilvl="0" w:tplc="6A526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D01DD0"/>
    <w:multiLevelType w:val="hybridMultilevel"/>
    <w:tmpl w:val="EAD207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0DE6F6D"/>
    <w:multiLevelType w:val="hybridMultilevel"/>
    <w:tmpl w:val="AEA6C3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21B6F35"/>
    <w:multiLevelType w:val="hybridMultilevel"/>
    <w:tmpl w:val="57CA54DC"/>
    <w:lvl w:ilvl="0" w:tplc="D592FBD2">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6564DC2"/>
    <w:multiLevelType w:val="hybridMultilevel"/>
    <w:tmpl w:val="8AA8D37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67BE2660"/>
    <w:multiLevelType w:val="hybridMultilevel"/>
    <w:tmpl w:val="D7A2F3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nsid w:val="67FC771E"/>
    <w:multiLevelType w:val="hybridMultilevel"/>
    <w:tmpl w:val="333E5F5C"/>
    <w:lvl w:ilvl="0" w:tplc="1C09000F">
      <w:start w:val="1"/>
      <w:numFmt w:val="decimal"/>
      <w:lvlText w:val="%1."/>
      <w:lvlJc w:val="left"/>
      <w:pPr>
        <w:ind w:left="360" w:hanging="360"/>
      </w:pPr>
    </w:lvl>
    <w:lvl w:ilvl="1" w:tplc="C2A0F66E">
      <w:start w:val="1"/>
      <w:numFmt w:val="lowerLetter"/>
      <w:lvlText w:val="%2."/>
      <w:lvlJc w:val="left"/>
      <w:pPr>
        <w:ind w:left="1080" w:hanging="360"/>
      </w:pPr>
      <w:rPr>
        <w:b w:val="0"/>
        <w:bCs/>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6D9B240C"/>
    <w:multiLevelType w:val="hybridMultilevel"/>
    <w:tmpl w:val="4E964E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6F236CD3"/>
    <w:multiLevelType w:val="hybridMultilevel"/>
    <w:tmpl w:val="CA04AD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341609E"/>
    <w:multiLevelType w:val="hybridMultilevel"/>
    <w:tmpl w:val="47064550"/>
    <w:lvl w:ilvl="0" w:tplc="F510E7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83013AF"/>
    <w:multiLevelType w:val="multilevel"/>
    <w:tmpl w:val="4F98FDC0"/>
    <w:lvl w:ilvl="0">
      <w:start w:val="1"/>
      <w:numFmt w:val="decimal"/>
      <w:lvlText w:val="%1"/>
      <w:lvlJc w:val="left"/>
      <w:pPr>
        <w:tabs>
          <w:tab w:val="num" w:pos="1008"/>
        </w:tabs>
        <w:ind w:left="1008" w:hanging="432"/>
      </w:pPr>
      <w:rPr>
        <w:rFonts w:hint="default"/>
        <w:b/>
      </w:rPr>
    </w:lvl>
    <w:lvl w:ilvl="1">
      <w:start w:val="1"/>
      <w:numFmt w:val="lowerLetter"/>
      <w:lvlText w:val="%2)"/>
      <w:lvlJc w:val="left"/>
      <w:pPr>
        <w:tabs>
          <w:tab w:val="num" w:pos="1152"/>
        </w:tabs>
        <w:ind w:left="1152" w:hanging="576"/>
      </w:pPr>
      <w:rPr>
        <w:rFonts w:hint="default"/>
        <w:b/>
        <w:sz w:val="24"/>
        <w:szCs w:val="24"/>
      </w:rPr>
    </w:lvl>
    <w:lvl w:ilvl="2">
      <w:start w:val="1"/>
      <w:numFmt w:val="decimal"/>
      <w:lvlText w:val="%1.%2.%3"/>
      <w:lvlJc w:val="left"/>
      <w:pPr>
        <w:tabs>
          <w:tab w:val="num" w:pos="1296"/>
        </w:tabs>
        <w:ind w:left="1296" w:hanging="720"/>
      </w:pPr>
      <w:rPr>
        <w:rFonts w:ascii="Arial" w:hAnsi="Arial" w:cs="Arial" w:hint="default"/>
        <w:b/>
        <w:i w:val="0"/>
        <w:sz w:val="24"/>
      </w:rPr>
    </w:lvl>
    <w:lvl w:ilvl="3">
      <w:start w:val="1"/>
      <w:numFmt w:val="decimal"/>
      <w:lvlText w:val="%1.%2.%3.%4"/>
      <w:lvlJc w:val="left"/>
      <w:pPr>
        <w:tabs>
          <w:tab w:val="num" w:pos="1440"/>
        </w:tabs>
        <w:ind w:left="1440" w:hanging="864"/>
      </w:pPr>
      <w:rPr>
        <w:rFonts w:hint="default"/>
        <w:b/>
      </w:rPr>
    </w:lvl>
    <w:lvl w:ilvl="4">
      <w:start w:val="1"/>
      <w:numFmt w:val="decimal"/>
      <w:lvlText w:val="%1.%2.%3.%4.%5"/>
      <w:lvlJc w:val="left"/>
      <w:pPr>
        <w:tabs>
          <w:tab w:val="num" w:pos="1584"/>
        </w:tabs>
        <w:ind w:left="1584" w:hanging="1008"/>
      </w:pPr>
      <w:rPr>
        <w:rFonts w:hint="default"/>
      </w:rPr>
    </w:lvl>
    <w:lvl w:ilvl="5">
      <w:start w:val="1"/>
      <w:numFmt w:val="decimal"/>
      <w:lvlText w:val="%1.%2.%3.%4.%5.%6"/>
      <w:lvlJc w:val="left"/>
      <w:pPr>
        <w:tabs>
          <w:tab w:val="num" w:pos="1728"/>
        </w:tabs>
        <w:ind w:left="1728" w:hanging="1152"/>
      </w:pPr>
      <w:rPr>
        <w:rFonts w:hint="default"/>
      </w:rPr>
    </w:lvl>
    <w:lvl w:ilvl="6">
      <w:start w:val="1"/>
      <w:numFmt w:val="decimal"/>
      <w:lvlText w:val="%1.%2.%3.%4.%5.%6.%7"/>
      <w:lvlJc w:val="left"/>
      <w:pPr>
        <w:tabs>
          <w:tab w:val="num" w:pos="1872"/>
        </w:tabs>
        <w:ind w:left="1872" w:hanging="1296"/>
      </w:pPr>
      <w:rPr>
        <w:rFonts w:hint="default"/>
      </w:rPr>
    </w:lvl>
    <w:lvl w:ilvl="7">
      <w:start w:val="1"/>
      <w:numFmt w:val="decimal"/>
      <w:lvlText w:val="%1.%2.%3.%4.%5.%6.%7.%8"/>
      <w:lvlJc w:val="left"/>
      <w:pPr>
        <w:tabs>
          <w:tab w:val="num" w:pos="2016"/>
        </w:tabs>
        <w:ind w:left="2016" w:hanging="1440"/>
      </w:pPr>
      <w:rPr>
        <w:rFonts w:hint="default"/>
      </w:rPr>
    </w:lvl>
    <w:lvl w:ilvl="8">
      <w:start w:val="1"/>
      <w:numFmt w:val="decimal"/>
      <w:lvlText w:val="%1.%2.%3.%4.%5.%6.%7.%8.%9"/>
      <w:lvlJc w:val="left"/>
      <w:pPr>
        <w:tabs>
          <w:tab w:val="num" w:pos="2160"/>
        </w:tabs>
        <w:ind w:left="2160" w:hanging="1584"/>
      </w:pPr>
      <w:rPr>
        <w:rFonts w:hint="default"/>
      </w:rPr>
    </w:lvl>
  </w:abstractNum>
  <w:num w:numId="1">
    <w:abstractNumId w:val="18"/>
  </w:num>
  <w:num w:numId="2">
    <w:abstractNumId w:val="3"/>
  </w:num>
  <w:num w:numId="3">
    <w:abstractNumId w:val="7"/>
  </w:num>
  <w:num w:numId="4">
    <w:abstractNumId w:val="2"/>
  </w:num>
  <w:num w:numId="5">
    <w:abstractNumId w:val="1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4"/>
  </w:num>
  <w:num w:numId="9">
    <w:abstractNumId w:val="11"/>
  </w:num>
  <w:num w:numId="10">
    <w:abstractNumId w:val="1"/>
  </w:num>
  <w:num w:numId="11">
    <w:abstractNumId w:val="9"/>
  </w:num>
  <w:num w:numId="12">
    <w:abstractNumId w:val="19"/>
  </w:num>
  <w:num w:numId="13">
    <w:abstractNumId w:val="6"/>
  </w:num>
  <w:num w:numId="14">
    <w:abstractNumId w:val="4"/>
  </w:num>
  <w:num w:numId="15">
    <w:abstractNumId w:val="15"/>
  </w:num>
  <w:num w:numId="16">
    <w:abstractNumId w:val="16"/>
  </w:num>
  <w:num w:numId="17">
    <w:abstractNumId w:val="8"/>
  </w:num>
  <w:num w:numId="18">
    <w:abstractNumId w:val="10"/>
  </w:num>
  <w:num w:numId="19">
    <w:abstractNumId w:val="0"/>
  </w:num>
  <w:num w:numId="20">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4721D3"/>
    <w:rsid w:val="00007D7C"/>
    <w:rsid w:val="00011054"/>
    <w:rsid w:val="0001430B"/>
    <w:rsid w:val="00017EDA"/>
    <w:rsid w:val="00035D2A"/>
    <w:rsid w:val="0004313D"/>
    <w:rsid w:val="00054329"/>
    <w:rsid w:val="00056F44"/>
    <w:rsid w:val="00060225"/>
    <w:rsid w:val="000733DB"/>
    <w:rsid w:val="00073502"/>
    <w:rsid w:val="00081864"/>
    <w:rsid w:val="000915BE"/>
    <w:rsid w:val="0009647B"/>
    <w:rsid w:val="0009695B"/>
    <w:rsid w:val="000A6709"/>
    <w:rsid w:val="000A7A5D"/>
    <w:rsid w:val="000C25B9"/>
    <w:rsid w:val="000C5BDC"/>
    <w:rsid w:val="000C6DA1"/>
    <w:rsid w:val="000D6558"/>
    <w:rsid w:val="000E2CBB"/>
    <w:rsid w:val="000E2FC7"/>
    <w:rsid w:val="000F695F"/>
    <w:rsid w:val="00102B70"/>
    <w:rsid w:val="00102EFA"/>
    <w:rsid w:val="00111616"/>
    <w:rsid w:val="00111938"/>
    <w:rsid w:val="001144E8"/>
    <w:rsid w:val="00120A5D"/>
    <w:rsid w:val="00127EBE"/>
    <w:rsid w:val="00131EF0"/>
    <w:rsid w:val="0013361B"/>
    <w:rsid w:val="001601BF"/>
    <w:rsid w:val="00163DEA"/>
    <w:rsid w:val="00164C4E"/>
    <w:rsid w:val="001717CA"/>
    <w:rsid w:val="00171E41"/>
    <w:rsid w:val="00185F5E"/>
    <w:rsid w:val="00191C54"/>
    <w:rsid w:val="0019458C"/>
    <w:rsid w:val="001A08F4"/>
    <w:rsid w:val="001B636B"/>
    <w:rsid w:val="001C1FC2"/>
    <w:rsid w:val="001C319E"/>
    <w:rsid w:val="001D25FD"/>
    <w:rsid w:val="001E2160"/>
    <w:rsid w:val="001E3734"/>
    <w:rsid w:val="001E3E17"/>
    <w:rsid w:val="001E6764"/>
    <w:rsid w:val="001F1744"/>
    <w:rsid w:val="001F25E5"/>
    <w:rsid w:val="0020377B"/>
    <w:rsid w:val="002037F1"/>
    <w:rsid w:val="0020492B"/>
    <w:rsid w:val="00224CA1"/>
    <w:rsid w:val="00226996"/>
    <w:rsid w:val="0024444C"/>
    <w:rsid w:val="00252BC0"/>
    <w:rsid w:val="00274753"/>
    <w:rsid w:val="00276F62"/>
    <w:rsid w:val="00277D60"/>
    <w:rsid w:val="002850BA"/>
    <w:rsid w:val="002949DD"/>
    <w:rsid w:val="002A7FF2"/>
    <w:rsid w:val="002C16F5"/>
    <w:rsid w:val="002C6A27"/>
    <w:rsid w:val="002D5FD2"/>
    <w:rsid w:val="002E72CC"/>
    <w:rsid w:val="002F0989"/>
    <w:rsid w:val="002F619B"/>
    <w:rsid w:val="00300B75"/>
    <w:rsid w:val="00302D20"/>
    <w:rsid w:val="00303872"/>
    <w:rsid w:val="00307DE4"/>
    <w:rsid w:val="0031594B"/>
    <w:rsid w:val="0032094D"/>
    <w:rsid w:val="00321C44"/>
    <w:rsid w:val="00336948"/>
    <w:rsid w:val="003569A4"/>
    <w:rsid w:val="00363331"/>
    <w:rsid w:val="00364F9D"/>
    <w:rsid w:val="003831E9"/>
    <w:rsid w:val="00383F3E"/>
    <w:rsid w:val="0038671F"/>
    <w:rsid w:val="00387427"/>
    <w:rsid w:val="003A5D10"/>
    <w:rsid w:val="003B1C38"/>
    <w:rsid w:val="003B4E8C"/>
    <w:rsid w:val="003B7D68"/>
    <w:rsid w:val="003C017D"/>
    <w:rsid w:val="003C7C76"/>
    <w:rsid w:val="003D0E0E"/>
    <w:rsid w:val="003D52DB"/>
    <w:rsid w:val="003E101A"/>
    <w:rsid w:val="003E2533"/>
    <w:rsid w:val="003E5647"/>
    <w:rsid w:val="003E78BF"/>
    <w:rsid w:val="003F2FE1"/>
    <w:rsid w:val="0040796E"/>
    <w:rsid w:val="00424F68"/>
    <w:rsid w:val="00426F27"/>
    <w:rsid w:val="00427BCC"/>
    <w:rsid w:val="00450955"/>
    <w:rsid w:val="00461535"/>
    <w:rsid w:val="0046259C"/>
    <w:rsid w:val="004634C5"/>
    <w:rsid w:val="004721D3"/>
    <w:rsid w:val="00495A1A"/>
    <w:rsid w:val="004A01D5"/>
    <w:rsid w:val="004A78E9"/>
    <w:rsid w:val="004B6368"/>
    <w:rsid w:val="004C5F1B"/>
    <w:rsid w:val="004D7D43"/>
    <w:rsid w:val="004E05D9"/>
    <w:rsid w:val="004E1977"/>
    <w:rsid w:val="004E4B08"/>
    <w:rsid w:val="004E6458"/>
    <w:rsid w:val="004F33E5"/>
    <w:rsid w:val="005048FE"/>
    <w:rsid w:val="00506A83"/>
    <w:rsid w:val="00515640"/>
    <w:rsid w:val="00527792"/>
    <w:rsid w:val="00530F46"/>
    <w:rsid w:val="00531799"/>
    <w:rsid w:val="00532F53"/>
    <w:rsid w:val="005370A2"/>
    <w:rsid w:val="00540824"/>
    <w:rsid w:val="005524ED"/>
    <w:rsid w:val="0055436C"/>
    <w:rsid w:val="00554DEE"/>
    <w:rsid w:val="005550E7"/>
    <w:rsid w:val="00564522"/>
    <w:rsid w:val="00574E0E"/>
    <w:rsid w:val="00582A16"/>
    <w:rsid w:val="00582FAC"/>
    <w:rsid w:val="00584B3F"/>
    <w:rsid w:val="00586CF6"/>
    <w:rsid w:val="00597E30"/>
    <w:rsid w:val="005A411E"/>
    <w:rsid w:val="005A7346"/>
    <w:rsid w:val="005A7E52"/>
    <w:rsid w:val="005B2282"/>
    <w:rsid w:val="005D10FE"/>
    <w:rsid w:val="005D13BC"/>
    <w:rsid w:val="005D517B"/>
    <w:rsid w:val="005E0208"/>
    <w:rsid w:val="005E190F"/>
    <w:rsid w:val="005F339F"/>
    <w:rsid w:val="006039DA"/>
    <w:rsid w:val="0061032C"/>
    <w:rsid w:val="0061537C"/>
    <w:rsid w:val="006174C0"/>
    <w:rsid w:val="006201E5"/>
    <w:rsid w:val="00624D6F"/>
    <w:rsid w:val="00630B84"/>
    <w:rsid w:val="00633B2D"/>
    <w:rsid w:val="00635BA6"/>
    <w:rsid w:val="00643190"/>
    <w:rsid w:val="00651EDE"/>
    <w:rsid w:val="0065597D"/>
    <w:rsid w:val="006606E3"/>
    <w:rsid w:val="006629D8"/>
    <w:rsid w:val="006634B5"/>
    <w:rsid w:val="0066480A"/>
    <w:rsid w:val="00664B95"/>
    <w:rsid w:val="00666169"/>
    <w:rsid w:val="00672CAE"/>
    <w:rsid w:val="0067623B"/>
    <w:rsid w:val="006A7C1D"/>
    <w:rsid w:val="006B2520"/>
    <w:rsid w:val="006B592D"/>
    <w:rsid w:val="006C0982"/>
    <w:rsid w:val="006C12E7"/>
    <w:rsid w:val="006C143C"/>
    <w:rsid w:val="006C1C0F"/>
    <w:rsid w:val="006D5D9A"/>
    <w:rsid w:val="006E7948"/>
    <w:rsid w:val="006F1212"/>
    <w:rsid w:val="0070151D"/>
    <w:rsid w:val="00701928"/>
    <w:rsid w:val="0071195E"/>
    <w:rsid w:val="00711D6F"/>
    <w:rsid w:val="00712609"/>
    <w:rsid w:val="00713FEC"/>
    <w:rsid w:val="0072547A"/>
    <w:rsid w:val="007311BB"/>
    <w:rsid w:val="00736282"/>
    <w:rsid w:val="00761EB6"/>
    <w:rsid w:val="007705AD"/>
    <w:rsid w:val="007723FD"/>
    <w:rsid w:val="0078177C"/>
    <w:rsid w:val="007928D8"/>
    <w:rsid w:val="007946D7"/>
    <w:rsid w:val="00795FEA"/>
    <w:rsid w:val="00796BA8"/>
    <w:rsid w:val="00797D56"/>
    <w:rsid w:val="007A1B75"/>
    <w:rsid w:val="007A23E9"/>
    <w:rsid w:val="007C3B5B"/>
    <w:rsid w:val="007C7372"/>
    <w:rsid w:val="007D12A6"/>
    <w:rsid w:val="007E484E"/>
    <w:rsid w:val="00802BEB"/>
    <w:rsid w:val="00802EE3"/>
    <w:rsid w:val="00805A28"/>
    <w:rsid w:val="008148E9"/>
    <w:rsid w:val="0082743E"/>
    <w:rsid w:val="00833FA7"/>
    <w:rsid w:val="008412D0"/>
    <w:rsid w:val="00863694"/>
    <w:rsid w:val="00864F47"/>
    <w:rsid w:val="008924D0"/>
    <w:rsid w:val="008C0D39"/>
    <w:rsid w:val="008C4CF6"/>
    <w:rsid w:val="008E41CF"/>
    <w:rsid w:val="008E7219"/>
    <w:rsid w:val="008F56D3"/>
    <w:rsid w:val="009026E9"/>
    <w:rsid w:val="0090478D"/>
    <w:rsid w:val="009047AF"/>
    <w:rsid w:val="0090610B"/>
    <w:rsid w:val="009116B0"/>
    <w:rsid w:val="0091359F"/>
    <w:rsid w:val="00934BB1"/>
    <w:rsid w:val="009356AE"/>
    <w:rsid w:val="00937038"/>
    <w:rsid w:val="00942CFF"/>
    <w:rsid w:val="00946EB6"/>
    <w:rsid w:val="00965E04"/>
    <w:rsid w:val="00972434"/>
    <w:rsid w:val="0097377A"/>
    <w:rsid w:val="00984B65"/>
    <w:rsid w:val="00993A49"/>
    <w:rsid w:val="009A2EDC"/>
    <w:rsid w:val="009A314E"/>
    <w:rsid w:val="009A4B7C"/>
    <w:rsid w:val="009A729E"/>
    <w:rsid w:val="009A7B54"/>
    <w:rsid w:val="009B7090"/>
    <w:rsid w:val="009C0104"/>
    <w:rsid w:val="009C3578"/>
    <w:rsid w:val="009C7587"/>
    <w:rsid w:val="009D64CD"/>
    <w:rsid w:val="009E2831"/>
    <w:rsid w:val="009E7913"/>
    <w:rsid w:val="009E7CDD"/>
    <w:rsid w:val="009F0D6E"/>
    <w:rsid w:val="00A01113"/>
    <w:rsid w:val="00A05289"/>
    <w:rsid w:val="00A057EB"/>
    <w:rsid w:val="00A060AD"/>
    <w:rsid w:val="00A1518A"/>
    <w:rsid w:val="00A31464"/>
    <w:rsid w:val="00A3729A"/>
    <w:rsid w:val="00A41B09"/>
    <w:rsid w:val="00A42544"/>
    <w:rsid w:val="00A4725E"/>
    <w:rsid w:val="00A47EBB"/>
    <w:rsid w:val="00A50491"/>
    <w:rsid w:val="00A72B78"/>
    <w:rsid w:val="00A72ED4"/>
    <w:rsid w:val="00A85F68"/>
    <w:rsid w:val="00AA48D6"/>
    <w:rsid w:val="00AA7321"/>
    <w:rsid w:val="00AA737F"/>
    <w:rsid w:val="00AB727C"/>
    <w:rsid w:val="00AC2814"/>
    <w:rsid w:val="00AC49F3"/>
    <w:rsid w:val="00AC7C92"/>
    <w:rsid w:val="00AD7550"/>
    <w:rsid w:val="00AF5F38"/>
    <w:rsid w:val="00B01456"/>
    <w:rsid w:val="00B24CE0"/>
    <w:rsid w:val="00B317E3"/>
    <w:rsid w:val="00B34680"/>
    <w:rsid w:val="00B360C9"/>
    <w:rsid w:val="00B46724"/>
    <w:rsid w:val="00B46C1C"/>
    <w:rsid w:val="00B501FD"/>
    <w:rsid w:val="00B52672"/>
    <w:rsid w:val="00B6368C"/>
    <w:rsid w:val="00B65A60"/>
    <w:rsid w:val="00B71716"/>
    <w:rsid w:val="00B76A1D"/>
    <w:rsid w:val="00B906E8"/>
    <w:rsid w:val="00BA3946"/>
    <w:rsid w:val="00BA4366"/>
    <w:rsid w:val="00BA5647"/>
    <w:rsid w:val="00BC597D"/>
    <w:rsid w:val="00BD1172"/>
    <w:rsid w:val="00BD77DA"/>
    <w:rsid w:val="00BD7DAD"/>
    <w:rsid w:val="00BE4730"/>
    <w:rsid w:val="00BE7096"/>
    <w:rsid w:val="00C009F2"/>
    <w:rsid w:val="00C06F6B"/>
    <w:rsid w:val="00C201B3"/>
    <w:rsid w:val="00C32746"/>
    <w:rsid w:val="00C3625B"/>
    <w:rsid w:val="00C518C0"/>
    <w:rsid w:val="00C53638"/>
    <w:rsid w:val="00C62DB5"/>
    <w:rsid w:val="00C635AA"/>
    <w:rsid w:val="00C65B82"/>
    <w:rsid w:val="00C75B0D"/>
    <w:rsid w:val="00C831A8"/>
    <w:rsid w:val="00C83E42"/>
    <w:rsid w:val="00C86CF8"/>
    <w:rsid w:val="00C94123"/>
    <w:rsid w:val="00CA08A0"/>
    <w:rsid w:val="00CA47A0"/>
    <w:rsid w:val="00CC15C5"/>
    <w:rsid w:val="00CE099B"/>
    <w:rsid w:val="00CE6D54"/>
    <w:rsid w:val="00CE7692"/>
    <w:rsid w:val="00CF1C64"/>
    <w:rsid w:val="00CF1C8E"/>
    <w:rsid w:val="00CF67A5"/>
    <w:rsid w:val="00D05D9C"/>
    <w:rsid w:val="00D131E8"/>
    <w:rsid w:val="00D27CDC"/>
    <w:rsid w:val="00D345E0"/>
    <w:rsid w:val="00D368DE"/>
    <w:rsid w:val="00D41B9B"/>
    <w:rsid w:val="00D45CBD"/>
    <w:rsid w:val="00D47743"/>
    <w:rsid w:val="00D546D7"/>
    <w:rsid w:val="00D61532"/>
    <w:rsid w:val="00D62F72"/>
    <w:rsid w:val="00D85073"/>
    <w:rsid w:val="00D87B38"/>
    <w:rsid w:val="00D9292F"/>
    <w:rsid w:val="00D92CE8"/>
    <w:rsid w:val="00D94667"/>
    <w:rsid w:val="00DA22DC"/>
    <w:rsid w:val="00DA51C5"/>
    <w:rsid w:val="00DB48B9"/>
    <w:rsid w:val="00DB61BD"/>
    <w:rsid w:val="00DC036C"/>
    <w:rsid w:val="00DC4A39"/>
    <w:rsid w:val="00DC6157"/>
    <w:rsid w:val="00DD0D57"/>
    <w:rsid w:val="00DD2391"/>
    <w:rsid w:val="00DE11A4"/>
    <w:rsid w:val="00DE3410"/>
    <w:rsid w:val="00DF205F"/>
    <w:rsid w:val="00E0157D"/>
    <w:rsid w:val="00E27197"/>
    <w:rsid w:val="00E3368E"/>
    <w:rsid w:val="00E40667"/>
    <w:rsid w:val="00E44F2E"/>
    <w:rsid w:val="00E777B6"/>
    <w:rsid w:val="00E81E4D"/>
    <w:rsid w:val="00E94C10"/>
    <w:rsid w:val="00E94E1B"/>
    <w:rsid w:val="00E96F5E"/>
    <w:rsid w:val="00E97BA2"/>
    <w:rsid w:val="00EB6F1A"/>
    <w:rsid w:val="00EB7A92"/>
    <w:rsid w:val="00EC213C"/>
    <w:rsid w:val="00ED08EF"/>
    <w:rsid w:val="00ED2FB2"/>
    <w:rsid w:val="00EE2572"/>
    <w:rsid w:val="00EE2C38"/>
    <w:rsid w:val="00EE73EB"/>
    <w:rsid w:val="00EF076F"/>
    <w:rsid w:val="00EF6670"/>
    <w:rsid w:val="00F04713"/>
    <w:rsid w:val="00F0528B"/>
    <w:rsid w:val="00F05A59"/>
    <w:rsid w:val="00F10143"/>
    <w:rsid w:val="00F13135"/>
    <w:rsid w:val="00F30198"/>
    <w:rsid w:val="00F41E67"/>
    <w:rsid w:val="00F440FB"/>
    <w:rsid w:val="00F477E8"/>
    <w:rsid w:val="00F71D28"/>
    <w:rsid w:val="00F72280"/>
    <w:rsid w:val="00F815BC"/>
    <w:rsid w:val="00F94994"/>
    <w:rsid w:val="00F94EA1"/>
    <w:rsid w:val="00F979D9"/>
    <w:rsid w:val="00FA07A8"/>
    <w:rsid w:val="00FA2562"/>
    <w:rsid w:val="00FA75A5"/>
    <w:rsid w:val="00FB2850"/>
    <w:rsid w:val="00FB47F4"/>
    <w:rsid w:val="00FC2697"/>
    <w:rsid w:val="00FD49A9"/>
    <w:rsid w:val="00FF2FC5"/>
    <w:rsid w:val="00FF3459"/>
    <w:rsid w:val="00FF64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44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721D3"/>
    <w:pPr>
      <w:keepNext/>
      <w:tabs>
        <w:tab w:val="left" w:pos="432"/>
        <w:tab w:val="left" w:pos="864"/>
      </w:tabs>
      <w:spacing w:before="100" w:beforeAutospacing="1"/>
      <w:ind w:left="720"/>
      <w:jc w:val="center"/>
      <w:outlineLvl w:val="0"/>
    </w:pPr>
    <w:rPr>
      <w:b/>
    </w:rPr>
  </w:style>
  <w:style w:type="paragraph" w:styleId="Heading3">
    <w:name w:val="heading 3"/>
    <w:basedOn w:val="Normal"/>
    <w:next w:val="Normal"/>
    <w:link w:val="Heading3Char"/>
    <w:autoRedefine/>
    <w:uiPriority w:val="99"/>
    <w:qFormat/>
    <w:rsid w:val="00336948"/>
    <w:pPr>
      <w:keepNext/>
      <w:numPr>
        <w:numId w:val="13"/>
      </w:numPr>
      <w:spacing w:before="24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21D3"/>
    <w:rPr>
      <w:rFonts w:ascii="Times New Roman" w:eastAsia="Times New Roman" w:hAnsi="Times New Roman" w:cs="Times New Roman"/>
      <w:b/>
      <w:sz w:val="24"/>
      <w:szCs w:val="24"/>
      <w:lang w:val="en-GB"/>
    </w:rPr>
  </w:style>
  <w:style w:type="paragraph" w:styleId="ListParagraph">
    <w:name w:val="List Paragraph"/>
    <w:basedOn w:val="Normal"/>
    <w:uiPriority w:val="34"/>
    <w:qFormat/>
    <w:rsid w:val="00582A16"/>
    <w:pPr>
      <w:ind w:left="720"/>
      <w:contextualSpacing/>
    </w:pPr>
  </w:style>
  <w:style w:type="paragraph" w:styleId="BalloonText">
    <w:name w:val="Balloon Text"/>
    <w:basedOn w:val="Normal"/>
    <w:link w:val="BalloonTextChar"/>
    <w:uiPriority w:val="99"/>
    <w:semiHidden/>
    <w:unhideWhenUsed/>
    <w:rsid w:val="000E2FC7"/>
    <w:rPr>
      <w:rFonts w:ascii="Tahoma" w:hAnsi="Tahoma" w:cs="Tahoma"/>
      <w:sz w:val="16"/>
      <w:szCs w:val="16"/>
    </w:rPr>
  </w:style>
  <w:style w:type="character" w:customStyle="1" w:styleId="BalloonTextChar">
    <w:name w:val="Balloon Text Char"/>
    <w:basedOn w:val="DefaultParagraphFont"/>
    <w:link w:val="BalloonText"/>
    <w:uiPriority w:val="99"/>
    <w:semiHidden/>
    <w:rsid w:val="000E2FC7"/>
    <w:rPr>
      <w:rFonts w:ascii="Tahoma" w:eastAsia="Times New Roman" w:hAnsi="Tahoma" w:cs="Tahoma"/>
      <w:sz w:val="16"/>
      <w:szCs w:val="16"/>
      <w:lang w:val="en-GB"/>
    </w:rPr>
  </w:style>
  <w:style w:type="table" w:styleId="TableGrid">
    <w:name w:val="Table Grid"/>
    <w:basedOn w:val="TableNormal"/>
    <w:uiPriority w:val="59"/>
    <w:rsid w:val="00F44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24kjd">
    <w:name w:val="e24kjd"/>
    <w:rsid w:val="005048FE"/>
  </w:style>
  <w:style w:type="paragraph" w:styleId="Header">
    <w:name w:val="header"/>
    <w:basedOn w:val="Normal"/>
    <w:link w:val="HeaderChar"/>
    <w:uiPriority w:val="99"/>
    <w:unhideWhenUsed/>
    <w:rsid w:val="00252BC0"/>
    <w:pPr>
      <w:tabs>
        <w:tab w:val="center" w:pos="4680"/>
        <w:tab w:val="right" w:pos="9360"/>
      </w:tabs>
    </w:pPr>
  </w:style>
  <w:style w:type="character" w:customStyle="1" w:styleId="HeaderChar">
    <w:name w:val="Header Char"/>
    <w:basedOn w:val="DefaultParagraphFont"/>
    <w:link w:val="Header"/>
    <w:uiPriority w:val="99"/>
    <w:rsid w:val="00252BC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52BC0"/>
    <w:pPr>
      <w:tabs>
        <w:tab w:val="center" w:pos="4680"/>
        <w:tab w:val="right" w:pos="9360"/>
      </w:tabs>
    </w:pPr>
  </w:style>
  <w:style w:type="character" w:customStyle="1" w:styleId="FooterChar">
    <w:name w:val="Footer Char"/>
    <w:basedOn w:val="DefaultParagraphFont"/>
    <w:link w:val="Footer"/>
    <w:uiPriority w:val="99"/>
    <w:rsid w:val="00252BC0"/>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E0157D"/>
    <w:pPr>
      <w:spacing w:before="100" w:beforeAutospacing="1" w:after="100" w:afterAutospacing="1"/>
    </w:pPr>
    <w:rPr>
      <w:lang w:val="en-ZA" w:eastAsia="en-ZA"/>
    </w:rPr>
  </w:style>
  <w:style w:type="character" w:customStyle="1" w:styleId="Heading3Char">
    <w:name w:val="Heading 3 Char"/>
    <w:basedOn w:val="DefaultParagraphFont"/>
    <w:link w:val="Heading3"/>
    <w:uiPriority w:val="99"/>
    <w:rsid w:val="00336948"/>
    <w:rPr>
      <w:rFonts w:ascii="Arial" w:eastAsia="Times New Roman" w:hAnsi="Arial" w:cs="Arial"/>
      <w:b/>
      <w:bCs/>
      <w:sz w:val="24"/>
      <w:szCs w:val="26"/>
      <w:lang w:val="en-GB"/>
    </w:rPr>
  </w:style>
</w:styles>
</file>

<file path=word/webSettings.xml><?xml version="1.0" encoding="utf-8"?>
<w:webSettings xmlns:r="http://schemas.openxmlformats.org/officeDocument/2006/relationships" xmlns:w="http://schemas.openxmlformats.org/wordprocessingml/2006/main">
  <w:divs>
    <w:div w:id="140315485">
      <w:bodyDiv w:val="1"/>
      <w:marLeft w:val="0"/>
      <w:marRight w:val="0"/>
      <w:marTop w:val="0"/>
      <w:marBottom w:val="0"/>
      <w:divBdr>
        <w:top w:val="none" w:sz="0" w:space="0" w:color="auto"/>
        <w:left w:val="none" w:sz="0" w:space="0" w:color="auto"/>
        <w:bottom w:val="none" w:sz="0" w:space="0" w:color="auto"/>
        <w:right w:val="none" w:sz="0" w:space="0" w:color="auto"/>
      </w:divBdr>
    </w:div>
    <w:div w:id="167134103">
      <w:bodyDiv w:val="1"/>
      <w:marLeft w:val="0"/>
      <w:marRight w:val="0"/>
      <w:marTop w:val="0"/>
      <w:marBottom w:val="0"/>
      <w:divBdr>
        <w:top w:val="none" w:sz="0" w:space="0" w:color="auto"/>
        <w:left w:val="none" w:sz="0" w:space="0" w:color="auto"/>
        <w:bottom w:val="none" w:sz="0" w:space="0" w:color="auto"/>
        <w:right w:val="none" w:sz="0" w:space="0" w:color="auto"/>
      </w:divBdr>
    </w:div>
    <w:div w:id="189339080">
      <w:bodyDiv w:val="1"/>
      <w:marLeft w:val="0"/>
      <w:marRight w:val="0"/>
      <w:marTop w:val="0"/>
      <w:marBottom w:val="0"/>
      <w:divBdr>
        <w:top w:val="none" w:sz="0" w:space="0" w:color="auto"/>
        <w:left w:val="none" w:sz="0" w:space="0" w:color="auto"/>
        <w:bottom w:val="none" w:sz="0" w:space="0" w:color="auto"/>
        <w:right w:val="none" w:sz="0" w:space="0" w:color="auto"/>
      </w:divBdr>
    </w:div>
    <w:div w:id="434253490">
      <w:bodyDiv w:val="1"/>
      <w:marLeft w:val="0"/>
      <w:marRight w:val="0"/>
      <w:marTop w:val="0"/>
      <w:marBottom w:val="0"/>
      <w:divBdr>
        <w:top w:val="none" w:sz="0" w:space="0" w:color="auto"/>
        <w:left w:val="none" w:sz="0" w:space="0" w:color="auto"/>
        <w:bottom w:val="none" w:sz="0" w:space="0" w:color="auto"/>
        <w:right w:val="none" w:sz="0" w:space="0" w:color="auto"/>
      </w:divBdr>
    </w:div>
    <w:div w:id="448210440">
      <w:bodyDiv w:val="1"/>
      <w:marLeft w:val="0"/>
      <w:marRight w:val="0"/>
      <w:marTop w:val="0"/>
      <w:marBottom w:val="0"/>
      <w:divBdr>
        <w:top w:val="none" w:sz="0" w:space="0" w:color="auto"/>
        <w:left w:val="none" w:sz="0" w:space="0" w:color="auto"/>
        <w:bottom w:val="none" w:sz="0" w:space="0" w:color="auto"/>
        <w:right w:val="none" w:sz="0" w:space="0" w:color="auto"/>
      </w:divBdr>
    </w:div>
    <w:div w:id="500320913">
      <w:bodyDiv w:val="1"/>
      <w:marLeft w:val="0"/>
      <w:marRight w:val="0"/>
      <w:marTop w:val="0"/>
      <w:marBottom w:val="0"/>
      <w:divBdr>
        <w:top w:val="none" w:sz="0" w:space="0" w:color="auto"/>
        <w:left w:val="none" w:sz="0" w:space="0" w:color="auto"/>
        <w:bottom w:val="none" w:sz="0" w:space="0" w:color="auto"/>
        <w:right w:val="none" w:sz="0" w:space="0" w:color="auto"/>
      </w:divBdr>
    </w:div>
    <w:div w:id="543638038">
      <w:bodyDiv w:val="1"/>
      <w:marLeft w:val="0"/>
      <w:marRight w:val="0"/>
      <w:marTop w:val="0"/>
      <w:marBottom w:val="0"/>
      <w:divBdr>
        <w:top w:val="none" w:sz="0" w:space="0" w:color="auto"/>
        <w:left w:val="none" w:sz="0" w:space="0" w:color="auto"/>
        <w:bottom w:val="none" w:sz="0" w:space="0" w:color="auto"/>
        <w:right w:val="none" w:sz="0" w:space="0" w:color="auto"/>
      </w:divBdr>
    </w:div>
    <w:div w:id="560991589">
      <w:bodyDiv w:val="1"/>
      <w:marLeft w:val="60"/>
      <w:marRight w:val="60"/>
      <w:marTop w:val="60"/>
      <w:marBottom w:val="15"/>
      <w:divBdr>
        <w:top w:val="none" w:sz="0" w:space="0" w:color="auto"/>
        <w:left w:val="none" w:sz="0" w:space="0" w:color="auto"/>
        <w:bottom w:val="none" w:sz="0" w:space="0" w:color="auto"/>
        <w:right w:val="none" w:sz="0" w:space="0" w:color="auto"/>
      </w:divBdr>
      <w:divsChild>
        <w:div w:id="8873675">
          <w:marLeft w:val="0"/>
          <w:marRight w:val="0"/>
          <w:marTop w:val="0"/>
          <w:marBottom w:val="0"/>
          <w:divBdr>
            <w:top w:val="none" w:sz="0" w:space="0" w:color="auto"/>
            <w:left w:val="none" w:sz="0" w:space="0" w:color="auto"/>
            <w:bottom w:val="none" w:sz="0" w:space="0" w:color="auto"/>
            <w:right w:val="none" w:sz="0" w:space="0" w:color="auto"/>
          </w:divBdr>
        </w:div>
      </w:divsChild>
    </w:div>
    <w:div w:id="600648841">
      <w:bodyDiv w:val="1"/>
      <w:marLeft w:val="0"/>
      <w:marRight w:val="0"/>
      <w:marTop w:val="0"/>
      <w:marBottom w:val="0"/>
      <w:divBdr>
        <w:top w:val="none" w:sz="0" w:space="0" w:color="auto"/>
        <w:left w:val="none" w:sz="0" w:space="0" w:color="auto"/>
        <w:bottom w:val="none" w:sz="0" w:space="0" w:color="auto"/>
        <w:right w:val="none" w:sz="0" w:space="0" w:color="auto"/>
      </w:divBdr>
    </w:div>
    <w:div w:id="673722724">
      <w:bodyDiv w:val="1"/>
      <w:marLeft w:val="0"/>
      <w:marRight w:val="0"/>
      <w:marTop w:val="0"/>
      <w:marBottom w:val="0"/>
      <w:divBdr>
        <w:top w:val="none" w:sz="0" w:space="0" w:color="auto"/>
        <w:left w:val="none" w:sz="0" w:space="0" w:color="auto"/>
        <w:bottom w:val="none" w:sz="0" w:space="0" w:color="auto"/>
        <w:right w:val="none" w:sz="0" w:space="0" w:color="auto"/>
      </w:divBdr>
    </w:div>
    <w:div w:id="785004638">
      <w:bodyDiv w:val="1"/>
      <w:marLeft w:val="60"/>
      <w:marRight w:val="60"/>
      <w:marTop w:val="60"/>
      <w:marBottom w:val="15"/>
      <w:divBdr>
        <w:top w:val="none" w:sz="0" w:space="0" w:color="auto"/>
        <w:left w:val="none" w:sz="0" w:space="0" w:color="auto"/>
        <w:bottom w:val="none" w:sz="0" w:space="0" w:color="auto"/>
        <w:right w:val="none" w:sz="0" w:space="0" w:color="auto"/>
      </w:divBdr>
      <w:divsChild>
        <w:div w:id="214777942">
          <w:marLeft w:val="0"/>
          <w:marRight w:val="0"/>
          <w:marTop w:val="0"/>
          <w:marBottom w:val="0"/>
          <w:divBdr>
            <w:top w:val="none" w:sz="0" w:space="0" w:color="auto"/>
            <w:left w:val="none" w:sz="0" w:space="0" w:color="auto"/>
            <w:bottom w:val="none" w:sz="0" w:space="0" w:color="auto"/>
            <w:right w:val="none" w:sz="0" w:space="0" w:color="auto"/>
          </w:divBdr>
        </w:div>
        <w:div w:id="1054044366">
          <w:marLeft w:val="0"/>
          <w:marRight w:val="0"/>
          <w:marTop w:val="0"/>
          <w:marBottom w:val="0"/>
          <w:divBdr>
            <w:top w:val="none" w:sz="0" w:space="0" w:color="auto"/>
            <w:left w:val="none" w:sz="0" w:space="0" w:color="auto"/>
            <w:bottom w:val="none" w:sz="0" w:space="0" w:color="auto"/>
            <w:right w:val="none" w:sz="0" w:space="0" w:color="auto"/>
          </w:divBdr>
        </w:div>
        <w:div w:id="811095383">
          <w:marLeft w:val="0"/>
          <w:marRight w:val="0"/>
          <w:marTop w:val="0"/>
          <w:marBottom w:val="0"/>
          <w:divBdr>
            <w:top w:val="none" w:sz="0" w:space="0" w:color="auto"/>
            <w:left w:val="none" w:sz="0" w:space="0" w:color="auto"/>
            <w:bottom w:val="none" w:sz="0" w:space="0" w:color="auto"/>
            <w:right w:val="none" w:sz="0" w:space="0" w:color="auto"/>
          </w:divBdr>
        </w:div>
        <w:div w:id="486629310">
          <w:marLeft w:val="0"/>
          <w:marRight w:val="0"/>
          <w:marTop w:val="0"/>
          <w:marBottom w:val="0"/>
          <w:divBdr>
            <w:top w:val="none" w:sz="0" w:space="0" w:color="auto"/>
            <w:left w:val="none" w:sz="0" w:space="0" w:color="auto"/>
            <w:bottom w:val="none" w:sz="0" w:space="0" w:color="auto"/>
            <w:right w:val="none" w:sz="0" w:space="0" w:color="auto"/>
          </w:divBdr>
        </w:div>
        <w:div w:id="229002103">
          <w:marLeft w:val="0"/>
          <w:marRight w:val="0"/>
          <w:marTop w:val="0"/>
          <w:marBottom w:val="0"/>
          <w:divBdr>
            <w:top w:val="none" w:sz="0" w:space="0" w:color="auto"/>
            <w:left w:val="none" w:sz="0" w:space="0" w:color="auto"/>
            <w:bottom w:val="none" w:sz="0" w:space="0" w:color="auto"/>
            <w:right w:val="none" w:sz="0" w:space="0" w:color="auto"/>
          </w:divBdr>
        </w:div>
        <w:div w:id="1130976093">
          <w:marLeft w:val="0"/>
          <w:marRight w:val="0"/>
          <w:marTop w:val="0"/>
          <w:marBottom w:val="0"/>
          <w:divBdr>
            <w:top w:val="none" w:sz="0" w:space="0" w:color="auto"/>
            <w:left w:val="none" w:sz="0" w:space="0" w:color="auto"/>
            <w:bottom w:val="none" w:sz="0" w:space="0" w:color="auto"/>
            <w:right w:val="none" w:sz="0" w:space="0" w:color="auto"/>
          </w:divBdr>
        </w:div>
        <w:div w:id="682786029">
          <w:marLeft w:val="0"/>
          <w:marRight w:val="0"/>
          <w:marTop w:val="0"/>
          <w:marBottom w:val="0"/>
          <w:divBdr>
            <w:top w:val="none" w:sz="0" w:space="0" w:color="auto"/>
            <w:left w:val="none" w:sz="0" w:space="0" w:color="auto"/>
            <w:bottom w:val="none" w:sz="0" w:space="0" w:color="auto"/>
            <w:right w:val="none" w:sz="0" w:space="0" w:color="auto"/>
          </w:divBdr>
        </w:div>
        <w:div w:id="745030975">
          <w:marLeft w:val="0"/>
          <w:marRight w:val="0"/>
          <w:marTop w:val="0"/>
          <w:marBottom w:val="0"/>
          <w:divBdr>
            <w:top w:val="none" w:sz="0" w:space="0" w:color="auto"/>
            <w:left w:val="none" w:sz="0" w:space="0" w:color="auto"/>
            <w:bottom w:val="none" w:sz="0" w:space="0" w:color="auto"/>
            <w:right w:val="none" w:sz="0" w:space="0" w:color="auto"/>
          </w:divBdr>
        </w:div>
        <w:div w:id="562059087">
          <w:marLeft w:val="0"/>
          <w:marRight w:val="0"/>
          <w:marTop w:val="0"/>
          <w:marBottom w:val="0"/>
          <w:divBdr>
            <w:top w:val="none" w:sz="0" w:space="0" w:color="auto"/>
            <w:left w:val="none" w:sz="0" w:space="0" w:color="auto"/>
            <w:bottom w:val="none" w:sz="0" w:space="0" w:color="auto"/>
            <w:right w:val="none" w:sz="0" w:space="0" w:color="auto"/>
          </w:divBdr>
        </w:div>
        <w:div w:id="227688660">
          <w:marLeft w:val="0"/>
          <w:marRight w:val="0"/>
          <w:marTop w:val="0"/>
          <w:marBottom w:val="0"/>
          <w:divBdr>
            <w:top w:val="none" w:sz="0" w:space="0" w:color="auto"/>
            <w:left w:val="none" w:sz="0" w:space="0" w:color="auto"/>
            <w:bottom w:val="none" w:sz="0" w:space="0" w:color="auto"/>
            <w:right w:val="none" w:sz="0" w:space="0" w:color="auto"/>
          </w:divBdr>
        </w:div>
        <w:div w:id="860169364">
          <w:marLeft w:val="0"/>
          <w:marRight w:val="0"/>
          <w:marTop w:val="0"/>
          <w:marBottom w:val="0"/>
          <w:divBdr>
            <w:top w:val="none" w:sz="0" w:space="0" w:color="auto"/>
            <w:left w:val="none" w:sz="0" w:space="0" w:color="auto"/>
            <w:bottom w:val="none" w:sz="0" w:space="0" w:color="auto"/>
            <w:right w:val="none" w:sz="0" w:space="0" w:color="auto"/>
          </w:divBdr>
        </w:div>
        <w:div w:id="1099987214">
          <w:marLeft w:val="0"/>
          <w:marRight w:val="0"/>
          <w:marTop w:val="0"/>
          <w:marBottom w:val="0"/>
          <w:divBdr>
            <w:top w:val="none" w:sz="0" w:space="0" w:color="auto"/>
            <w:left w:val="none" w:sz="0" w:space="0" w:color="auto"/>
            <w:bottom w:val="none" w:sz="0" w:space="0" w:color="auto"/>
            <w:right w:val="none" w:sz="0" w:space="0" w:color="auto"/>
          </w:divBdr>
        </w:div>
        <w:div w:id="848788471">
          <w:marLeft w:val="0"/>
          <w:marRight w:val="0"/>
          <w:marTop w:val="0"/>
          <w:marBottom w:val="0"/>
          <w:divBdr>
            <w:top w:val="none" w:sz="0" w:space="0" w:color="auto"/>
            <w:left w:val="none" w:sz="0" w:space="0" w:color="auto"/>
            <w:bottom w:val="none" w:sz="0" w:space="0" w:color="auto"/>
            <w:right w:val="none" w:sz="0" w:space="0" w:color="auto"/>
          </w:divBdr>
        </w:div>
        <w:div w:id="1843740089">
          <w:marLeft w:val="0"/>
          <w:marRight w:val="0"/>
          <w:marTop w:val="0"/>
          <w:marBottom w:val="0"/>
          <w:divBdr>
            <w:top w:val="none" w:sz="0" w:space="0" w:color="auto"/>
            <w:left w:val="none" w:sz="0" w:space="0" w:color="auto"/>
            <w:bottom w:val="none" w:sz="0" w:space="0" w:color="auto"/>
            <w:right w:val="none" w:sz="0" w:space="0" w:color="auto"/>
          </w:divBdr>
        </w:div>
        <w:div w:id="140539663">
          <w:marLeft w:val="0"/>
          <w:marRight w:val="0"/>
          <w:marTop w:val="0"/>
          <w:marBottom w:val="0"/>
          <w:divBdr>
            <w:top w:val="none" w:sz="0" w:space="0" w:color="auto"/>
            <w:left w:val="none" w:sz="0" w:space="0" w:color="auto"/>
            <w:bottom w:val="none" w:sz="0" w:space="0" w:color="auto"/>
            <w:right w:val="none" w:sz="0" w:space="0" w:color="auto"/>
          </w:divBdr>
        </w:div>
      </w:divsChild>
    </w:div>
    <w:div w:id="792751083">
      <w:bodyDiv w:val="1"/>
      <w:marLeft w:val="0"/>
      <w:marRight w:val="0"/>
      <w:marTop w:val="0"/>
      <w:marBottom w:val="0"/>
      <w:divBdr>
        <w:top w:val="none" w:sz="0" w:space="0" w:color="auto"/>
        <w:left w:val="none" w:sz="0" w:space="0" w:color="auto"/>
        <w:bottom w:val="none" w:sz="0" w:space="0" w:color="auto"/>
        <w:right w:val="none" w:sz="0" w:space="0" w:color="auto"/>
      </w:divBdr>
    </w:div>
    <w:div w:id="1272977667">
      <w:bodyDiv w:val="1"/>
      <w:marLeft w:val="0"/>
      <w:marRight w:val="0"/>
      <w:marTop w:val="0"/>
      <w:marBottom w:val="0"/>
      <w:divBdr>
        <w:top w:val="none" w:sz="0" w:space="0" w:color="auto"/>
        <w:left w:val="none" w:sz="0" w:space="0" w:color="auto"/>
        <w:bottom w:val="none" w:sz="0" w:space="0" w:color="auto"/>
        <w:right w:val="none" w:sz="0" w:space="0" w:color="auto"/>
      </w:divBdr>
    </w:div>
    <w:div w:id="1294865409">
      <w:bodyDiv w:val="1"/>
      <w:marLeft w:val="0"/>
      <w:marRight w:val="0"/>
      <w:marTop w:val="0"/>
      <w:marBottom w:val="0"/>
      <w:divBdr>
        <w:top w:val="none" w:sz="0" w:space="0" w:color="auto"/>
        <w:left w:val="none" w:sz="0" w:space="0" w:color="auto"/>
        <w:bottom w:val="none" w:sz="0" w:space="0" w:color="auto"/>
        <w:right w:val="none" w:sz="0" w:space="0" w:color="auto"/>
      </w:divBdr>
    </w:div>
    <w:div w:id="1410422726">
      <w:bodyDiv w:val="1"/>
      <w:marLeft w:val="0"/>
      <w:marRight w:val="0"/>
      <w:marTop w:val="0"/>
      <w:marBottom w:val="0"/>
      <w:divBdr>
        <w:top w:val="none" w:sz="0" w:space="0" w:color="auto"/>
        <w:left w:val="none" w:sz="0" w:space="0" w:color="auto"/>
        <w:bottom w:val="none" w:sz="0" w:space="0" w:color="auto"/>
        <w:right w:val="none" w:sz="0" w:space="0" w:color="auto"/>
      </w:divBdr>
    </w:div>
    <w:div w:id="1411195350">
      <w:bodyDiv w:val="1"/>
      <w:marLeft w:val="0"/>
      <w:marRight w:val="0"/>
      <w:marTop w:val="0"/>
      <w:marBottom w:val="0"/>
      <w:divBdr>
        <w:top w:val="none" w:sz="0" w:space="0" w:color="auto"/>
        <w:left w:val="none" w:sz="0" w:space="0" w:color="auto"/>
        <w:bottom w:val="none" w:sz="0" w:space="0" w:color="auto"/>
        <w:right w:val="none" w:sz="0" w:space="0" w:color="auto"/>
      </w:divBdr>
    </w:div>
    <w:div w:id="1451171775">
      <w:bodyDiv w:val="1"/>
      <w:marLeft w:val="60"/>
      <w:marRight w:val="60"/>
      <w:marTop w:val="60"/>
      <w:marBottom w:val="15"/>
      <w:divBdr>
        <w:top w:val="none" w:sz="0" w:space="0" w:color="auto"/>
        <w:left w:val="none" w:sz="0" w:space="0" w:color="auto"/>
        <w:bottom w:val="none" w:sz="0" w:space="0" w:color="auto"/>
        <w:right w:val="none" w:sz="0" w:space="0" w:color="auto"/>
      </w:divBdr>
    </w:div>
    <w:div w:id="1644698959">
      <w:bodyDiv w:val="1"/>
      <w:marLeft w:val="0"/>
      <w:marRight w:val="0"/>
      <w:marTop w:val="0"/>
      <w:marBottom w:val="0"/>
      <w:divBdr>
        <w:top w:val="none" w:sz="0" w:space="0" w:color="auto"/>
        <w:left w:val="none" w:sz="0" w:space="0" w:color="auto"/>
        <w:bottom w:val="none" w:sz="0" w:space="0" w:color="auto"/>
        <w:right w:val="none" w:sz="0" w:space="0" w:color="auto"/>
      </w:divBdr>
    </w:div>
    <w:div w:id="1664622084">
      <w:bodyDiv w:val="1"/>
      <w:marLeft w:val="0"/>
      <w:marRight w:val="0"/>
      <w:marTop w:val="0"/>
      <w:marBottom w:val="0"/>
      <w:divBdr>
        <w:top w:val="none" w:sz="0" w:space="0" w:color="auto"/>
        <w:left w:val="none" w:sz="0" w:space="0" w:color="auto"/>
        <w:bottom w:val="none" w:sz="0" w:space="0" w:color="auto"/>
        <w:right w:val="none" w:sz="0" w:space="0" w:color="auto"/>
      </w:divBdr>
    </w:div>
    <w:div w:id="1725831934">
      <w:bodyDiv w:val="1"/>
      <w:marLeft w:val="0"/>
      <w:marRight w:val="0"/>
      <w:marTop w:val="0"/>
      <w:marBottom w:val="0"/>
      <w:divBdr>
        <w:top w:val="none" w:sz="0" w:space="0" w:color="auto"/>
        <w:left w:val="none" w:sz="0" w:space="0" w:color="auto"/>
        <w:bottom w:val="none" w:sz="0" w:space="0" w:color="auto"/>
        <w:right w:val="none" w:sz="0" w:space="0" w:color="auto"/>
      </w:divBdr>
    </w:div>
    <w:div w:id="1954365553">
      <w:bodyDiv w:val="1"/>
      <w:marLeft w:val="60"/>
      <w:marRight w:val="60"/>
      <w:marTop w:val="60"/>
      <w:marBottom w:val="15"/>
      <w:divBdr>
        <w:top w:val="none" w:sz="0" w:space="0" w:color="auto"/>
        <w:left w:val="none" w:sz="0" w:space="0" w:color="auto"/>
        <w:bottom w:val="none" w:sz="0" w:space="0" w:color="auto"/>
        <w:right w:val="none" w:sz="0" w:space="0" w:color="auto"/>
      </w:divBdr>
    </w:div>
    <w:div w:id="2013989253">
      <w:bodyDiv w:val="1"/>
      <w:marLeft w:val="60"/>
      <w:marRight w:val="60"/>
      <w:marTop w:val="60"/>
      <w:marBottom w:val="15"/>
      <w:divBdr>
        <w:top w:val="none" w:sz="0" w:space="0" w:color="auto"/>
        <w:left w:val="none" w:sz="0" w:space="0" w:color="auto"/>
        <w:bottom w:val="none" w:sz="0" w:space="0" w:color="auto"/>
        <w:right w:val="none" w:sz="0" w:space="0" w:color="auto"/>
      </w:divBdr>
    </w:div>
    <w:div w:id="2042709191">
      <w:bodyDiv w:val="1"/>
      <w:marLeft w:val="0"/>
      <w:marRight w:val="0"/>
      <w:marTop w:val="0"/>
      <w:marBottom w:val="0"/>
      <w:divBdr>
        <w:top w:val="none" w:sz="0" w:space="0" w:color="auto"/>
        <w:left w:val="none" w:sz="0" w:space="0" w:color="auto"/>
        <w:bottom w:val="none" w:sz="0" w:space="0" w:color="auto"/>
        <w:right w:val="none" w:sz="0" w:space="0" w:color="auto"/>
      </w:divBdr>
    </w:div>
    <w:div w:id="2086486029">
      <w:bodyDiv w:val="1"/>
      <w:marLeft w:val="60"/>
      <w:marRight w:val="60"/>
      <w:marTop w:val="60"/>
      <w:marBottom w:val="15"/>
      <w:divBdr>
        <w:top w:val="none" w:sz="0" w:space="0" w:color="auto"/>
        <w:left w:val="none" w:sz="0" w:space="0" w:color="auto"/>
        <w:bottom w:val="none" w:sz="0" w:space="0" w:color="auto"/>
        <w:right w:val="none" w:sz="0" w:space="0" w:color="auto"/>
      </w:divBdr>
    </w:div>
    <w:div w:id="211874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8A977-7E74-440A-9B03-0D4AD3E55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Wandi</dc:creator>
  <cp:lastModifiedBy>USER</cp:lastModifiedBy>
  <cp:revision>2</cp:revision>
  <cp:lastPrinted>2023-05-26T14:45:00Z</cp:lastPrinted>
  <dcterms:created xsi:type="dcterms:W3CDTF">2023-06-30T11:15:00Z</dcterms:created>
  <dcterms:modified xsi:type="dcterms:W3CDTF">2023-06-30T11:15:00Z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02f7bbc292ba3e24b282cc1e71ecf65d8a31cd4e03e57c582aaf9d4b94b43aed</vt:lpwstr>
  </property>
</Properties>
</file>