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0DB3"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1F825190"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657FCA5E" w14:textId="77777777" w:rsidR="00AD00CE" w:rsidRPr="000677B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677BA" w:rsidRPr="000677BA">
        <w:rPr>
          <w:rFonts w:ascii="Arial" w:hAnsi="Arial" w:cs="Arial"/>
          <w:b/>
          <w:sz w:val="22"/>
          <w:szCs w:val="22"/>
        </w:rPr>
        <w:t>169</w:t>
      </w:r>
      <w:r w:rsidR="000A376C">
        <w:rPr>
          <w:rFonts w:ascii="Arial" w:hAnsi="Arial" w:cs="Arial"/>
          <w:b/>
          <w:sz w:val="22"/>
          <w:szCs w:val="22"/>
        </w:rPr>
        <w:t>9</w:t>
      </w:r>
      <w:r w:rsidR="00AD00CE" w:rsidRPr="000677BA">
        <w:rPr>
          <w:rFonts w:ascii="Arial" w:hAnsi="Arial" w:cs="Arial"/>
          <w:b/>
          <w:sz w:val="22"/>
          <w:szCs w:val="22"/>
        </w:rPr>
        <w:t xml:space="preserve"> [NW</w:t>
      </w:r>
      <w:r w:rsidR="000677BA" w:rsidRPr="000677BA">
        <w:rPr>
          <w:rFonts w:ascii="Arial" w:hAnsi="Arial" w:cs="Arial"/>
          <w:b/>
          <w:sz w:val="22"/>
          <w:szCs w:val="22"/>
        </w:rPr>
        <w:t>194</w:t>
      </w:r>
      <w:r w:rsidR="000A376C">
        <w:rPr>
          <w:rFonts w:ascii="Arial" w:hAnsi="Arial" w:cs="Arial"/>
          <w:b/>
          <w:sz w:val="22"/>
          <w:szCs w:val="22"/>
        </w:rPr>
        <w:t>5</w:t>
      </w:r>
      <w:r w:rsidR="00AD00CE" w:rsidRPr="000677BA">
        <w:rPr>
          <w:rFonts w:ascii="Arial" w:hAnsi="Arial" w:cs="Arial"/>
          <w:b/>
          <w:sz w:val="22"/>
          <w:szCs w:val="22"/>
        </w:rPr>
        <w:t>E]</w:t>
      </w:r>
    </w:p>
    <w:p w14:paraId="728355CE" w14:textId="77777777" w:rsidR="00C312EA" w:rsidRPr="000677BA" w:rsidRDefault="00BD31C6" w:rsidP="001B0917">
      <w:pPr>
        <w:tabs>
          <w:tab w:val="left" w:pos="432"/>
          <w:tab w:val="left" w:pos="864"/>
        </w:tabs>
        <w:spacing w:line="276" w:lineRule="auto"/>
        <w:jc w:val="center"/>
        <w:rPr>
          <w:rFonts w:ascii="Arial" w:hAnsi="Arial" w:cs="Arial"/>
          <w:b/>
          <w:sz w:val="22"/>
          <w:szCs w:val="22"/>
        </w:rPr>
      </w:pPr>
      <w:r w:rsidRPr="000677BA">
        <w:rPr>
          <w:rFonts w:ascii="Arial" w:hAnsi="Arial" w:cs="Arial"/>
          <w:b/>
          <w:sz w:val="22"/>
          <w:szCs w:val="22"/>
        </w:rPr>
        <w:t xml:space="preserve">DATE OF PUBLICATION: </w:t>
      </w:r>
      <w:r w:rsidR="000677BA" w:rsidRPr="000677BA">
        <w:rPr>
          <w:rFonts w:ascii="Arial" w:hAnsi="Arial" w:cs="Arial"/>
          <w:b/>
          <w:sz w:val="22"/>
          <w:szCs w:val="22"/>
        </w:rPr>
        <w:t>26 AUGUST 2016</w:t>
      </w:r>
    </w:p>
    <w:p w14:paraId="337FC1FD" w14:textId="77777777" w:rsidR="000A376C" w:rsidRPr="000A376C" w:rsidRDefault="000A376C" w:rsidP="000A376C">
      <w:pPr>
        <w:spacing w:before="100" w:beforeAutospacing="1" w:after="100" w:afterAutospacing="1" w:line="276" w:lineRule="auto"/>
        <w:ind w:left="851" w:hanging="851"/>
        <w:jc w:val="both"/>
        <w:outlineLvl w:val="0"/>
        <w:rPr>
          <w:rFonts w:ascii="Arial" w:hAnsi="Arial" w:cs="Arial"/>
          <w:b/>
          <w:sz w:val="22"/>
          <w:szCs w:val="22"/>
        </w:rPr>
      </w:pPr>
      <w:r w:rsidRPr="000A376C">
        <w:rPr>
          <w:rFonts w:ascii="Arial" w:hAnsi="Arial" w:cs="Arial"/>
          <w:b/>
          <w:sz w:val="22"/>
          <w:szCs w:val="22"/>
        </w:rPr>
        <w:t>1699.</w:t>
      </w:r>
      <w:r w:rsidRPr="000A376C">
        <w:rPr>
          <w:rFonts w:ascii="Arial" w:hAnsi="Arial" w:cs="Arial"/>
          <w:b/>
          <w:sz w:val="22"/>
          <w:szCs w:val="22"/>
        </w:rPr>
        <w:tab/>
      </w:r>
      <w:proofErr w:type="spellStart"/>
      <w:r w:rsidRPr="000A376C">
        <w:rPr>
          <w:rFonts w:ascii="Arial" w:hAnsi="Arial" w:cs="Arial"/>
          <w:b/>
          <w:sz w:val="22"/>
          <w:szCs w:val="22"/>
        </w:rPr>
        <w:t>Mr</w:t>
      </w:r>
      <w:proofErr w:type="spellEnd"/>
      <w:r w:rsidRPr="000A376C">
        <w:rPr>
          <w:rFonts w:ascii="Arial" w:hAnsi="Arial" w:cs="Arial"/>
          <w:b/>
          <w:sz w:val="22"/>
          <w:szCs w:val="22"/>
        </w:rPr>
        <w:t xml:space="preserve"> D J </w:t>
      </w:r>
      <w:proofErr w:type="spellStart"/>
      <w:r w:rsidRPr="000A376C">
        <w:rPr>
          <w:rFonts w:ascii="Arial" w:hAnsi="Arial" w:cs="Arial"/>
          <w:b/>
          <w:sz w:val="22"/>
          <w:szCs w:val="22"/>
        </w:rPr>
        <w:t>Maynier</w:t>
      </w:r>
      <w:proofErr w:type="spellEnd"/>
      <w:r w:rsidRPr="000A376C">
        <w:rPr>
          <w:rFonts w:ascii="Arial" w:hAnsi="Arial" w:cs="Arial"/>
          <w:b/>
          <w:sz w:val="22"/>
          <w:szCs w:val="22"/>
        </w:rPr>
        <w:t xml:space="preserve"> (DA) to ask the Minister of Finance:</w:t>
      </w:r>
    </w:p>
    <w:p w14:paraId="4741CE04" w14:textId="77777777" w:rsidR="000A376C" w:rsidRPr="000A376C" w:rsidRDefault="000A376C" w:rsidP="000A376C">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0A376C">
        <w:rPr>
          <w:rFonts w:ascii="Arial" w:eastAsia="Calibri" w:hAnsi="Arial" w:cs="Arial"/>
          <w:sz w:val="22"/>
          <w:szCs w:val="22"/>
          <w:lang w:val="en-ZA"/>
        </w:rPr>
        <w:t>(1)</w:t>
      </w:r>
      <w:r w:rsidRPr="000A376C">
        <w:rPr>
          <w:rFonts w:ascii="Arial" w:eastAsia="Calibri" w:hAnsi="Arial" w:cs="Arial"/>
          <w:sz w:val="22"/>
          <w:szCs w:val="22"/>
          <w:lang w:val="en-ZA"/>
        </w:rPr>
        <w:tab/>
      </w:r>
      <w:r w:rsidRPr="000A376C">
        <w:rPr>
          <w:rFonts w:ascii="Arial" w:eastAsia="Calibri" w:hAnsi="Arial" w:cs="Arial"/>
          <w:color w:val="000000"/>
          <w:sz w:val="22"/>
          <w:szCs w:val="22"/>
          <w:lang w:val="en-ZA"/>
        </w:rPr>
        <w:t xml:space="preserve">Whether the SA Reserve Bank provided persons mentioned in the final report of the investigation conducted by Advocate John </w:t>
      </w:r>
      <w:proofErr w:type="spellStart"/>
      <w:r w:rsidRPr="000A376C">
        <w:rPr>
          <w:rFonts w:ascii="Arial" w:eastAsia="Calibri" w:hAnsi="Arial" w:cs="Arial"/>
          <w:color w:val="000000"/>
          <w:sz w:val="22"/>
          <w:szCs w:val="22"/>
          <w:lang w:val="en-ZA"/>
        </w:rPr>
        <w:t>Myburgh</w:t>
      </w:r>
      <w:proofErr w:type="spellEnd"/>
      <w:r w:rsidRPr="000A376C">
        <w:rPr>
          <w:rFonts w:ascii="Arial" w:eastAsia="Calibri" w:hAnsi="Arial" w:cs="Arial"/>
          <w:color w:val="000000"/>
          <w:sz w:val="22"/>
          <w:szCs w:val="22"/>
          <w:lang w:val="en-ZA"/>
        </w:rPr>
        <w:t xml:space="preserve"> into the collapse of African Bank, entitled </w:t>
      </w:r>
      <w:r w:rsidRPr="000A376C">
        <w:rPr>
          <w:rFonts w:ascii="Arial" w:eastAsia="Calibri" w:hAnsi="Arial" w:cs="Arial"/>
          <w:i/>
          <w:iCs/>
          <w:color w:val="000000"/>
          <w:sz w:val="22"/>
          <w:szCs w:val="22"/>
          <w:lang w:val="en-ZA"/>
        </w:rPr>
        <w:t xml:space="preserve">African Bank Limited: Investigation in terms of s69A of the </w:t>
      </w:r>
      <w:r w:rsidRPr="000A376C">
        <w:rPr>
          <w:rFonts w:ascii="Arial" w:eastAsia="Calibri" w:hAnsi="Arial" w:cs="Arial"/>
          <w:i/>
          <w:color w:val="000000"/>
          <w:sz w:val="22"/>
          <w:szCs w:val="22"/>
          <w:lang w:val="en-ZA"/>
        </w:rPr>
        <w:t>Banks</w:t>
      </w:r>
      <w:r w:rsidRPr="000A376C">
        <w:rPr>
          <w:rFonts w:ascii="Arial" w:eastAsia="Calibri" w:hAnsi="Arial" w:cs="Arial"/>
          <w:i/>
          <w:iCs/>
          <w:color w:val="000000"/>
          <w:sz w:val="22"/>
          <w:szCs w:val="22"/>
          <w:lang w:val="en-ZA"/>
        </w:rPr>
        <w:t xml:space="preserve"> </w:t>
      </w:r>
      <w:r w:rsidRPr="000A376C">
        <w:rPr>
          <w:rFonts w:ascii="Arial" w:eastAsia="Calibri" w:hAnsi="Arial" w:cs="Arial"/>
          <w:i/>
          <w:sz w:val="22"/>
          <w:szCs w:val="22"/>
          <w:lang w:val="en-ZA"/>
        </w:rPr>
        <w:t>Act</w:t>
      </w:r>
      <w:r w:rsidRPr="000A376C">
        <w:rPr>
          <w:rFonts w:ascii="Arial" w:eastAsia="Calibri" w:hAnsi="Arial" w:cs="Arial"/>
          <w:i/>
          <w:iCs/>
          <w:color w:val="000000"/>
          <w:sz w:val="22"/>
          <w:szCs w:val="22"/>
          <w:lang w:val="en-ZA"/>
        </w:rPr>
        <w:t>, 94 of 1990</w:t>
      </w:r>
      <w:r w:rsidRPr="000A376C">
        <w:rPr>
          <w:rFonts w:ascii="Arial" w:eastAsia="Calibri" w:hAnsi="Arial" w:cs="Arial"/>
          <w:color w:val="000000"/>
          <w:sz w:val="22"/>
          <w:szCs w:val="22"/>
          <w:lang w:val="en-ZA"/>
        </w:rPr>
        <w:t xml:space="preserve">, with an opportunity </w:t>
      </w:r>
      <w:r w:rsidRPr="000A376C">
        <w:rPr>
          <w:rFonts w:ascii="Arial" w:eastAsia="Calibri" w:hAnsi="Arial" w:cs="Arial"/>
          <w:sz w:val="22"/>
          <w:szCs w:val="22"/>
          <w:lang w:val="en-ZA"/>
        </w:rPr>
        <w:t>to</w:t>
      </w:r>
      <w:r w:rsidRPr="000A376C">
        <w:rPr>
          <w:rFonts w:ascii="Arial" w:eastAsia="Calibri" w:hAnsi="Arial" w:cs="Arial"/>
          <w:color w:val="000000"/>
          <w:sz w:val="22"/>
          <w:szCs w:val="22"/>
          <w:lang w:val="en-ZA"/>
        </w:rPr>
        <w:t xml:space="preserve"> review the specified report prior to the report (a) ceasing to be confidential and (b) being referred to the National Prosecuting Authority; if not, in each specified case, why not; if so, in each specified case, why; </w:t>
      </w:r>
    </w:p>
    <w:p w14:paraId="428957C1" w14:textId="77777777" w:rsidR="000A376C" w:rsidRPr="000A376C" w:rsidRDefault="000A376C" w:rsidP="000A376C">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0A376C">
        <w:rPr>
          <w:rFonts w:ascii="Arial" w:eastAsia="Calibri" w:hAnsi="Arial" w:cs="Arial"/>
          <w:sz w:val="22"/>
          <w:szCs w:val="22"/>
          <w:lang w:val="en-ZA"/>
        </w:rPr>
        <w:t>(2)</w:t>
      </w:r>
      <w:r w:rsidRPr="000A376C">
        <w:rPr>
          <w:rFonts w:ascii="Arial" w:eastAsia="Calibri" w:hAnsi="Arial" w:cs="Arial"/>
          <w:sz w:val="22"/>
          <w:szCs w:val="22"/>
          <w:lang w:val="en-ZA"/>
        </w:rPr>
        <w:tab/>
      </w:r>
      <w:r w:rsidRPr="000A376C">
        <w:rPr>
          <w:rFonts w:ascii="Arial" w:eastAsia="Calibri" w:hAnsi="Arial" w:cs="Arial"/>
          <w:color w:val="000000"/>
          <w:sz w:val="22"/>
          <w:szCs w:val="22"/>
          <w:lang w:val="en-ZA"/>
        </w:rPr>
        <w:t xml:space="preserve">whether any person made representations and/or comments on the specified report in this regard; </w:t>
      </w:r>
      <w:r w:rsidRPr="000A376C">
        <w:rPr>
          <w:rFonts w:ascii="Arial" w:eastAsia="Calibri" w:hAnsi="Arial" w:cs="Arial"/>
          <w:sz w:val="22"/>
          <w:szCs w:val="22"/>
          <w:lang w:val="en-ZA"/>
        </w:rPr>
        <w:t>if</w:t>
      </w:r>
      <w:r w:rsidRPr="000A376C">
        <w:rPr>
          <w:rFonts w:ascii="Arial" w:eastAsia="Calibri" w:hAnsi="Arial" w:cs="Arial"/>
          <w:color w:val="000000"/>
          <w:sz w:val="22"/>
          <w:szCs w:val="22"/>
          <w:lang w:val="en-ZA"/>
        </w:rPr>
        <w:t xml:space="preserve"> not, why not; if so, what are the names of each such person; </w:t>
      </w:r>
    </w:p>
    <w:p w14:paraId="29F85AF6" w14:textId="77777777" w:rsidR="000A376C" w:rsidRPr="000A376C" w:rsidRDefault="000A376C" w:rsidP="000A376C">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0A376C">
        <w:rPr>
          <w:rFonts w:ascii="Arial" w:eastAsia="Calibri" w:hAnsi="Arial" w:cs="Arial"/>
          <w:sz w:val="22"/>
          <w:szCs w:val="22"/>
          <w:lang w:val="en-ZA"/>
        </w:rPr>
        <w:t>(3)</w:t>
      </w:r>
      <w:r w:rsidRPr="000A376C">
        <w:rPr>
          <w:rFonts w:ascii="Arial" w:eastAsia="Calibri" w:hAnsi="Arial" w:cs="Arial"/>
          <w:sz w:val="22"/>
          <w:szCs w:val="22"/>
          <w:lang w:val="en-ZA"/>
        </w:rPr>
        <w:tab/>
      </w:r>
      <w:r w:rsidRPr="000A376C">
        <w:rPr>
          <w:rFonts w:ascii="Arial" w:eastAsia="Calibri" w:hAnsi="Arial" w:cs="Arial"/>
          <w:color w:val="000000"/>
          <w:sz w:val="22"/>
          <w:szCs w:val="22"/>
          <w:lang w:val="en-ZA"/>
        </w:rPr>
        <w:t>whether a firm of attorneys was instructed to manage the specified process of receiving representations and/or comments on the specified report; if not, why not; if so, what (a) is the name of the firm of attorneys employed and (b) was the (</w:t>
      </w:r>
      <w:proofErr w:type="spellStart"/>
      <w:r w:rsidRPr="000A376C">
        <w:rPr>
          <w:rFonts w:ascii="Arial" w:eastAsia="Calibri" w:hAnsi="Arial" w:cs="Arial"/>
          <w:color w:val="000000"/>
          <w:sz w:val="22"/>
          <w:szCs w:val="22"/>
          <w:lang w:val="en-ZA"/>
        </w:rPr>
        <w:t>i</w:t>
      </w:r>
      <w:proofErr w:type="spellEnd"/>
      <w:r w:rsidRPr="000A376C">
        <w:rPr>
          <w:rFonts w:ascii="Arial" w:eastAsia="Calibri" w:hAnsi="Arial" w:cs="Arial"/>
          <w:color w:val="000000"/>
          <w:sz w:val="22"/>
          <w:szCs w:val="22"/>
          <w:lang w:val="en-ZA"/>
        </w:rPr>
        <w:t>) total cost and (ii) breakdown of such costs of employing the specified attorneys</w:t>
      </w:r>
      <w:r w:rsidRPr="000A376C">
        <w:rPr>
          <w:rFonts w:ascii="Arial" w:eastAsia="Calibri" w:hAnsi="Arial" w:cs="Arial"/>
          <w:sz w:val="22"/>
          <w:szCs w:val="22"/>
          <w:lang w:val="en-ZA"/>
        </w:rPr>
        <w:t>?</w:t>
      </w:r>
      <w:r w:rsidRPr="000A376C">
        <w:rPr>
          <w:rFonts w:ascii="Arial" w:eastAsia="Calibri" w:hAnsi="Arial" w:cs="Arial"/>
          <w:sz w:val="22"/>
          <w:szCs w:val="22"/>
          <w:lang w:val="en-ZA"/>
        </w:rPr>
        <w:tab/>
      </w:r>
      <w:r w:rsidRPr="000A376C">
        <w:rPr>
          <w:rFonts w:ascii="Arial" w:eastAsia="Calibri" w:hAnsi="Arial" w:cs="Arial"/>
          <w:sz w:val="22"/>
          <w:szCs w:val="22"/>
          <w:lang w:val="en-ZA"/>
        </w:rPr>
        <w:tab/>
      </w:r>
      <w:r w:rsidRPr="000A376C">
        <w:rPr>
          <w:rFonts w:ascii="Arial" w:eastAsia="Calibri" w:hAnsi="Arial" w:cs="Arial"/>
          <w:sz w:val="22"/>
          <w:szCs w:val="22"/>
          <w:lang w:val="en-ZA"/>
        </w:rPr>
        <w:tab/>
      </w:r>
      <w:r w:rsidRPr="000A376C">
        <w:rPr>
          <w:rFonts w:ascii="Arial" w:eastAsia="Calibri" w:hAnsi="Arial" w:cs="Arial"/>
          <w:sz w:val="22"/>
          <w:szCs w:val="22"/>
          <w:lang w:val="en-ZA"/>
        </w:rPr>
        <w:tab/>
      </w:r>
      <w:r w:rsidRPr="000A376C">
        <w:rPr>
          <w:rFonts w:ascii="Arial" w:eastAsia="Calibri" w:hAnsi="Arial" w:cs="Arial"/>
          <w:sz w:val="22"/>
          <w:szCs w:val="22"/>
          <w:lang w:val="en-ZA"/>
        </w:rPr>
        <w:tab/>
      </w:r>
      <w:r w:rsidRPr="000A376C">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0A376C">
        <w:rPr>
          <w:rFonts w:ascii="Arial" w:eastAsia="Calibri" w:hAnsi="Arial" w:cs="Arial"/>
          <w:sz w:val="22"/>
          <w:szCs w:val="22"/>
          <w:lang w:val="en-ZA"/>
        </w:rPr>
        <w:tab/>
        <w:t>NW1945E</w:t>
      </w:r>
    </w:p>
    <w:p w14:paraId="37C64CA9" w14:textId="77777777"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4D77B933" w14:textId="77777777" w:rsidR="00F64E0F" w:rsidRDefault="00F64E0F" w:rsidP="00F64E0F">
      <w:pPr>
        <w:pStyle w:val="BodyTextIndent"/>
        <w:spacing w:line="276" w:lineRule="auto"/>
        <w:ind w:left="0" w:firstLine="0"/>
        <w:rPr>
          <w:rFonts w:ascii="Arial" w:hAnsi="Arial" w:cs="Arial"/>
          <w:b/>
          <w:sz w:val="22"/>
          <w:szCs w:val="22"/>
        </w:rPr>
      </w:pPr>
    </w:p>
    <w:p w14:paraId="0508B026" w14:textId="77777777" w:rsidR="00C6640A" w:rsidRPr="00602D71" w:rsidRDefault="00C6640A" w:rsidP="00F64E0F">
      <w:pPr>
        <w:pStyle w:val="BodyTextIndent"/>
        <w:spacing w:line="276" w:lineRule="auto"/>
        <w:ind w:left="0" w:firstLine="0"/>
        <w:rPr>
          <w:rFonts w:ascii="Arial" w:hAnsi="Arial" w:cs="Arial"/>
          <w:sz w:val="22"/>
          <w:szCs w:val="22"/>
        </w:rPr>
      </w:pPr>
      <w:r w:rsidRPr="00602D71">
        <w:rPr>
          <w:rFonts w:ascii="Arial" w:hAnsi="Arial" w:cs="Arial"/>
          <w:sz w:val="22"/>
          <w:szCs w:val="22"/>
        </w:rPr>
        <w:t>The Registrar of Banks at the South African Reserve Bank is responsible for bank supervision, and has provided the following response to my office:</w:t>
      </w:r>
    </w:p>
    <w:p w14:paraId="395A5462" w14:textId="77777777" w:rsidR="00180670" w:rsidRDefault="00180670" w:rsidP="00180670">
      <w:pPr>
        <w:spacing w:line="360" w:lineRule="auto"/>
        <w:rPr>
          <w:rFonts w:ascii="Arial" w:eastAsia="Calibri" w:hAnsi="Arial" w:cs="Arial"/>
          <w:color w:val="000000"/>
          <w:sz w:val="22"/>
          <w:szCs w:val="22"/>
          <w:lang w:val="en-ZA"/>
        </w:rPr>
      </w:pPr>
    </w:p>
    <w:p w14:paraId="5963FE61" w14:textId="77777777" w:rsidR="00180670" w:rsidRPr="00C6640A" w:rsidRDefault="00C6640A" w:rsidP="00B00384">
      <w:pPr>
        <w:pStyle w:val="ListParagraph"/>
        <w:numPr>
          <w:ilvl w:val="0"/>
          <w:numId w:val="8"/>
        </w:numPr>
        <w:tabs>
          <w:tab w:val="left" w:pos="720"/>
          <w:tab w:val="left" w:pos="810"/>
          <w:tab w:val="left" w:pos="900"/>
          <w:tab w:val="left" w:pos="1170"/>
        </w:tabs>
        <w:spacing w:line="360" w:lineRule="auto"/>
        <w:ind w:left="720" w:hanging="810"/>
        <w:rPr>
          <w:rFonts w:eastAsia="Calibri" w:cs="Arial"/>
          <w:color w:val="000000"/>
          <w:sz w:val="22"/>
          <w:szCs w:val="22"/>
        </w:rPr>
      </w:pPr>
      <w:r w:rsidRPr="00C6640A">
        <w:rPr>
          <w:rFonts w:eastAsia="Calibri" w:cs="Arial"/>
          <w:color w:val="000000"/>
          <w:sz w:val="22"/>
          <w:szCs w:val="22"/>
        </w:rPr>
        <w:t xml:space="preserve">In February 2016, the deputy governor responsible for bank supervision appeared before the Standing Committee on Finance where these questions were addressed. </w:t>
      </w:r>
      <w:r>
        <w:rPr>
          <w:rFonts w:eastAsia="Calibri" w:cs="Arial"/>
          <w:color w:val="000000"/>
          <w:sz w:val="22"/>
          <w:szCs w:val="22"/>
        </w:rPr>
        <w:t>I</w:t>
      </w:r>
      <w:r w:rsidR="00180670" w:rsidRPr="00C6640A">
        <w:rPr>
          <w:rFonts w:eastAsia="Calibri" w:cs="Arial"/>
          <w:color w:val="000000"/>
          <w:sz w:val="22"/>
          <w:szCs w:val="22"/>
        </w:rPr>
        <w:t>n terms of section 69</w:t>
      </w:r>
      <w:proofErr w:type="gramStart"/>
      <w:r w:rsidR="00180670" w:rsidRPr="00C6640A">
        <w:rPr>
          <w:rFonts w:eastAsia="Calibri" w:cs="Arial"/>
          <w:color w:val="000000"/>
          <w:sz w:val="22"/>
          <w:szCs w:val="22"/>
        </w:rPr>
        <w:t>A(</w:t>
      </w:r>
      <w:proofErr w:type="gramEnd"/>
      <w:r w:rsidR="00180670" w:rsidRPr="00C6640A">
        <w:rPr>
          <w:rFonts w:eastAsia="Calibri" w:cs="Arial"/>
          <w:color w:val="000000"/>
          <w:sz w:val="22"/>
          <w:szCs w:val="22"/>
        </w:rPr>
        <w:t xml:space="preserve">13) of the Banks Act, the </w:t>
      </w:r>
      <w:proofErr w:type="spellStart"/>
      <w:r w:rsidR="00180670" w:rsidRPr="00C6640A">
        <w:rPr>
          <w:rFonts w:eastAsia="Calibri" w:cs="Arial"/>
          <w:color w:val="000000"/>
          <w:sz w:val="22"/>
          <w:szCs w:val="22"/>
        </w:rPr>
        <w:t>Myburgh</w:t>
      </w:r>
      <w:proofErr w:type="spellEnd"/>
      <w:r w:rsidR="00180670" w:rsidRPr="00C6640A">
        <w:rPr>
          <w:rFonts w:eastAsia="Calibri" w:cs="Arial"/>
          <w:color w:val="000000"/>
          <w:sz w:val="22"/>
          <w:szCs w:val="22"/>
        </w:rPr>
        <w:t xml:space="preserve"> Report was private and confidential unless the Registrar, after consultation with the Minister of Finance, either generally or in respect of any part of such report, directed otherwise. In his consideration of the matter, the Registrar was in law required to follow due process, which entailed affording persons referred to in the report insight into the report and the right to make representations, for consideration by the Registrar prior to taking a decision about its confidentiality. Accordingly, the process and procedures set out hereunder were followed, and the relevant representations duly considered by the Registrar before his decision (involving the Minister) was taken to terminate the confidentiality of the </w:t>
      </w:r>
      <w:proofErr w:type="spellStart"/>
      <w:r w:rsidR="00180670" w:rsidRPr="00C6640A">
        <w:rPr>
          <w:rFonts w:eastAsia="Calibri" w:cs="Arial"/>
          <w:color w:val="000000"/>
          <w:sz w:val="22"/>
          <w:szCs w:val="22"/>
        </w:rPr>
        <w:t>Myburgh</w:t>
      </w:r>
      <w:proofErr w:type="spellEnd"/>
      <w:r w:rsidR="00180670" w:rsidRPr="00C6640A">
        <w:rPr>
          <w:rFonts w:eastAsia="Calibri" w:cs="Arial"/>
          <w:color w:val="000000"/>
          <w:sz w:val="22"/>
          <w:szCs w:val="22"/>
        </w:rPr>
        <w:t xml:space="preserve"> Report. A copy of the </w:t>
      </w:r>
      <w:proofErr w:type="spellStart"/>
      <w:r w:rsidR="00180670" w:rsidRPr="00C6640A">
        <w:rPr>
          <w:rFonts w:eastAsia="Calibri" w:cs="Arial"/>
          <w:color w:val="000000"/>
          <w:sz w:val="22"/>
          <w:szCs w:val="22"/>
        </w:rPr>
        <w:t>Myburgh</w:t>
      </w:r>
      <w:proofErr w:type="spellEnd"/>
      <w:r w:rsidR="00180670" w:rsidRPr="00C6640A">
        <w:rPr>
          <w:rFonts w:eastAsia="Calibri" w:cs="Arial"/>
          <w:color w:val="000000"/>
          <w:sz w:val="22"/>
          <w:szCs w:val="22"/>
        </w:rPr>
        <w:t xml:space="preserve"> report was subsequently forwarded to the National Prosecuting Authority for its consideration.</w:t>
      </w:r>
    </w:p>
    <w:p w14:paraId="6C22B3B7" w14:textId="77777777" w:rsidR="00180670" w:rsidRPr="009D525A" w:rsidRDefault="00180670" w:rsidP="00180670">
      <w:pPr>
        <w:pStyle w:val="ListParagraph"/>
        <w:numPr>
          <w:ilvl w:val="1"/>
          <w:numId w:val="8"/>
        </w:numPr>
        <w:spacing w:line="360" w:lineRule="auto"/>
        <w:rPr>
          <w:rFonts w:cs="Arial"/>
          <w:sz w:val="22"/>
          <w:szCs w:val="22"/>
        </w:rPr>
      </w:pPr>
      <w:r w:rsidRPr="009D525A">
        <w:rPr>
          <w:rFonts w:cs="Arial"/>
          <w:sz w:val="22"/>
          <w:szCs w:val="22"/>
        </w:rPr>
        <w:lastRenderedPageBreak/>
        <w:t>In order to ensure a procedurally fair process, prior to the Registrar taking the decision contemplated in section 69A(13) of the Banks Act, it was decided –</w:t>
      </w:r>
    </w:p>
    <w:p w14:paraId="0A556394" w14:textId="77777777" w:rsidR="00180670" w:rsidRPr="009D525A" w:rsidRDefault="00180670" w:rsidP="00180670">
      <w:pPr>
        <w:pStyle w:val="ListParagraph"/>
        <w:spacing w:line="360" w:lineRule="auto"/>
        <w:ind w:left="0"/>
        <w:rPr>
          <w:rFonts w:cs="Arial"/>
          <w:sz w:val="22"/>
          <w:szCs w:val="22"/>
        </w:rPr>
      </w:pPr>
    </w:p>
    <w:p w14:paraId="08D9CE0E" w14:textId="77777777" w:rsidR="00180670" w:rsidRPr="009D525A" w:rsidRDefault="00180670" w:rsidP="00180670">
      <w:pPr>
        <w:pStyle w:val="ListParagraph"/>
        <w:numPr>
          <w:ilvl w:val="2"/>
          <w:numId w:val="8"/>
        </w:numPr>
        <w:spacing w:line="360" w:lineRule="auto"/>
        <w:rPr>
          <w:rFonts w:cs="Arial"/>
          <w:sz w:val="22"/>
          <w:szCs w:val="22"/>
        </w:rPr>
      </w:pPr>
      <w:r w:rsidRPr="009D525A">
        <w:rPr>
          <w:rFonts w:cs="Arial"/>
          <w:sz w:val="22"/>
          <w:szCs w:val="22"/>
        </w:rPr>
        <w:t xml:space="preserve">to communicate with those persons referred to in the </w:t>
      </w:r>
      <w:proofErr w:type="spellStart"/>
      <w:r w:rsidRPr="009D525A">
        <w:rPr>
          <w:rFonts w:cs="Arial"/>
          <w:sz w:val="22"/>
          <w:szCs w:val="22"/>
        </w:rPr>
        <w:t>Myburgh</w:t>
      </w:r>
      <w:proofErr w:type="spellEnd"/>
      <w:r w:rsidRPr="009D525A">
        <w:rPr>
          <w:rFonts w:cs="Arial"/>
          <w:sz w:val="22"/>
          <w:szCs w:val="22"/>
        </w:rPr>
        <w:t xml:space="preserve"> Report in order to provide them with the opportunity to review the report and to call for comments or representations by them with regard to why the Registrar should not direct, after consultation with the Minister, that the </w:t>
      </w:r>
      <w:proofErr w:type="spellStart"/>
      <w:r w:rsidRPr="009D525A">
        <w:rPr>
          <w:rFonts w:cs="Arial"/>
          <w:sz w:val="22"/>
          <w:szCs w:val="22"/>
        </w:rPr>
        <w:t>Myburgh</w:t>
      </w:r>
      <w:proofErr w:type="spellEnd"/>
      <w:r w:rsidRPr="009D525A">
        <w:rPr>
          <w:rFonts w:cs="Arial"/>
          <w:sz w:val="22"/>
          <w:szCs w:val="22"/>
        </w:rPr>
        <w:t xml:space="preserve"> Report should no longer be private and confidential;</w:t>
      </w:r>
    </w:p>
    <w:p w14:paraId="26C2A5C9" w14:textId="77777777" w:rsidR="00180670" w:rsidRPr="009D525A" w:rsidRDefault="00180670" w:rsidP="00180670">
      <w:pPr>
        <w:pStyle w:val="ListParagraph"/>
        <w:spacing w:line="360" w:lineRule="auto"/>
        <w:ind w:left="0"/>
        <w:rPr>
          <w:rFonts w:cs="Arial"/>
          <w:sz w:val="22"/>
          <w:szCs w:val="22"/>
        </w:rPr>
      </w:pPr>
    </w:p>
    <w:p w14:paraId="145EDA6D" w14:textId="77777777" w:rsidR="00180670" w:rsidRPr="009D525A" w:rsidRDefault="00180670" w:rsidP="00180670">
      <w:pPr>
        <w:pStyle w:val="ListParagraph"/>
        <w:numPr>
          <w:ilvl w:val="2"/>
          <w:numId w:val="8"/>
        </w:numPr>
        <w:spacing w:line="360" w:lineRule="auto"/>
        <w:rPr>
          <w:rFonts w:cs="Arial"/>
          <w:sz w:val="22"/>
          <w:szCs w:val="22"/>
        </w:rPr>
      </w:pPr>
      <w:r w:rsidRPr="009D525A">
        <w:rPr>
          <w:rFonts w:cs="Arial"/>
          <w:sz w:val="22"/>
          <w:szCs w:val="22"/>
        </w:rPr>
        <w:t>that comments and/or representations received would be considered by the Registrar; this consideration was only with respect to removing the confidentiality of the report and not with respect to any change of the report itself; and</w:t>
      </w:r>
    </w:p>
    <w:p w14:paraId="15EE493D" w14:textId="77777777" w:rsidR="00180670" w:rsidRPr="009D525A" w:rsidRDefault="00180670" w:rsidP="00180670">
      <w:pPr>
        <w:pStyle w:val="ListParagraph"/>
        <w:spacing w:line="360" w:lineRule="auto"/>
        <w:ind w:left="851" w:hanging="851"/>
        <w:rPr>
          <w:rFonts w:cs="Arial"/>
          <w:sz w:val="22"/>
          <w:szCs w:val="22"/>
        </w:rPr>
      </w:pPr>
    </w:p>
    <w:p w14:paraId="717C6121" w14:textId="77777777" w:rsidR="00180670" w:rsidRPr="009D525A" w:rsidRDefault="00180670" w:rsidP="00180670">
      <w:pPr>
        <w:pStyle w:val="ListParagraph"/>
        <w:numPr>
          <w:ilvl w:val="2"/>
          <w:numId w:val="8"/>
        </w:numPr>
        <w:spacing w:line="360" w:lineRule="auto"/>
        <w:rPr>
          <w:rFonts w:cs="Arial"/>
          <w:sz w:val="22"/>
          <w:szCs w:val="22"/>
        </w:rPr>
      </w:pPr>
      <w:r w:rsidRPr="009D525A">
        <w:rPr>
          <w:rFonts w:cs="Arial"/>
          <w:sz w:val="22"/>
          <w:szCs w:val="22"/>
        </w:rPr>
        <w:t xml:space="preserve">that the Registrar would then decide, after consultation with the Minister, whether the </w:t>
      </w:r>
      <w:proofErr w:type="spellStart"/>
      <w:r w:rsidRPr="009D525A">
        <w:rPr>
          <w:rFonts w:cs="Arial"/>
          <w:sz w:val="22"/>
          <w:szCs w:val="22"/>
        </w:rPr>
        <w:t>Myburgh</w:t>
      </w:r>
      <w:proofErr w:type="spellEnd"/>
      <w:r w:rsidRPr="009D525A">
        <w:rPr>
          <w:rFonts w:cs="Arial"/>
          <w:sz w:val="22"/>
          <w:szCs w:val="22"/>
        </w:rPr>
        <w:t xml:space="preserve"> Report generally or in respect of any part thereof, should no longer be private and confidential.</w:t>
      </w:r>
    </w:p>
    <w:p w14:paraId="4BA72320" w14:textId="77777777" w:rsidR="00180670" w:rsidRPr="009D525A" w:rsidRDefault="00180670" w:rsidP="00180670">
      <w:pPr>
        <w:pStyle w:val="ListParagraph"/>
        <w:spacing w:line="360" w:lineRule="auto"/>
        <w:ind w:left="851" w:hanging="851"/>
        <w:rPr>
          <w:rFonts w:cs="Arial"/>
          <w:sz w:val="22"/>
          <w:szCs w:val="22"/>
        </w:rPr>
      </w:pPr>
    </w:p>
    <w:p w14:paraId="65FB7171" w14:textId="77777777" w:rsidR="00180670" w:rsidRPr="009D525A" w:rsidRDefault="00180670" w:rsidP="00180670">
      <w:pPr>
        <w:pStyle w:val="ListParagraph"/>
        <w:numPr>
          <w:ilvl w:val="1"/>
          <w:numId w:val="8"/>
        </w:numPr>
        <w:spacing w:line="360" w:lineRule="auto"/>
        <w:rPr>
          <w:rFonts w:cs="Arial"/>
          <w:sz w:val="22"/>
          <w:szCs w:val="22"/>
        </w:rPr>
      </w:pPr>
      <w:r w:rsidRPr="009D525A">
        <w:rPr>
          <w:rFonts w:cs="Arial"/>
          <w:sz w:val="22"/>
          <w:szCs w:val="22"/>
        </w:rPr>
        <w:t xml:space="preserve">To this end, </w:t>
      </w:r>
      <w:proofErr w:type="spellStart"/>
      <w:r w:rsidRPr="009D525A">
        <w:rPr>
          <w:rFonts w:cs="Arial"/>
          <w:sz w:val="22"/>
          <w:szCs w:val="22"/>
        </w:rPr>
        <w:t>Werksmans</w:t>
      </w:r>
      <w:proofErr w:type="spellEnd"/>
      <w:r w:rsidRPr="009D525A">
        <w:rPr>
          <w:rFonts w:cs="Arial"/>
          <w:sz w:val="22"/>
          <w:szCs w:val="22"/>
        </w:rPr>
        <w:t xml:space="preserve"> Attorneys ("</w:t>
      </w:r>
      <w:proofErr w:type="spellStart"/>
      <w:r w:rsidRPr="009D525A">
        <w:rPr>
          <w:rFonts w:cs="Arial"/>
          <w:sz w:val="22"/>
          <w:szCs w:val="22"/>
        </w:rPr>
        <w:t>Werksmans</w:t>
      </w:r>
      <w:proofErr w:type="spellEnd"/>
      <w:r w:rsidRPr="009D525A">
        <w:rPr>
          <w:rFonts w:cs="Arial"/>
          <w:sz w:val="22"/>
          <w:szCs w:val="22"/>
        </w:rPr>
        <w:t xml:space="preserve">") were instructed by the South African Reserve Bank ("SARB") and the Registrar to write to each person referred to in the </w:t>
      </w:r>
      <w:proofErr w:type="spellStart"/>
      <w:r w:rsidRPr="009D525A">
        <w:rPr>
          <w:rFonts w:cs="Arial"/>
          <w:sz w:val="22"/>
          <w:szCs w:val="22"/>
        </w:rPr>
        <w:t>Myburgh</w:t>
      </w:r>
      <w:proofErr w:type="spellEnd"/>
      <w:r w:rsidRPr="009D525A">
        <w:rPr>
          <w:rFonts w:cs="Arial"/>
          <w:sz w:val="22"/>
          <w:szCs w:val="22"/>
        </w:rPr>
        <w:t xml:space="preserve"> Report and invite them to –</w:t>
      </w:r>
    </w:p>
    <w:p w14:paraId="7A3BEEB0" w14:textId="77777777" w:rsidR="00180670" w:rsidRPr="009D525A" w:rsidRDefault="00180670" w:rsidP="00180670">
      <w:pPr>
        <w:spacing w:line="360" w:lineRule="auto"/>
        <w:rPr>
          <w:rFonts w:ascii="Arial" w:hAnsi="Arial" w:cs="Arial"/>
          <w:sz w:val="22"/>
          <w:szCs w:val="22"/>
        </w:rPr>
      </w:pPr>
    </w:p>
    <w:p w14:paraId="6840D2B1" w14:textId="77777777" w:rsidR="00180670" w:rsidRPr="009D525A" w:rsidRDefault="00180670" w:rsidP="00180670">
      <w:pPr>
        <w:pStyle w:val="ListParagraph"/>
        <w:numPr>
          <w:ilvl w:val="2"/>
          <w:numId w:val="8"/>
        </w:numPr>
        <w:spacing w:line="360" w:lineRule="auto"/>
        <w:rPr>
          <w:rFonts w:cs="Arial"/>
          <w:sz w:val="22"/>
          <w:szCs w:val="22"/>
        </w:rPr>
      </w:pPr>
      <w:r w:rsidRPr="009D525A">
        <w:rPr>
          <w:rFonts w:cs="Arial"/>
          <w:sz w:val="22"/>
          <w:szCs w:val="22"/>
        </w:rPr>
        <w:t xml:space="preserve">review the </w:t>
      </w:r>
      <w:proofErr w:type="spellStart"/>
      <w:r w:rsidRPr="009D525A">
        <w:rPr>
          <w:rFonts w:cs="Arial"/>
          <w:sz w:val="22"/>
          <w:szCs w:val="22"/>
        </w:rPr>
        <w:t>Myburgh</w:t>
      </w:r>
      <w:proofErr w:type="spellEnd"/>
      <w:r w:rsidRPr="009D525A">
        <w:rPr>
          <w:rFonts w:cs="Arial"/>
          <w:sz w:val="22"/>
          <w:szCs w:val="22"/>
        </w:rPr>
        <w:t xml:space="preserve"> Report; and</w:t>
      </w:r>
    </w:p>
    <w:p w14:paraId="19DFBAC7" w14:textId="77777777" w:rsidR="00180670" w:rsidRPr="009D525A" w:rsidRDefault="00180670" w:rsidP="00180670">
      <w:pPr>
        <w:spacing w:line="360" w:lineRule="auto"/>
        <w:rPr>
          <w:rFonts w:ascii="Arial" w:hAnsi="Arial" w:cs="Arial"/>
          <w:sz w:val="22"/>
          <w:szCs w:val="22"/>
        </w:rPr>
      </w:pPr>
    </w:p>
    <w:p w14:paraId="370D1C0A" w14:textId="77777777" w:rsidR="00180670" w:rsidRPr="009D525A" w:rsidRDefault="00180670" w:rsidP="00180670">
      <w:pPr>
        <w:pStyle w:val="ListParagraph"/>
        <w:numPr>
          <w:ilvl w:val="2"/>
          <w:numId w:val="8"/>
        </w:numPr>
        <w:spacing w:line="360" w:lineRule="auto"/>
        <w:rPr>
          <w:rFonts w:cs="Arial"/>
          <w:sz w:val="22"/>
          <w:szCs w:val="22"/>
        </w:rPr>
      </w:pPr>
      <w:r w:rsidRPr="009D525A">
        <w:rPr>
          <w:rFonts w:cs="Arial"/>
          <w:sz w:val="22"/>
          <w:szCs w:val="22"/>
        </w:rPr>
        <w:t xml:space="preserve">make written representations, should they so elect, regarding the status of the </w:t>
      </w:r>
      <w:proofErr w:type="spellStart"/>
      <w:r w:rsidRPr="009D525A">
        <w:rPr>
          <w:rFonts w:cs="Arial"/>
          <w:sz w:val="22"/>
          <w:szCs w:val="22"/>
        </w:rPr>
        <w:t>Myburgh</w:t>
      </w:r>
      <w:proofErr w:type="spellEnd"/>
      <w:r w:rsidRPr="009D525A">
        <w:rPr>
          <w:rFonts w:cs="Arial"/>
          <w:sz w:val="22"/>
          <w:szCs w:val="22"/>
        </w:rPr>
        <w:t xml:space="preserve"> Report and more particularly why the Registrar should not direct, after consultation with the Minister, that the </w:t>
      </w:r>
      <w:proofErr w:type="spellStart"/>
      <w:r w:rsidRPr="009D525A">
        <w:rPr>
          <w:rFonts w:cs="Arial"/>
          <w:sz w:val="22"/>
          <w:szCs w:val="22"/>
        </w:rPr>
        <w:t>Myburgh</w:t>
      </w:r>
      <w:proofErr w:type="spellEnd"/>
      <w:r w:rsidRPr="009D525A">
        <w:rPr>
          <w:rFonts w:cs="Arial"/>
          <w:sz w:val="22"/>
          <w:szCs w:val="22"/>
        </w:rPr>
        <w:t xml:space="preserve"> Report should no longer be private and confidential.</w:t>
      </w:r>
    </w:p>
    <w:p w14:paraId="0CF98ADF" w14:textId="77777777" w:rsidR="00180670" w:rsidRPr="009D525A" w:rsidRDefault="00180670" w:rsidP="00180670">
      <w:pPr>
        <w:pStyle w:val="ListParagraph"/>
        <w:spacing w:line="360" w:lineRule="auto"/>
        <w:ind w:left="1050"/>
        <w:rPr>
          <w:rFonts w:eastAsia="Calibri" w:cs="Arial"/>
          <w:sz w:val="22"/>
          <w:szCs w:val="22"/>
        </w:rPr>
      </w:pPr>
    </w:p>
    <w:p w14:paraId="5C513B51" w14:textId="77777777" w:rsidR="009D525A" w:rsidRPr="007A527D" w:rsidRDefault="009D525A" w:rsidP="009D525A">
      <w:pPr>
        <w:pStyle w:val="ListParagraph"/>
        <w:numPr>
          <w:ilvl w:val="0"/>
          <w:numId w:val="8"/>
        </w:numPr>
        <w:spacing w:line="360" w:lineRule="auto"/>
        <w:rPr>
          <w:rFonts w:eastAsia="Calibri" w:cs="Arial"/>
          <w:sz w:val="22"/>
          <w:szCs w:val="22"/>
        </w:rPr>
      </w:pPr>
      <w:proofErr w:type="spellStart"/>
      <w:r w:rsidRPr="009D525A">
        <w:rPr>
          <w:rFonts w:cs="Arial"/>
          <w:sz w:val="22"/>
          <w:szCs w:val="22"/>
        </w:rPr>
        <w:t>Werksmans</w:t>
      </w:r>
      <w:proofErr w:type="spellEnd"/>
      <w:r w:rsidRPr="009D525A">
        <w:rPr>
          <w:rFonts w:cs="Arial"/>
          <w:sz w:val="22"/>
          <w:szCs w:val="22"/>
        </w:rPr>
        <w:t xml:space="preserve"> wrote to the 37 individuals and entities (including the insurers who provided the directors and officers insurance cover in respect of African Bank Limited (“ABL”)) who were specifically referred to in the </w:t>
      </w:r>
      <w:proofErr w:type="spellStart"/>
      <w:r w:rsidRPr="009D525A">
        <w:rPr>
          <w:rFonts w:cs="Arial"/>
          <w:sz w:val="22"/>
          <w:szCs w:val="22"/>
        </w:rPr>
        <w:t>Myburgh</w:t>
      </w:r>
      <w:proofErr w:type="spellEnd"/>
      <w:r w:rsidRPr="009D525A">
        <w:rPr>
          <w:rFonts w:cs="Arial"/>
          <w:sz w:val="22"/>
          <w:szCs w:val="22"/>
        </w:rPr>
        <w:t xml:space="preserve"> Report, during the second and third weeks of September 2015. Most of the individuals and entities were addressed through their legal representatives who had represented them before the Commissioner during </w:t>
      </w:r>
      <w:r w:rsidRPr="009D525A">
        <w:rPr>
          <w:rFonts w:cs="Arial"/>
          <w:sz w:val="22"/>
          <w:szCs w:val="22"/>
        </w:rPr>
        <w:lastRenderedPageBreak/>
        <w:t xml:space="preserve">the latter part of 2014 and early 2015. They were afforded the opportunity, against the signing of appropriate confidentiality undertakings, to review the </w:t>
      </w:r>
      <w:proofErr w:type="spellStart"/>
      <w:r w:rsidRPr="009D525A">
        <w:rPr>
          <w:rFonts w:cs="Arial"/>
          <w:sz w:val="22"/>
          <w:szCs w:val="22"/>
        </w:rPr>
        <w:t>Myburgh</w:t>
      </w:r>
      <w:proofErr w:type="spellEnd"/>
      <w:r w:rsidRPr="009D525A">
        <w:rPr>
          <w:rFonts w:cs="Arial"/>
          <w:sz w:val="22"/>
          <w:szCs w:val="22"/>
        </w:rPr>
        <w:t xml:space="preserve"> Report, and to make written representations up and until 20 November 2015.</w:t>
      </w:r>
    </w:p>
    <w:p w14:paraId="335D7602" w14:textId="77777777" w:rsidR="009D525A" w:rsidRDefault="009D525A" w:rsidP="007A527D">
      <w:pPr>
        <w:spacing w:line="360" w:lineRule="auto"/>
        <w:ind w:left="1050" w:firstLine="30"/>
        <w:jc w:val="both"/>
        <w:rPr>
          <w:rFonts w:ascii="Arial" w:hAnsi="Arial" w:cs="Arial"/>
          <w:sz w:val="22"/>
          <w:szCs w:val="22"/>
        </w:rPr>
      </w:pPr>
      <w:r w:rsidRPr="009D525A">
        <w:rPr>
          <w:rFonts w:ascii="Arial" w:hAnsi="Arial" w:cs="Arial"/>
          <w:sz w:val="22"/>
          <w:szCs w:val="22"/>
        </w:rPr>
        <w:t xml:space="preserve">Of the 37 individuals or entities invited to review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and make written representations, 35 of them took up the invitation and reviewed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during the aforementioned period. Of those who reviewed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32 of them were represented by legal representatives. In total more than 60 individuals, including legal representatives and representatives of companies and </w:t>
      </w:r>
      <w:proofErr w:type="spellStart"/>
      <w:r w:rsidRPr="009D525A">
        <w:rPr>
          <w:rFonts w:ascii="Arial" w:hAnsi="Arial" w:cs="Arial"/>
          <w:sz w:val="22"/>
          <w:szCs w:val="22"/>
        </w:rPr>
        <w:t>organisations</w:t>
      </w:r>
      <w:proofErr w:type="spellEnd"/>
      <w:r w:rsidRPr="009D525A">
        <w:rPr>
          <w:rFonts w:ascii="Arial" w:hAnsi="Arial" w:cs="Arial"/>
          <w:sz w:val="22"/>
          <w:szCs w:val="22"/>
        </w:rPr>
        <w:t xml:space="preserve">, reviewed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during the review period. Of the 35 individuals or entities who reviewed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22 of them submitted written representations (or at least submitted a letter of no objection) by 20 November 2015.</w:t>
      </w:r>
    </w:p>
    <w:p w14:paraId="2384ED91" w14:textId="77777777" w:rsidR="009D525A" w:rsidRPr="009D525A" w:rsidRDefault="009D525A" w:rsidP="007A527D">
      <w:pPr>
        <w:spacing w:line="360" w:lineRule="auto"/>
        <w:ind w:left="1050" w:firstLine="30"/>
        <w:jc w:val="both"/>
        <w:rPr>
          <w:rFonts w:ascii="Arial" w:hAnsi="Arial" w:cs="Arial"/>
          <w:sz w:val="22"/>
          <w:szCs w:val="22"/>
        </w:rPr>
      </w:pPr>
    </w:p>
    <w:p w14:paraId="3D9A880D" w14:textId="77777777" w:rsidR="009D525A" w:rsidRPr="009D525A" w:rsidRDefault="009D525A" w:rsidP="007A527D">
      <w:pPr>
        <w:spacing w:line="360" w:lineRule="auto"/>
        <w:ind w:left="1050"/>
        <w:jc w:val="both"/>
        <w:rPr>
          <w:rFonts w:cs="Arial"/>
          <w:color w:val="FF0000"/>
        </w:rPr>
      </w:pPr>
      <w:r w:rsidRPr="009D525A">
        <w:rPr>
          <w:rFonts w:ascii="Arial" w:hAnsi="Arial" w:cs="Arial"/>
          <w:sz w:val="22"/>
          <w:szCs w:val="22"/>
        </w:rPr>
        <w:t xml:space="preserve">Of the written representations received, a significant majority objected to any decision taken which could result in the </w:t>
      </w:r>
      <w:proofErr w:type="spellStart"/>
      <w:r w:rsidRPr="009D525A">
        <w:rPr>
          <w:rFonts w:ascii="Arial" w:hAnsi="Arial" w:cs="Arial"/>
          <w:sz w:val="22"/>
          <w:szCs w:val="22"/>
        </w:rPr>
        <w:t>Myburgh</w:t>
      </w:r>
      <w:proofErr w:type="spellEnd"/>
      <w:r w:rsidRPr="009D525A">
        <w:rPr>
          <w:rFonts w:ascii="Arial" w:hAnsi="Arial" w:cs="Arial"/>
          <w:sz w:val="22"/>
          <w:szCs w:val="22"/>
        </w:rPr>
        <w:t xml:space="preserve"> Report or any part thereof no longer being private and confidential.</w:t>
      </w:r>
      <w:r w:rsidRPr="009D525A">
        <w:rPr>
          <w:rFonts w:cs="Arial"/>
        </w:rPr>
        <w:t xml:space="preserve"> </w:t>
      </w:r>
    </w:p>
    <w:p w14:paraId="6C623349" w14:textId="77777777" w:rsidR="001E6902" w:rsidRPr="001B0917" w:rsidRDefault="001E6902" w:rsidP="007A527D">
      <w:pPr>
        <w:tabs>
          <w:tab w:val="left" w:pos="432"/>
          <w:tab w:val="left" w:pos="864"/>
        </w:tabs>
        <w:spacing w:line="276" w:lineRule="auto"/>
        <w:jc w:val="both"/>
        <w:rPr>
          <w:rFonts w:ascii="Arial" w:hAnsi="Arial" w:cs="Arial"/>
          <w:b/>
          <w:sz w:val="22"/>
          <w:szCs w:val="22"/>
        </w:rPr>
      </w:pPr>
    </w:p>
    <w:p w14:paraId="0E566C30" w14:textId="77777777" w:rsidR="009D525A" w:rsidRPr="009D525A" w:rsidRDefault="009D525A" w:rsidP="007A527D">
      <w:pPr>
        <w:pStyle w:val="ListParagraph"/>
        <w:numPr>
          <w:ilvl w:val="0"/>
          <w:numId w:val="8"/>
        </w:numPr>
        <w:spacing w:line="360" w:lineRule="auto"/>
        <w:rPr>
          <w:rFonts w:eastAsia="Calibri" w:cs="Arial"/>
          <w:sz w:val="22"/>
          <w:szCs w:val="22"/>
        </w:rPr>
      </w:pPr>
      <w:r w:rsidRPr="009D525A">
        <w:rPr>
          <w:rFonts w:eastAsia="Calibri" w:cs="Arial"/>
          <w:sz w:val="22"/>
          <w:szCs w:val="22"/>
        </w:rPr>
        <w:t>As indicated above,</w:t>
      </w:r>
      <w:r>
        <w:rPr>
          <w:rFonts w:eastAsia="Calibri" w:cs="Arial"/>
          <w:sz w:val="22"/>
          <w:szCs w:val="22"/>
        </w:rPr>
        <w:t xml:space="preserve"> (a)</w:t>
      </w:r>
      <w:r w:rsidRPr="009D525A">
        <w:rPr>
          <w:rFonts w:eastAsia="Calibri" w:cs="Arial"/>
          <w:sz w:val="22"/>
          <w:szCs w:val="22"/>
        </w:rPr>
        <w:t xml:space="preserve"> </w:t>
      </w:r>
      <w:proofErr w:type="spellStart"/>
      <w:r w:rsidRPr="009D525A">
        <w:rPr>
          <w:rFonts w:eastAsia="Calibri" w:cs="Arial"/>
          <w:sz w:val="22"/>
          <w:szCs w:val="22"/>
        </w:rPr>
        <w:t>Werksmans</w:t>
      </w:r>
      <w:proofErr w:type="spellEnd"/>
      <w:r w:rsidRPr="009D525A">
        <w:rPr>
          <w:rFonts w:eastAsia="Calibri" w:cs="Arial"/>
          <w:sz w:val="22"/>
          <w:szCs w:val="22"/>
        </w:rPr>
        <w:t xml:space="preserve"> Attorneys of </w:t>
      </w:r>
      <w:proofErr w:type="spellStart"/>
      <w:r w:rsidRPr="009D525A">
        <w:rPr>
          <w:rFonts w:eastAsia="Calibri" w:cs="Arial"/>
          <w:sz w:val="22"/>
          <w:szCs w:val="22"/>
        </w:rPr>
        <w:t>Sandton</w:t>
      </w:r>
      <w:proofErr w:type="spellEnd"/>
      <w:r w:rsidRPr="009D525A">
        <w:rPr>
          <w:rFonts w:eastAsia="Calibri" w:cs="Arial"/>
          <w:sz w:val="22"/>
          <w:szCs w:val="22"/>
        </w:rPr>
        <w:t xml:space="preserve"> were used to conduct the process on behalf of the Registrar. </w:t>
      </w:r>
      <w:r>
        <w:rPr>
          <w:rFonts w:eastAsia="Calibri" w:cs="Arial"/>
          <w:sz w:val="22"/>
          <w:szCs w:val="22"/>
        </w:rPr>
        <w:t>(b) (</w:t>
      </w:r>
      <w:proofErr w:type="spellStart"/>
      <w:r>
        <w:rPr>
          <w:rFonts w:eastAsia="Calibri" w:cs="Arial"/>
          <w:sz w:val="22"/>
          <w:szCs w:val="22"/>
        </w:rPr>
        <w:t>i</w:t>
      </w:r>
      <w:proofErr w:type="spellEnd"/>
      <w:r>
        <w:rPr>
          <w:rFonts w:eastAsia="Calibri" w:cs="Arial"/>
          <w:sz w:val="22"/>
          <w:szCs w:val="22"/>
        </w:rPr>
        <w:t xml:space="preserve">) </w:t>
      </w:r>
      <w:r w:rsidRPr="009D525A">
        <w:rPr>
          <w:rFonts w:eastAsia="Calibri" w:cs="Arial"/>
          <w:sz w:val="22"/>
          <w:szCs w:val="22"/>
        </w:rPr>
        <w:t xml:space="preserve">The total costs amounted to some R11,8 million, which included the fees of Commissioner </w:t>
      </w:r>
      <w:proofErr w:type="spellStart"/>
      <w:r w:rsidRPr="009D525A">
        <w:rPr>
          <w:rFonts w:eastAsia="Calibri" w:cs="Arial"/>
          <w:sz w:val="22"/>
          <w:szCs w:val="22"/>
        </w:rPr>
        <w:t>Myburgh</w:t>
      </w:r>
      <w:proofErr w:type="spellEnd"/>
      <w:r w:rsidRPr="009D525A">
        <w:rPr>
          <w:rFonts w:eastAsia="Calibri" w:cs="Arial"/>
          <w:sz w:val="22"/>
          <w:szCs w:val="22"/>
        </w:rPr>
        <w:t xml:space="preserve"> and his two assistants.</w:t>
      </w:r>
    </w:p>
    <w:p w14:paraId="248119DF" w14:textId="77777777" w:rsidR="001E6902" w:rsidRPr="009D525A" w:rsidRDefault="001E6902" w:rsidP="007A527D">
      <w:pPr>
        <w:pStyle w:val="ListParagraph"/>
        <w:spacing w:line="360" w:lineRule="auto"/>
        <w:ind w:left="1050"/>
        <w:rPr>
          <w:rFonts w:cs="Arial"/>
          <w:sz w:val="22"/>
          <w:szCs w:val="22"/>
        </w:rPr>
      </w:pPr>
    </w:p>
    <w:p w14:paraId="07CA4ED7" w14:textId="77777777" w:rsidR="00B77F67" w:rsidRPr="001B0917" w:rsidRDefault="00B77F67" w:rsidP="007A527D">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6AA"/>
    <w:multiLevelType w:val="hybridMultilevel"/>
    <w:tmpl w:val="1352797E"/>
    <w:lvl w:ilvl="0" w:tplc="7CBC94E0">
      <w:start w:val="1"/>
      <w:numFmt w:val="decimal"/>
      <w:lvlText w:val="(%1)"/>
      <w:lvlJc w:val="left"/>
      <w:pPr>
        <w:ind w:left="1050" w:hanging="69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953"/>
    <w:multiLevelType w:val="hybridMultilevel"/>
    <w:tmpl w:val="D9260B34"/>
    <w:lvl w:ilvl="0" w:tplc="EEBAD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2311F"/>
    <w:multiLevelType w:val="multilevel"/>
    <w:tmpl w:val="1C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AB36C3"/>
    <w:multiLevelType w:val="hybridMultilevel"/>
    <w:tmpl w:val="0D32B938"/>
    <w:lvl w:ilvl="0" w:tplc="80584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D3A7F"/>
    <w:multiLevelType w:val="hybridMultilevel"/>
    <w:tmpl w:val="C284E916"/>
    <w:lvl w:ilvl="0" w:tplc="C5E0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EDF1693"/>
    <w:multiLevelType w:val="hybridMultilevel"/>
    <w:tmpl w:val="404020B0"/>
    <w:lvl w:ilvl="0" w:tplc="5F52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5"/>
    <w:rsid w:val="00020C04"/>
    <w:rsid w:val="000677BA"/>
    <w:rsid w:val="000A376C"/>
    <w:rsid w:val="000C48D8"/>
    <w:rsid w:val="000F3B14"/>
    <w:rsid w:val="001433AE"/>
    <w:rsid w:val="0015727B"/>
    <w:rsid w:val="001713D2"/>
    <w:rsid w:val="00180670"/>
    <w:rsid w:val="001B0917"/>
    <w:rsid w:val="001E3FB5"/>
    <w:rsid w:val="001E6902"/>
    <w:rsid w:val="002F6E86"/>
    <w:rsid w:val="003421BD"/>
    <w:rsid w:val="00497385"/>
    <w:rsid w:val="005141B3"/>
    <w:rsid w:val="00574E19"/>
    <w:rsid w:val="00602D71"/>
    <w:rsid w:val="00613FC6"/>
    <w:rsid w:val="006239F1"/>
    <w:rsid w:val="00624D20"/>
    <w:rsid w:val="0062770E"/>
    <w:rsid w:val="0064275F"/>
    <w:rsid w:val="00647EF2"/>
    <w:rsid w:val="00653A85"/>
    <w:rsid w:val="007118EA"/>
    <w:rsid w:val="00726A9C"/>
    <w:rsid w:val="007359BF"/>
    <w:rsid w:val="007914E0"/>
    <w:rsid w:val="007A32AF"/>
    <w:rsid w:val="007A527D"/>
    <w:rsid w:val="007B1BA1"/>
    <w:rsid w:val="00835A0C"/>
    <w:rsid w:val="00891265"/>
    <w:rsid w:val="008C2559"/>
    <w:rsid w:val="00911717"/>
    <w:rsid w:val="009163A5"/>
    <w:rsid w:val="009276BD"/>
    <w:rsid w:val="00953363"/>
    <w:rsid w:val="0096007E"/>
    <w:rsid w:val="009A18A7"/>
    <w:rsid w:val="009D525A"/>
    <w:rsid w:val="00A27751"/>
    <w:rsid w:val="00A525F0"/>
    <w:rsid w:val="00A72B9B"/>
    <w:rsid w:val="00AD00CE"/>
    <w:rsid w:val="00AD5C9B"/>
    <w:rsid w:val="00B00384"/>
    <w:rsid w:val="00B447E6"/>
    <w:rsid w:val="00B77F67"/>
    <w:rsid w:val="00BD31C6"/>
    <w:rsid w:val="00C25C7E"/>
    <w:rsid w:val="00C312EA"/>
    <w:rsid w:val="00C44C35"/>
    <w:rsid w:val="00C60822"/>
    <w:rsid w:val="00C6640A"/>
    <w:rsid w:val="00CC2F3E"/>
    <w:rsid w:val="00DB2463"/>
    <w:rsid w:val="00DD5296"/>
    <w:rsid w:val="00DF0D26"/>
    <w:rsid w:val="00E77DF6"/>
    <w:rsid w:val="00E8352B"/>
    <w:rsid w:val="00EA6A49"/>
    <w:rsid w:val="00EC3B7E"/>
    <w:rsid w:val="00F51C17"/>
    <w:rsid w:val="00F5571A"/>
    <w:rsid w:val="00F64E0F"/>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23D1C"/>
  <w15:docId w15:val="{966A071A-74E8-4006-B598-5FA241A4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180670"/>
    <w:pPr>
      <w:spacing w:line="480" w:lineRule="auto"/>
      <w:ind w:left="720"/>
      <w:contextualSpacing/>
      <w:jc w:val="both"/>
    </w:pPr>
    <w:rPr>
      <w:rFonts w:ascii="Arial" w:eastAsiaTheme="minorHAnsi" w:hAnsi="Arial" w:cstheme="minorBidi"/>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DD90-4341-468E-86C0-EF36F0A7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dcterms:created xsi:type="dcterms:W3CDTF">2016-11-15T07:35:00Z</dcterms:created>
  <dcterms:modified xsi:type="dcterms:W3CDTF">2016-11-15T07:35:00Z</dcterms:modified>
</cp:coreProperties>
</file>