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C31C25"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600450" cy="1352550"/>
            <wp:effectExtent l="19050" t="0" r="0"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600450" cy="1352550"/>
                    </a:xfrm>
                    <a:prstGeom prst="rect">
                      <a:avLst/>
                    </a:prstGeom>
                    <a:noFill/>
                    <a:ln w="9525">
                      <a:noFill/>
                      <a:miter lim="800000"/>
                      <a:headEnd/>
                      <a:tailEnd/>
                    </a:ln>
                  </pic:spPr>
                </pic:pic>
              </a:graphicData>
            </a:graphic>
          </wp:inline>
        </w:drawing>
      </w: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p>
    <w:p w:rsidR="00FF0A07" w:rsidRPr="00FF0A07" w:rsidRDefault="00FF0A07" w:rsidP="00FF0A07">
      <w:pPr>
        <w:spacing w:after="0" w:line="320" w:lineRule="exact"/>
        <w:jc w:val="both"/>
        <w:rPr>
          <w:rFonts w:ascii="Arial Narrow" w:eastAsia="Times New Roman" w:hAnsi="Arial Narrow" w:cs="Arial"/>
          <w:b/>
          <w:bCs/>
          <w:sz w:val="24"/>
          <w:szCs w:val="24"/>
          <w:lang w:val="en-GB"/>
        </w:rPr>
      </w:pPr>
      <w:r w:rsidRPr="00FF0A07">
        <w:rPr>
          <w:rFonts w:ascii="Arial Narrow" w:eastAsia="Times New Roman" w:hAnsi="Arial Narrow" w:cs="Arial"/>
          <w:b/>
          <w:bCs/>
          <w:sz w:val="24"/>
          <w:szCs w:val="24"/>
          <w:lang w:val="en-GB"/>
        </w:rPr>
        <w:t>QUESTION FOR WRITTEN REPLY</w:t>
      </w:r>
    </w:p>
    <w:p w:rsidR="00FF0A07" w:rsidRPr="00FF0A07" w:rsidRDefault="00FF0A07" w:rsidP="00FF0A07">
      <w:pPr>
        <w:spacing w:after="0" w:line="320" w:lineRule="exact"/>
        <w:jc w:val="both"/>
        <w:rPr>
          <w:rFonts w:ascii="Arial Narrow" w:eastAsia="Times New Roman" w:hAnsi="Arial Narrow" w:cs="Arial"/>
          <w:b/>
          <w:bCs/>
          <w:sz w:val="24"/>
          <w:szCs w:val="24"/>
          <w:lang w:val="en-GB"/>
        </w:rPr>
      </w:pPr>
    </w:p>
    <w:p w:rsidR="00FF0A07" w:rsidRPr="00FF0A07" w:rsidRDefault="003949F7" w:rsidP="00FF0A07">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NO.1698</w:t>
      </w:r>
    </w:p>
    <w:p w:rsidR="00FF0A07" w:rsidRPr="00FF0A07" w:rsidRDefault="00FF0A07" w:rsidP="00FF0A07">
      <w:pPr>
        <w:spacing w:after="0" w:line="240" w:lineRule="auto"/>
        <w:rPr>
          <w:rFonts w:ascii="Arial Narrow" w:eastAsia="Times New Roman" w:hAnsi="Arial Narrow"/>
          <w:sz w:val="24"/>
          <w:szCs w:val="24"/>
          <w:lang w:val="en-GB"/>
        </w:rPr>
      </w:pPr>
    </w:p>
    <w:p w:rsidR="00FF0A07" w:rsidRPr="00FF0A07" w:rsidRDefault="00A240AF" w:rsidP="00FF0A07">
      <w:pPr>
        <w:spacing w:after="0" w:line="320" w:lineRule="exact"/>
        <w:jc w:val="both"/>
        <w:rPr>
          <w:rFonts w:ascii="Arial Narrow" w:eastAsia="Times New Roman" w:hAnsi="Arial Narrow" w:cs="Arial"/>
          <w:b/>
          <w:bCs/>
          <w:sz w:val="24"/>
          <w:szCs w:val="24"/>
          <w:lang w:val="en-GB"/>
        </w:rPr>
      </w:pPr>
      <w:r w:rsidRPr="00FF0A07">
        <w:rPr>
          <w:rFonts w:ascii="Arial Narrow" w:eastAsia="Times New Roman" w:hAnsi="Arial Narrow" w:cs="Arial"/>
          <w:b/>
          <w:bCs/>
          <w:sz w:val="24"/>
          <w:szCs w:val="24"/>
          <w:lang w:val="en-GB"/>
        </w:rPr>
        <w:t>DA</w:t>
      </w:r>
      <w:r w:rsidR="00D070E4">
        <w:rPr>
          <w:rFonts w:ascii="Arial Narrow" w:eastAsia="Times New Roman" w:hAnsi="Arial Narrow" w:cs="Arial"/>
          <w:b/>
          <w:bCs/>
          <w:sz w:val="24"/>
          <w:szCs w:val="24"/>
          <w:lang w:val="en-GB"/>
        </w:rPr>
        <w:t xml:space="preserve">TE </w:t>
      </w:r>
      <w:r w:rsidR="005234FC">
        <w:rPr>
          <w:rFonts w:ascii="Arial Narrow" w:eastAsia="Times New Roman" w:hAnsi="Arial Narrow" w:cs="Arial"/>
          <w:b/>
          <w:bCs/>
          <w:sz w:val="24"/>
          <w:szCs w:val="24"/>
          <w:lang w:val="en-GB"/>
        </w:rPr>
        <w:t>OF PUBLICATION: FRIDAY, 12</w:t>
      </w:r>
      <w:r w:rsidR="002624E3">
        <w:rPr>
          <w:rFonts w:ascii="Arial Narrow" w:eastAsia="Times New Roman" w:hAnsi="Arial Narrow" w:cs="Arial"/>
          <w:b/>
          <w:bCs/>
          <w:sz w:val="24"/>
          <w:szCs w:val="24"/>
          <w:lang w:val="en-GB"/>
        </w:rPr>
        <w:t xml:space="preserve"> MAY</w:t>
      </w:r>
      <w:r w:rsidRPr="00FF0A07">
        <w:rPr>
          <w:rFonts w:ascii="Arial Narrow" w:eastAsia="Times New Roman" w:hAnsi="Arial Narrow" w:cs="Arial"/>
          <w:b/>
          <w:bCs/>
          <w:sz w:val="24"/>
          <w:szCs w:val="24"/>
          <w:lang w:val="en-GB"/>
        </w:rPr>
        <w:t xml:space="preserve"> 2023</w:t>
      </w:r>
    </w:p>
    <w:p w:rsidR="00FF0A07" w:rsidRPr="00FF0A07" w:rsidRDefault="00FF0A07" w:rsidP="00FF0A07">
      <w:pPr>
        <w:spacing w:after="0" w:line="320" w:lineRule="exact"/>
        <w:jc w:val="both"/>
        <w:rPr>
          <w:rFonts w:ascii="Arial Narrow" w:eastAsia="Times New Roman" w:hAnsi="Arial Narrow" w:cs="Arial"/>
          <w:b/>
          <w:bCs/>
          <w:sz w:val="24"/>
          <w:szCs w:val="24"/>
          <w:lang w:val="en-GB"/>
        </w:rPr>
      </w:pPr>
    </w:p>
    <w:p w:rsidR="00FF0A07" w:rsidRPr="00FF0A07" w:rsidRDefault="005234FC" w:rsidP="00FF0A07">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16</w:t>
      </w:r>
      <w:r w:rsidR="00FF0A07" w:rsidRPr="00FF0A07">
        <w:rPr>
          <w:rFonts w:ascii="Arial Narrow" w:eastAsia="Times New Roman" w:hAnsi="Arial Narrow" w:cs="Arial"/>
          <w:b/>
          <w:bCs/>
          <w:sz w:val="24"/>
          <w:szCs w:val="24"/>
          <w:lang w:val="en-GB"/>
        </w:rPr>
        <w:t xml:space="preserve"> – 2023</w:t>
      </w:r>
    </w:p>
    <w:p w:rsidR="00FF0A07" w:rsidRPr="00FF0A07" w:rsidRDefault="00FF0A07" w:rsidP="00FF0A07">
      <w:pPr>
        <w:spacing w:after="0" w:line="240" w:lineRule="auto"/>
        <w:rPr>
          <w:rFonts w:ascii="Arial Narrow" w:eastAsia="Times New Roman" w:hAnsi="Arial Narrow"/>
          <w:sz w:val="24"/>
          <w:szCs w:val="24"/>
          <w:lang w:val="en-GB"/>
        </w:rPr>
      </w:pPr>
    </w:p>
    <w:p w:rsidR="00FF0A07" w:rsidRPr="00FF0A07" w:rsidRDefault="003949F7" w:rsidP="000940DF">
      <w:pPr>
        <w:spacing w:before="100" w:beforeAutospacing="1" w:after="100" w:afterAutospacing="1" w:line="320" w:lineRule="atLeast"/>
        <w:jc w:val="both"/>
        <w:rPr>
          <w:rFonts w:ascii="Arial" w:hAnsi="Arial" w:cs="Arial"/>
          <w:b/>
          <w:sz w:val="24"/>
          <w:szCs w:val="24"/>
          <w:lang w:val="en-US"/>
        </w:rPr>
      </w:pPr>
      <w:r w:rsidRPr="003949F7">
        <w:rPr>
          <w:rFonts w:ascii="Arial" w:hAnsi="Arial" w:cs="Arial"/>
          <w:b/>
          <w:bCs/>
          <w:sz w:val="24"/>
          <w:szCs w:val="24"/>
          <w:lang w:val="en-GB"/>
        </w:rPr>
        <w:t>1698.</w:t>
      </w:r>
      <w:r w:rsidRPr="003949F7">
        <w:rPr>
          <w:rFonts w:ascii="Arial" w:hAnsi="Arial" w:cs="Arial"/>
          <w:b/>
          <w:bCs/>
          <w:sz w:val="24"/>
          <w:szCs w:val="24"/>
          <w:lang w:val="en-GB"/>
        </w:rPr>
        <w:tab/>
        <w:t xml:space="preserve">Mr J Engelbrecht (DA) </w:t>
      </w:r>
      <w:r w:rsidR="00FF0A07" w:rsidRPr="00FF0A07">
        <w:rPr>
          <w:rFonts w:ascii="Arial" w:hAnsi="Arial" w:cs="Arial"/>
          <w:b/>
          <w:sz w:val="24"/>
          <w:szCs w:val="24"/>
          <w:lang w:val="en-US"/>
        </w:rPr>
        <w:t>to ask the Minister of Home Affairs</w:t>
      </w:r>
    </w:p>
    <w:p w:rsidR="003949F7" w:rsidRPr="003949F7" w:rsidRDefault="003949F7" w:rsidP="009A15A4">
      <w:pPr>
        <w:spacing w:before="100" w:beforeAutospacing="1" w:after="100" w:afterAutospacing="1" w:line="320" w:lineRule="atLeast"/>
        <w:jc w:val="both"/>
        <w:outlineLvl w:val="0"/>
        <w:rPr>
          <w:rFonts w:ascii="Arial" w:hAnsi="Arial" w:cs="Arial"/>
          <w:b/>
          <w:sz w:val="24"/>
          <w:szCs w:val="24"/>
          <w:lang w:val="en-GB"/>
        </w:rPr>
      </w:pPr>
      <w:r w:rsidRPr="003949F7">
        <w:rPr>
          <w:rFonts w:ascii="Arial" w:hAnsi="Arial" w:cs="Arial"/>
          <w:sz w:val="24"/>
          <w:szCs w:val="24"/>
        </w:rPr>
        <w:t xml:space="preserve">Whether he will furnish Mr J Engelbrecht with a comprehensive breakdown of the procurement allocation of (a) his department and (b) every entity reporting to him in terms of the percentages allocated to (i) small-, medium- and micro-enterprises, (ii) cooperatives, (iii) township enterprises and (iv) rural enterprises with a view to evaluating the </w:t>
      </w:r>
      <w:r w:rsidR="000940DF">
        <w:rPr>
          <w:rFonts w:ascii="Arial" w:hAnsi="Arial" w:cs="Arial"/>
          <w:sz w:val="24"/>
          <w:szCs w:val="24"/>
        </w:rPr>
        <w:t xml:space="preserve"> e</w:t>
      </w:r>
      <w:r w:rsidRPr="003949F7">
        <w:rPr>
          <w:rFonts w:ascii="Arial" w:hAnsi="Arial" w:cs="Arial"/>
          <w:sz w:val="24"/>
          <w:szCs w:val="24"/>
        </w:rPr>
        <w:t>ffectiveness of the set-aside policy of the Government in fostering an inclusive and diverse economic landscape (details furnished) in the (aa) 2021-22 financial year and (bb) since 1 April 2023?</w:t>
      </w:r>
      <w:r w:rsidRPr="003949F7">
        <w:rPr>
          <w:rFonts w:ascii="Arial" w:hAnsi="Arial" w:cs="Arial"/>
          <w:sz w:val="24"/>
          <w:szCs w:val="24"/>
        </w:rPr>
        <w:tab/>
      </w:r>
      <w:r w:rsidRPr="003949F7">
        <w:rPr>
          <w:rFonts w:ascii="Arial" w:hAnsi="Arial" w:cs="Arial"/>
          <w:sz w:val="24"/>
          <w:szCs w:val="24"/>
        </w:rPr>
        <w:tab/>
      </w:r>
      <w:r w:rsidRPr="003949F7">
        <w:rPr>
          <w:rFonts w:ascii="Arial" w:hAnsi="Arial" w:cs="Arial"/>
          <w:sz w:val="24"/>
          <w:szCs w:val="24"/>
        </w:rPr>
        <w:tab/>
      </w:r>
      <w:r w:rsidRPr="003949F7">
        <w:rPr>
          <w:rFonts w:ascii="Arial" w:hAnsi="Arial" w:cs="Arial"/>
          <w:sz w:val="24"/>
          <w:szCs w:val="24"/>
        </w:rPr>
        <w:tab/>
      </w:r>
      <w:r w:rsidRPr="003949F7">
        <w:rPr>
          <w:rFonts w:ascii="Arial" w:hAnsi="Arial" w:cs="Arial"/>
          <w:sz w:val="24"/>
          <w:szCs w:val="24"/>
        </w:rPr>
        <w:tab/>
        <w:t>NW1939E</w:t>
      </w:r>
    </w:p>
    <w:p w:rsidR="00FF0A07" w:rsidRPr="00FF0A07" w:rsidRDefault="00FF0A07" w:rsidP="000940DF">
      <w:pPr>
        <w:spacing w:before="100" w:beforeAutospacing="1" w:after="100" w:afterAutospacing="1" w:line="320" w:lineRule="atLeast"/>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3949F7" w:rsidRPr="00E6038E" w:rsidRDefault="000940DF" w:rsidP="000940DF">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851"/>
        <w:contextualSpacing/>
        <w:jc w:val="both"/>
        <w:outlineLvl w:val="0"/>
        <w:rPr>
          <w:rFonts w:ascii="Arial" w:eastAsia="Times New Roman" w:hAnsi="Arial" w:cs="Arial"/>
          <w:b/>
          <w:bCs/>
          <w:sz w:val="24"/>
          <w:szCs w:val="24"/>
          <w:lang w:val="en-GB" w:eastAsia="en-ZA"/>
        </w:rPr>
      </w:pPr>
      <w:r>
        <w:rPr>
          <w:rFonts w:ascii="Arial" w:eastAsia="Times New Roman" w:hAnsi="Arial" w:cs="Arial"/>
          <w:bCs/>
          <w:sz w:val="24"/>
          <w:szCs w:val="24"/>
          <w:lang w:val="en-GB" w:eastAsia="en-ZA"/>
        </w:rPr>
        <w:tab/>
        <w:t xml:space="preserve"> </w:t>
      </w:r>
      <w:r w:rsidR="003949F7" w:rsidRPr="00E6038E">
        <w:rPr>
          <w:rFonts w:ascii="Arial" w:eastAsia="Times New Roman" w:hAnsi="Arial" w:cs="Arial"/>
          <w:b/>
          <w:bCs/>
          <w:sz w:val="24"/>
          <w:szCs w:val="24"/>
          <w:lang w:val="en-GB" w:eastAsia="en-ZA"/>
        </w:rPr>
        <w:t xml:space="preserve">Department of Home Affairs </w:t>
      </w:r>
      <w:r w:rsidR="009C5CBB">
        <w:rPr>
          <w:rFonts w:ascii="Arial" w:eastAsia="Times New Roman" w:hAnsi="Arial" w:cs="Arial"/>
          <w:b/>
          <w:bCs/>
          <w:sz w:val="24"/>
          <w:szCs w:val="24"/>
          <w:lang w:val="en-GB" w:eastAsia="en-ZA"/>
        </w:rPr>
        <w:t xml:space="preserve">and Border Management Authority </w:t>
      </w:r>
    </w:p>
    <w:p w:rsidR="003949F7" w:rsidRPr="003949F7" w:rsidRDefault="003949F7" w:rsidP="009A15A4">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851"/>
        <w:contextualSpacing/>
        <w:jc w:val="both"/>
        <w:outlineLvl w:val="0"/>
        <w:rPr>
          <w:rFonts w:ascii="Arial" w:eastAsia="Times New Roman" w:hAnsi="Arial" w:cs="Arial"/>
          <w:bCs/>
          <w:sz w:val="24"/>
          <w:szCs w:val="24"/>
          <w:lang w:val="en-GB" w:eastAsia="en-ZA"/>
        </w:rPr>
      </w:pPr>
    </w:p>
    <w:p w:rsidR="003949F7" w:rsidRDefault="003949F7" w:rsidP="009A15A4">
      <w:pPr>
        <w:numPr>
          <w:ilvl w:val="0"/>
          <w:numId w:val="3"/>
        </w:num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851"/>
        <w:contextualSpacing/>
        <w:jc w:val="both"/>
        <w:outlineLvl w:val="0"/>
        <w:rPr>
          <w:rFonts w:ascii="Arial" w:eastAsia="Times New Roman" w:hAnsi="Arial" w:cs="Arial"/>
          <w:bCs/>
          <w:sz w:val="24"/>
          <w:szCs w:val="24"/>
          <w:lang w:val="en-GB" w:eastAsia="en-ZA"/>
        </w:rPr>
      </w:pPr>
      <w:r w:rsidRPr="003949F7">
        <w:rPr>
          <w:rFonts w:ascii="Arial" w:eastAsia="Times New Roman" w:hAnsi="Arial" w:cs="Arial"/>
          <w:bCs/>
          <w:sz w:val="24"/>
          <w:szCs w:val="24"/>
          <w:lang w:val="en-GB" w:eastAsia="en-ZA"/>
        </w:rPr>
        <w:t xml:space="preserve">No, the Department has not </w:t>
      </w:r>
      <w:r w:rsidR="009A15A4">
        <w:rPr>
          <w:rFonts w:ascii="Arial" w:eastAsia="Times New Roman" w:hAnsi="Arial" w:cs="Arial"/>
          <w:bCs/>
          <w:sz w:val="24"/>
          <w:szCs w:val="24"/>
          <w:lang w:val="en-GB" w:eastAsia="en-ZA"/>
        </w:rPr>
        <w:t>set aside</w:t>
      </w:r>
      <w:r w:rsidRPr="003949F7">
        <w:rPr>
          <w:rFonts w:ascii="Arial" w:eastAsia="Times New Roman" w:hAnsi="Arial" w:cs="Arial"/>
          <w:bCs/>
          <w:sz w:val="24"/>
          <w:szCs w:val="24"/>
          <w:lang w:val="en-GB" w:eastAsia="en-ZA"/>
        </w:rPr>
        <w:t xml:space="preserve"> any specific percentages of its procurement allocation to (i) Small, Medium and Micro Enterprises (SMMEs), (ii) cooperatives, (iii) township enterprises or (iv) rural enterprises in the (aa) 2021/22 financial year and (bb) since 1 April 2023. When issuing bids, the Department targets Broad-based Black Economic Empowerment (BBBEE) </w:t>
      </w:r>
      <w:r w:rsidR="009A15A4">
        <w:rPr>
          <w:rFonts w:ascii="Arial" w:eastAsia="Times New Roman" w:hAnsi="Arial" w:cs="Arial"/>
          <w:bCs/>
          <w:sz w:val="24"/>
          <w:szCs w:val="24"/>
          <w:lang w:val="en-GB" w:eastAsia="en-ZA"/>
        </w:rPr>
        <w:t>Level</w:t>
      </w:r>
      <w:r w:rsidRPr="003949F7">
        <w:rPr>
          <w:rFonts w:ascii="Arial" w:eastAsia="Times New Roman" w:hAnsi="Arial" w:cs="Arial"/>
          <w:bCs/>
          <w:sz w:val="24"/>
          <w:szCs w:val="24"/>
          <w:lang w:val="en-GB" w:eastAsia="en-ZA"/>
        </w:rPr>
        <w:t xml:space="preserve"> 1 entities, Emerging Medium Enterprises (EME) or Qualifying Small Enterprises (QSE), 100% </w:t>
      </w:r>
      <w:r w:rsidR="009A15A4">
        <w:rPr>
          <w:rFonts w:ascii="Arial" w:eastAsia="Times New Roman" w:hAnsi="Arial" w:cs="Arial"/>
          <w:bCs/>
          <w:sz w:val="24"/>
          <w:szCs w:val="24"/>
          <w:lang w:val="en-GB" w:eastAsia="en-ZA"/>
        </w:rPr>
        <w:t>Black-owned</w:t>
      </w:r>
      <w:r w:rsidRPr="003949F7">
        <w:rPr>
          <w:rFonts w:ascii="Arial" w:eastAsia="Times New Roman" w:hAnsi="Arial" w:cs="Arial"/>
          <w:bCs/>
          <w:sz w:val="24"/>
          <w:szCs w:val="24"/>
          <w:lang w:val="en-GB" w:eastAsia="en-ZA"/>
        </w:rPr>
        <w:t xml:space="preserve"> entities with </w:t>
      </w:r>
      <w:r w:rsidR="009A15A4">
        <w:rPr>
          <w:rFonts w:ascii="Arial" w:eastAsia="Times New Roman" w:hAnsi="Arial" w:cs="Arial"/>
          <w:bCs/>
          <w:sz w:val="24"/>
          <w:szCs w:val="24"/>
          <w:lang w:val="en-GB" w:eastAsia="en-ZA"/>
        </w:rPr>
        <w:t xml:space="preserve">a </w:t>
      </w:r>
      <w:r w:rsidRPr="003949F7">
        <w:rPr>
          <w:rFonts w:ascii="Arial" w:eastAsia="Times New Roman" w:hAnsi="Arial" w:cs="Arial"/>
          <w:bCs/>
          <w:sz w:val="24"/>
          <w:szCs w:val="24"/>
          <w:lang w:val="en-GB" w:eastAsia="en-ZA"/>
        </w:rPr>
        <w:t>preference for Black youth, Black women, or Black people with disability.</w:t>
      </w:r>
    </w:p>
    <w:p w:rsidR="003949F7" w:rsidRPr="003949F7" w:rsidRDefault="003949F7" w:rsidP="009A15A4">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210"/>
        <w:contextualSpacing/>
        <w:jc w:val="both"/>
        <w:outlineLvl w:val="0"/>
        <w:rPr>
          <w:rFonts w:ascii="Arial" w:eastAsia="Times New Roman" w:hAnsi="Arial" w:cs="Arial"/>
          <w:bCs/>
          <w:sz w:val="24"/>
          <w:szCs w:val="24"/>
          <w:lang w:val="en-GB" w:eastAsia="en-ZA"/>
        </w:rPr>
      </w:pPr>
    </w:p>
    <w:p w:rsidR="003949F7" w:rsidRDefault="003949F7" w:rsidP="009A15A4">
      <w:pPr>
        <w:numPr>
          <w:ilvl w:val="0"/>
          <w:numId w:val="3"/>
        </w:num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left="851" w:hanging="851"/>
        <w:jc w:val="both"/>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 xml:space="preserve">No, the Border Management Authority </w:t>
      </w:r>
      <w:r w:rsidR="000940DF">
        <w:rPr>
          <w:rFonts w:ascii="Arial" w:eastAsia="Times New Roman" w:hAnsi="Arial" w:cs="Arial"/>
          <w:bCs/>
          <w:sz w:val="24"/>
          <w:szCs w:val="24"/>
          <w:lang w:eastAsia="en-ZA"/>
        </w:rPr>
        <w:t xml:space="preserve">(BMA) </w:t>
      </w:r>
      <w:r w:rsidRPr="003949F7">
        <w:rPr>
          <w:rFonts w:ascii="Arial" w:eastAsia="Times New Roman" w:hAnsi="Arial" w:cs="Arial"/>
          <w:bCs/>
          <w:sz w:val="24"/>
          <w:szCs w:val="24"/>
          <w:lang w:eastAsia="en-ZA"/>
        </w:rPr>
        <w:t xml:space="preserve">has not set aside any specific percentages of its procurement allocations to (i) SMMEs, (ii) cooperatives, (iii) township enterprises or (iv) rural enterprises in the (aa) 2021/22 financial year and (bb) since 1 April 2023. When issuing bids, the </w:t>
      </w:r>
      <w:r w:rsidR="000940DF">
        <w:rPr>
          <w:rFonts w:ascii="Arial" w:eastAsia="Times New Roman" w:hAnsi="Arial" w:cs="Arial"/>
          <w:bCs/>
          <w:sz w:val="24"/>
          <w:szCs w:val="24"/>
          <w:lang w:eastAsia="en-ZA"/>
        </w:rPr>
        <w:t xml:space="preserve">BMA </w:t>
      </w:r>
      <w:r w:rsidRPr="003949F7">
        <w:rPr>
          <w:rFonts w:ascii="Arial" w:eastAsia="Times New Roman" w:hAnsi="Arial" w:cs="Arial"/>
          <w:bCs/>
          <w:sz w:val="24"/>
          <w:szCs w:val="24"/>
          <w:lang w:eastAsia="en-ZA"/>
        </w:rPr>
        <w:t xml:space="preserve">targets Broad-based Black Economic Empowerment (BBBEE) </w:t>
      </w:r>
      <w:r w:rsidR="009A15A4">
        <w:rPr>
          <w:rFonts w:ascii="Arial" w:eastAsia="Times New Roman" w:hAnsi="Arial" w:cs="Arial"/>
          <w:bCs/>
          <w:sz w:val="24"/>
          <w:szCs w:val="24"/>
          <w:lang w:eastAsia="en-ZA"/>
        </w:rPr>
        <w:t>Level</w:t>
      </w:r>
      <w:r w:rsidRPr="003949F7">
        <w:rPr>
          <w:rFonts w:ascii="Arial" w:eastAsia="Times New Roman" w:hAnsi="Arial" w:cs="Arial"/>
          <w:bCs/>
          <w:sz w:val="24"/>
          <w:szCs w:val="24"/>
          <w:lang w:eastAsia="en-ZA"/>
        </w:rPr>
        <w:t xml:space="preserve"> 1 entities, Emerging Medium Enterprises (EME) or Qualifying Small Enterprises (QSE), 100% </w:t>
      </w:r>
      <w:r w:rsidR="009A15A4">
        <w:rPr>
          <w:rFonts w:ascii="Arial" w:eastAsia="Times New Roman" w:hAnsi="Arial" w:cs="Arial"/>
          <w:bCs/>
          <w:sz w:val="24"/>
          <w:szCs w:val="24"/>
          <w:lang w:eastAsia="en-ZA"/>
        </w:rPr>
        <w:t>Black-owned</w:t>
      </w:r>
      <w:r w:rsidRPr="003949F7">
        <w:rPr>
          <w:rFonts w:ascii="Arial" w:eastAsia="Times New Roman" w:hAnsi="Arial" w:cs="Arial"/>
          <w:bCs/>
          <w:sz w:val="24"/>
          <w:szCs w:val="24"/>
          <w:lang w:eastAsia="en-ZA"/>
        </w:rPr>
        <w:t xml:space="preserve"> entities with </w:t>
      </w:r>
      <w:r w:rsidR="009A15A4">
        <w:rPr>
          <w:rFonts w:ascii="Arial" w:eastAsia="Times New Roman" w:hAnsi="Arial" w:cs="Arial"/>
          <w:bCs/>
          <w:sz w:val="24"/>
          <w:szCs w:val="24"/>
          <w:lang w:eastAsia="en-ZA"/>
        </w:rPr>
        <w:t xml:space="preserve">a </w:t>
      </w:r>
      <w:r w:rsidRPr="003949F7">
        <w:rPr>
          <w:rFonts w:ascii="Arial" w:eastAsia="Times New Roman" w:hAnsi="Arial" w:cs="Arial"/>
          <w:bCs/>
          <w:sz w:val="24"/>
          <w:szCs w:val="24"/>
          <w:lang w:eastAsia="en-ZA"/>
        </w:rPr>
        <w:t>preference for Black youth, Black women, or Black people with disability.</w:t>
      </w:r>
    </w:p>
    <w:p w:rsidR="003949F7" w:rsidRPr="003949F7" w:rsidRDefault="003949F7" w:rsidP="009A15A4">
      <w:pPr>
        <w:pStyle w:val="ListParagraph"/>
        <w:numPr>
          <w:ilvl w:val="0"/>
          <w:numId w:val="6"/>
        </w:numPr>
        <w:tabs>
          <w:tab w:val="left" w:pos="851"/>
        </w:tabs>
        <w:ind w:left="851" w:hanging="851"/>
        <w:jc w:val="both"/>
        <w:rPr>
          <w:rFonts w:ascii="Arial" w:eastAsia="Times New Roman" w:hAnsi="Arial" w:cs="Arial"/>
          <w:b/>
          <w:bCs/>
          <w:sz w:val="24"/>
          <w:szCs w:val="24"/>
          <w:lang w:val="en-GB" w:eastAsia="en-ZA"/>
        </w:rPr>
      </w:pPr>
      <w:r w:rsidRPr="003949F7">
        <w:rPr>
          <w:rFonts w:ascii="Arial" w:eastAsia="Times New Roman" w:hAnsi="Arial" w:cs="Arial"/>
          <w:b/>
          <w:bCs/>
          <w:sz w:val="24"/>
          <w:szCs w:val="24"/>
          <w:lang w:val="en-GB" w:eastAsia="en-ZA"/>
        </w:rPr>
        <w:lastRenderedPageBreak/>
        <w:t xml:space="preserve">Government Printing Works </w:t>
      </w:r>
    </w:p>
    <w:p w:rsidR="003949F7" w:rsidRDefault="003949F7" w:rsidP="009A15A4">
      <w:pPr>
        <w:pStyle w:val="ListParagraph"/>
        <w:jc w:val="both"/>
        <w:rPr>
          <w:rFonts w:ascii="Arial" w:eastAsia="Times New Roman" w:hAnsi="Arial" w:cs="Arial"/>
          <w:bCs/>
          <w:sz w:val="24"/>
          <w:szCs w:val="24"/>
          <w:lang w:eastAsia="en-ZA"/>
        </w:rPr>
      </w:pPr>
    </w:p>
    <w:p w:rsidR="003949F7" w:rsidRPr="003949F7" w:rsidRDefault="003949F7" w:rsidP="009A15A4">
      <w:pPr>
        <w:pStyle w:val="ListParagraph"/>
        <w:ind w:left="851"/>
        <w:jc w:val="both"/>
        <w:rPr>
          <w:rFonts w:ascii="Arial" w:eastAsia="Times New Roman" w:hAnsi="Arial" w:cs="Arial"/>
          <w:bCs/>
          <w:sz w:val="24"/>
          <w:szCs w:val="24"/>
          <w:lang w:val="en-GB" w:eastAsia="en-ZA"/>
        </w:rPr>
      </w:pPr>
      <w:r w:rsidRPr="003949F7">
        <w:rPr>
          <w:rFonts w:ascii="Arial" w:eastAsia="Times New Roman" w:hAnsi="Arial" w:cs="Arial"/>
          <w:bCs/>
          <w:sz w:val="24"/>
          <w:szCs w:val="24"/>
          <w:lang w:val="en-GB" w:eastAsia="en-ZA"/>
        </w:rPr>
        <w:t xml:space="preserve">The departmental allocation for respective categories of businesses and applicable financial years is contained in the table below. In line with the below, the Exempted Micro Enterprises (EME) and Qualifying Small Enterprises (QSE) </w:t>
      </w:r>
      <w:r w:rsidR="009A15A4">
        <w:rPr>
          <w:rFonts w:ascii="Arial" w:eastAsia="Times New Roman" w:hAnsi="Arial" w:cs="Arial"/>
          <w:bCs/>
          <w:sz w:val="24"/>
          <w:szCs w:val="24"/>
          <w:lang w:val="en-GB" w:eastAsia="en-ZA"/>
        </w:rPr>
        <w:t>represent</w:t>
      </w:r>
      <w:r w:rsidRPr="003949F7">
        <w:rPr>
          <w:rFonts w:ascii="Arial" w:eastAsia="Times New Roman" w:hAnsi="Arial" w:cs="Arial"/>
          <w:bCs/>
          <w:sz w:val="24"/>
          <w:szCs w:val="24"/>
          <w:lang w:val="en-GB" w:eastAsia="en-ZA"/>
        </w:rPr>
        <w:t xml:space="preserve"> small, medium and micro enterprises.</w:t>
      </w:r>
    </w:p>
    <w:p w:rsidR="003949F7" w:rsidRDefault="003949F7" w:rsidP="003949F7">
      <w:pPr>
        <w:pStyle w:val="ListParagraph"/>
        <w:rPr>
          <w:rFonts w:ascii="Arial" w:eastAsia="Times New Roman" w:hAnsi="Arial" w:cs="Arial"/>
          <w:bCs/>
          <w:sz w:val="24"/>
          <w:szCs w:val="24"/>
          <w:lang w:eastAsia="en-ZA"/>
        </w:rPr>
      </w:pPr>
    </w:p>
    <w:tbl>
      <w:tblPr>
        <w:tblpPr w:leftFromText="180" w:rightFromText="180" w:vertAnchor="text" w:horzAnchor="margin" w:tblpXSpec="center" w:tblpY="1"/>
        <w:tblW w:w="8671" w:type="dxa"/>
        <w:tblLook w:val="04A0"/>
      </w:tblPr>
      <w:tblGrid>
        <w:gridCol w:w="2084"/>
        <w:gridCol w:w="2877"/>
        <w:gridCol w:w="2412"/>
        <w:gridCol w:w="2230"/>
      </w:tblGrid>
      <w:tr w:rsidR="003949F7" w:rsidRPr="003949F7" w:rsidTr="00F97881">
        <w:trPr>
          <w:trHeight w:val="295"/>
        </w:trPr>
        <w:tc>
          <w:tcPr>
            <w:tcW w:w="13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3949F7" w:rsidRPr="003949F7" w:rsidRDefault="003949F7" w:rsidP="003949F7">
            <w:pPr>
              <w:pStyle w:val="ListParagraph"/>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Response</w:t>
            </w:r>
          </w:p>
        </w:tc>
        <w:tc>
          <w:tcPr>
            <w:tcW w:w="2877" w:type="dxa"/>
            <w:tcBorders>
              <w:top w:val="single" w:sz="4" w:space="0" w:color="auto"/>
              <w:left w:val="single" w:sz="4" w:space="0" w:color="auto"/>
              <w:bottom w:val="single" w:sz="4" w:space="0" w:color="auto"/>
              <w:right w:val="single" w:sz="4" w:space="0" w:color="auto"/>
            </w:tcBorders>
            <w:shd w:val="clear" w:color="000000" w:fill="D9D9D9"/>
            <w:vAlign w:val="bottom"/>
          </w:tcPr>
          <w:p w:rsidR="003949F7" w:rsidRPr="003949F7" w:rsidRDefault="003949F7" w:rsidP="003949F7">
            <w:pPr>
              <w:pStyle w:val="ListParagraph"/>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Classification</w:t>
            </w:r>
          </w:p>
        </w:tc>
        <w:tc>
          <w:tcPr>
            <w:tcW w:w="2412" w:type="dxa"/>
            <w:tcBorders>
              <w:top w:val="single" w:sz="4" w:space="0" w:color="auto"/>
              <w:left w:val="single" w:sz="4" w:space="0" w:color="auto"/>
              <w:bottom w:val="single" w:sz="4" w:space="0" w:color="auto"/>
              <w:right w:val="single" w:sz="4" w:space="0" w:color="auto"/>
            </w:tcBorders>
            <w:shd w:val="clear" w:color="000000" w:fill="D9D9D9"/>
            <w:vAlign w:val="bottom"/>
          </w:tcPr>
          <w:p w:rsidR="003949F7" w:rsidRPr="003949F7" w:rsidRDefault="003949F7" w:rsidP="000940DF">
            <w:pPr>
              <w:pStyle w:val="ListParagraph"/>
              <w:ind w:left="139"/>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Total allocation</w:t>
            </w:r>
          </w:p>
        </w:tc>
        <w:tc>
          <w:tcPr>
            <w:tcW w:w="2014" w:type="dxa"/>
            <w:tcBorders>
              <w:top w:val="single" w:sz="4" w:space="0" w:color="auto"/>
              <w:left w:val="single" w:sz="4" w:space="0" w:color="auto"/>
              <w:bottom w:val="single" w:sz="4" w:space="0" w:color="auto"/>
              <w:right w:val="single" w:sz="4" w:space="0" w:color="auto"/>
            </w:tcBorders>
            <w:shd w:val="clear" w:color="000000" w:fill="D9D9D9"/>
            <w:vAlign w:val="bottom"/>
          </w:tcPr>
          <w:p w:rsidR="003949F7" w:rsidRPr="003949F7" w:rsidRDefault="003949F7" w:rsidP="003949F7">
            <w:pPr>
              <w:pStyle w:val="ListParagraph"/>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Percentage</w:t>
            </w:r>
          </w:p>
        </w:tc>
      </w:tr>
      <w:tr w:rsidR="003949F7" w:rsidRPr="003949F7" w:rsidTr="00F97881">
        <w:trPr>
          <w:trHeight w:val="295"/>
        </w:trPr>
        <w:tc>
          <w:tcPr>
            <w:tcW w:w="867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tcPr>
          <w:p w:rsidR="003949F7" w:rsidRPr="003949F7" w:rsidRDefault="003949F7" w:rsidP="003949F7">
            <w:pPr>
              <w:pStyle w:val="ListParagraph"/>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(aa) 2021/2022 Financial Year</w:t>
            </w: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 xml:space="preserve">b(i) </w:t>
            </w:r>
          </w:p>
        </w:tc>
        <w:tc>
          <w:tcPr>
            <w:tcW w:w="2877" w:type="dxa"/>
            <w:tcBorders>
              <w:top w:val="nil"/>
              <w:left w:val="nil"/>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SMMEs</w:t>
            </w:r>
          </w:p>
        </w:tc>
        <w:tc>
          <w:tcPr>
            <w:tcW w:w="2412" w:type="dxa"/>
            <w:tcBorders>
              <w:top w:val="nil"/>
              <w:left w:val="nil"/>
              <w:bottom w:val="single" w:sz="4" w:space="0" w:color="auto"/>
              <w:right w:val="single" w:sz="4" w:space="0" w:color="auto"/>
            </w:tcBorders>
            <w:shd w:val="clear" w:color="auto" w:fill="auto"/>
            <w:noWrap/>
          </w:tcPr>
          <w:p w:rsidR="003949F7" w:rsidRPr="000940DF" w:rsidRDefault="003949F7" w:rsidP="003949F7">
            <w:pPr>
              <w:pStyle w:val="ListParagraph"/>
              <w:rPr>
                <w:rFonts w:ascii="Arial" w:eastAsia="Times New Roman" w:hAnsi="Arial" w:cs="Arial"/>
                <w:bCs/>
                <w:sz w:val="24"/>
                <w:szCs w:val="24"/>
                <w:lang w:eastAsia="en-ZA"/>
              </w:rPr>
            </w:pPr>
          </w:p>
        </w:tc>
        <w:tc>
          <w:tcPr>
            <w:tcW w:w="2014" w:type="dxa"/>
            <w:tcBorders>
              <w:top w:val="nil"/>
              <w:left w:val="nil"/>
              <w:bottom w:val="single" w:sz="4" w:space="0" w:color="auto"/>
              <w:right w:val="single" w:sz="4" w:space="0" w:color="auto"/>
            </w:tcBorders>
            <w:shd w:val="clear" w:color="auto" w:fill="auto"/>
            <w:noWrap/>
          </w:tcPr>
          <w:p w:rsidR="003949F7" w:rsidRPr="000940DF" w:rsidRDefault="003949F7" w:rsidP="003949F7">
            <w:pPr>
              <w:pStyle w:val="ListParagraph"/>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p>
        </w:tc>
        <w:tc>
          <w:tcPr>
            <w:tcW w:w="2877" w:type="dxa"/>
            <w:tcBorders>
              <w:top w:val="nil"/>
              <w:left w:val="nil"/>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i/>
                <w:sz w:val="24"/>
                <w:szCs w:val="24"/>
                <w:lang w:eastAsia="en-ZA"/>
              </w:rPr>
            </w:pPr>
            <w:r w:rsidRPr="000940DF">
              <w:rPr>
                <w:rFonts w:ascii="Arial" w:eastAsia="Times New Roman" w:hAnsi="Arial" w:cs="Arial"/>
                <w:bCs/>
                <w:i/>
                <w:sz w:val="24"/>
                <w:szCs w:val="24"/>
                <w:lang w:eastAsia="en-ZA"/>
              </w:rPr>
              <w:t xml:space="preserve">EME </w:t>
            </w:r>
          </w:p>
        </w:tc>
        <w:tc>
          <w:tcPr>
            <w:tcW w:w="2412" w:type="dxa"/>
            <w:tcBorders>
              <w:top w:val="nil"/>
              <w:left w:val="nil"/>
              <w:bottom w:val="single" w:sz="4" w:space="0" w:color="auto"/>
              <w:right w:val="single" w:sz="4" w:space="0" w:color="auto"/>
            </w:tcBorders>
            <w:shd w:val="clear" w:color="auto" w:fill="auto"/>
            <w:noWrap/>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R161 013 937,00</w:t>
            </w:r>
          </w:p>
        </w:tc>
        <w:tc>
          <w:tcPr>
            <w:tcW w:w="2014" w:type="dxa"/>
            <w:tcBorders>
              <w:top w:val="nil"/>
              <w:left w:val="nil"/>
              <w:bottom w:val="single" w:sz="4" w:space="0" w:color="auto"/>
              <w:right w:val="single" w:sz="4" w:space="0" w:color="auto"/>
            </w:tcBorders>
            <w:shd w:val="clear" w:color="auto" w:fill="auto"/>
            <w:noWrap/>
          </w:tcPr>
          <w:p w:rsidR="003949F7" w:rsidRPr="000940DF" w:rsidRDefault="003949F7" w:rsidP="000940DF">
            <w:pPr>
              <w:pStyle w:val="ListParagraph"/>
              <w:ind w:hanging="444"/>
              <w:rPr>
                <w:rFonts w:ascii="Arial" w:eastAsia="Times New Roman" w:hAnsi="Arial" w:cs="Arial"/>
                <w:bCs/>
                <w:sz w:val="24"/>
                <w:szCs w:val="24"/>
                <w:lang w:eastAsia="en-ZA"/>
              </w:rPr>
            </w:pPr>
            <w:r w:rsidRPr="000940DF">
              <w:rPr>
                <w:rFonts w:ascii="Arial" w:eastAsia="Times New Roman" w:hAnsi="Arial" w:cs="Arial"/>
                <w:bCs/>
                <w:sz w:val="24"/>
                <w:szCs w:val="24"/>
                <w:lang w:eastAsia="en-ZA"/>
              </w:rPr>
              <w:t>3,62%</w:t>
            </w: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i/>
                <w:sz w:val="24"/>
                <w:szCs w:val="24"/>
                <w:lang w:eastAsia="en-ZA"/>
              </w:rPr>
            </w:pPr>
            <w:r w:rsidRPr="000940DF">
              <w:rPr>
                <w:rFonts w:ascii="Arial" w:eastAsia="Times New Roman" w:hAnsi="Arial" w:cs="Arial"/>
                <w:bCs/>
                <w:i/>
                <w:sz w:val="24"/>
                <w:szCs w:val="24"/>
                <w:lang w:eastAsia="en-ZA"/>
              </w:rPr>
              <w:t xml:space="preserve">QSE </w:t>
            </w:r>
          </w:p>
        </w:tc>
        <w:tc>
          <w:tcPr>
            <w:tcW w:w="2412" w:type="dxa"/>
            <w:tcBorders>
              <w:top w:val="nil"/>
              <w:left w:val="nil"/>
              <w:bottom w:val="single" w:sz="4" w:space="0" w:color="auto"/>
              <w:right w:val="single" w:sz="4" w:space="0" w:color="auto"/>
            </w:tcBorders>
            <w:shd w:val="clear" w:color="auto" w:fill="auto"/>
            <w:noWrap/>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R477 725 670,00</w:t>
            </w:r>
          </w:p>
        </w:tc>
        <w:tc>
          <w:tcPr>
            <w:tcW w:w="2014" w:type="dxa"/>
            <w:tcBorders>
              <w:top w:val="nil"/>
              <w:left w:val="nil"/>
              <w:bottom w:val="single" w:sz="4" w:space="0" w:color="auto"/>
              <w:right w:val="single" w:sz="4" w:space="0" w:color="auto"/>
            </w:tcBorders>
            <w:shd w:val="clear" w:color="auto" w:fill="auto"/>
            <w:noWrap/>
            <w:hideMark/>
          </w:tcPr>
          <w:p w:rsidR="003949F7" w:rsidRPr="000940DF" w:rsidRDefault="003949F7" w:rsidP="000940DF">
            <w:pPr>
              <w:pStyle w:val="ListParagraph"/>
              <w:ind w:hanging="444"/>
              <w:rPr>
                <w:rFonts w:ascii="Arial" w:eastAsia="Times New Roman" w:hAnsi="Arial" w:cs="Arial"/>
                <w:bCs/>
                <w:sz w:val="24"/>
                <w:szCs w:val="24"/>
                <w:lang w:eastAsia="en-ZA"/>
              </w:rPr>
            </w:pPr>
            <w:r w:rsidRPr="000940DF">
              <w:rPr>
                <w:rFonts w:ascii="Arial" w:eastAsia="Times New Roman" w:hAnsi="Arial" w:cs="Arial"/>
                <w:bCs/>
                <w:sz w:val="24"/>
                <w:szCs w:val="24"/>
                <w:lang w:eastAsia="en-ZA"/>
              </w:rPr>
              <w:t>12,57%</w:t>
            </w:r>
          </w:p>
        </w:tc>
      </w:tr>
      <w:tr w:rsidR="003949F7" w:rsidRPr="003949F7" w:rsidTr="000940DF">
        <w:trPr>
          <w:trHeight w:val="332"/>
        </w:trPr>
        <w:tc>
          <w:tcPr>
            <w:tcW w:w="8671" w:type="dxa"/>
            <w:gridSpan w:val="4"/>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44"/>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b(ii)</w:t>
            </w: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Cooperatives</w:t>
            </w:r>
          </w:p>
        </w:tc>
        <w:tc>
          <w:tcPr>
            <w:tcW w:w="2412" w:type="dxa"/>
            <w:tcBorders>
              <w:top w:val="nil"/>
              <w:left w:val="nil"/>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R0,00</w:t>
            </w:r>
          </w:p>
        </w:tc>
        <w:tc>
          <w:tcPr>
            <w:tcW w:w="2014" w:type="dxa"/>
            <w:tcBorders>
              <w:top w:val="nil"/>
              <w:left w:val="nil"/>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44"/>
              <w:rPr>
                <w:rFonts w:ascii="Arial" w:eastAsia="Times New Roman" w:hAnsi="Arial" w:cs="Arial"/>
                <w:bCs/>
                <w:sz w:val="24"/>
                <w:szCs w:val="24"/>
                <w:lang w:eastAsia="en-ZA"/>
              </w:rPr>
            </w:pPr>
            <w:r w:rsidRPr="000940DF">
              <w:rPr>
                <w:rFonts w:ascii="Arial" w:eastAsia="Times New Roman" w:hAnsi="Arial" w:cs="Arial"/>
                <w:bCs/>
                <w:sz w:val="24"/>
                <w:szCs w:val="24"/>
                <w:lang w:eastAsia="en-ZA"/>
              </w:rPr>
              <w:t>0%</w:t>
            </w:r>
          </w:p>
        </w:tc>
      </w:tr>
      <w:tr w:rsidR="003949F7" w:rsidRPr="003949F7" w:rsidTr="00F97881">
        <w:trPr>
          <w:trHeight w:val="58"/>
        </w:trPr>
        <w:tc>
          <w:tcPr>
            <w:tcW w:w="8671" w:type="dxa"/>
            <w:gridSpan w:val="4"/>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44"/>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b(iii)</w:t>
            </w: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Township</w:t>
            </w:r>
          </w:p>
        </w:tc>
        <w:tc>
          <w:tcPr>
            <w:tcW w:w="2412" w:type="dxa"/>
            <w:tcBorders>
              <w:top w:val="nil"/>
              <w:left w:val="nil"/>
              <w:bottom w:val="single" w:sz="4" w:space="0" w:color="auto"/>
              <w:right w:val="single" w:sz="4" w:space="0" w:color="auto"/>
            </w:tcBorders>
            <w:shd w:val="clear" w:color="auto" w:fill="auto"/>
            <w:noWrap/>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R6 426 068,00</w:t>
            </w:r>
          </w:p>
        </w:tc>
        <w:tc>
          <w:tcPr>
            <w:tcW w:w="2014" w:type="dxa"/>
            <w:tcBorders>
              <w:top w:val="nil"/>
              <w:left w:val="nil"/>
              <w:bottom w:val="single" w:sz="4" w:space="0" w:color="auto"/>
              <w:right w:val="single" w:sz="4" w:space="0" w:color="auto"/>
            </w:tcBorders>
            <w:shd w:val="clear" w:color="auto" w:fill="auto"/>
            <w:noWrap/>
            <w:hideMark/>
          </w:tcPr>
          <w:p w:rsidR="003949F7" w:rsidRPr="000940DF" w:rsidRDefault="003949F7" w:rsidP="000940DF">
            <w:pPr>
              <w:pStyle w:val="ListParagraph"/>
              <w:ind w:hanging="444"/>
              <w:rPr>
                <w:rFonts w:ascii="Arial" w:eastAsia="Times New Roman" w:hAnsi="Arial" w:cs="Arial"/>
                <w:bCs/>
                <w:sz w:val="24"/>
                <w:szCs w:val="24"/>
                <w:lang w:eastAsia="en-ZA"/>
              </w:rPr>
            </w:pPr>
            <w:r w:rsidRPr="000940DF">
              <w:rPr>
                <w:rFonts w:ascii="Arial" w:eastAsia="Times New Roman" w:hAnsi="Arial" w:cs="Arial"/>
                <w:bCs/>
                <w:sz w:val="24"/>
                <w:szCs w:val="24"/>
                <w:lang w:eastAsia="en-ZA"/>
              </w:rPr>
              <w:t>0,14%</w:t>
            </w:r>
          </w:p>
        </w:tc>
      </w:tr>
      <w:tr w:rsidR="003949F7" w:rsidRPr="003949F7" w:rsidTr="00F97881">
        <w:trPr>
          <w:trHeight w:val="119"/>
        </w:trPr>
        <w:tc>
          <w:tcPr>
            <w:tcW w:w="8671" w:type="dxa"/>
            <w:gridSpan w:val="4"/>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44"/>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b(iv)</w:t>
            </w: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Rural</w:t>
            </w:r>
          </w:p>
        </w:tc>
        <w:tc>
          <w:tcPr>
            <w:tcW w:w="2412" w:type="dxa"/>
            <w:tcBorders>
              <w:top w:val="nil"/>
              <w:left w:val="nil"/>
              <w:bottom w:val="single" w:sz="4" w:space="0" w:color="auto"/>
              <w:right w:val="single" w:sz="4" w:space="0" w:color="auto"/>
            </w:tcBorders>
            <w:shd w:val="clear" w:color="auto" w:fill="auto"/>
            <w:noWrap/>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R107 183 843,00</w:t>
            </w:r>
          </w:p>
        </w:tc>
        <w:tc>
          <w:tcPr>
            <w:tcW w:w="2014" w:type="dxa"/>
            <w:tcBorders>
              <w:top w:val="nil"/>
              <w:left w:val="nil"/>
              <w:bottom w:val="single" w:sz="4" w:space="0" w:color="auto"/>
              <w:right w:val="single" w:sz="4" w:space="0" w:color="auto"/>
            </w:tcBorders>
            <w:shd w:val="clear" w:color="auto" w:fill="auto"/>
            <w:noWrap/>
            <w:hideMark/>
          </w:tcPr>
          <w:p w:rsidR="003949F7" w:rsidRPr="000940DF" w:rsidRDefault="003949F7" w:rsidP="000940DF">
            <w:pPr>
              <w:pStyle w:val="ListParagraph"/>
              <w:ind w:hanging="444"/>
              <w:rPr>
                <w:rFonts w:ascii="Arial" w:eastAsia="Times New Roman" w:hAnsi="Arial" w:cs="Arial"/>
                <w:bCs/>
                <w:sz w:val="24"/>
                <w:szCs w:val="24"/>
                <w:lang w:eastAsia="en-ZA"/>
              </w:rPr>
            </w:pPr>
            <w:r w:rsidRPr="000940DF">
              <w:rPr>
                <w:rFonts w:ascii="Arial" w:eastAsia="Times New Roman" w:hAnsi="Arial" w:cs="Arial"/>
                <w:bCs/>
                <w:sz w:val="24"/>
                <w:szCs w:val="24"/>
                <w:lang w:eastAsia="en-ZA"/>
              </w:rPr>
              <w:t>2,41%</w:t>
            </w:r>
          </w:p>
        </w:tc>
      </w:tr>
      <w:tr w:rsidR="003949F7" w:rsidRPr="003949F7" w:rsidTr="000940DF">
        <w:trPr>
          <w:trHeight w:val="278"/>
        </w:trPr>
        <w:tc>
          <w:tcPr>
            <w:tcW w:w="8671"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949F7" w:rsidRPr="003949F7" w:rsidRDefault="003949F7" w:rsidP="000940DF">
            <w:pPr>
              <w:pStyle w:val="ListParagraph"/>
              <w:ind w:hanging="439"/>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(bb) April 2023 to Date</w:t>
            </w: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w:t>
            </w:r>
          </w:p>
        </w:tc>
        <w:tc>
          <w:tcPr>
            <w:tcW w:w="2877" w:type="dxa"/>
            <w:tcBorders>
              <w:top w:val="nil"/>
              <w:left w:val="nil"/>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SMMEs</w:t>
            </w:r>
          </w:p>
        </w:tc>
        <w:tc>
          <w:tcPr>
            <w:tcW w:w="2412" w:type="dxa"/>
            <w:tcBorders>
              <w:top w:val="nil"/>
              <w:left w:val="nil"/>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39"/>
              <w:rPr>
                <w:rFonts w:ascii="Arial" w:eastAsia="Times New Roman" w:hAnsi="Arial" w:cs="Arial"/>
                <w:bCs/>
                <w:sz w:val="24"/>
                <w:szCs w:val="24"/>
                <w:lang w:eastAsia="en-ZA"/>
              </w:rPr>
            </w:pPr>
          </w:p>
        </w:tc>
        <w:tc>
          <w:tcPr>
            <w:tcW w:w="2014" w:type="dxa"/>
            <w:tcBorders>
              <w:top w:val="nil"/>
              <w:left w:val="nil"/>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p>
        </w:tc>
        <w:tc>
          <w:tcPr>
            <w:tcW w:w="2877" w:type="dxa"/>
            <w:tcBorders>
              <w:top w:val="nil"/>
              <w:left w:val="nil"/>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i/>
                <w:sz w:val="24"/>
                <w:szCs w:val="24"/>
                <w:lang w:eastAsia="en-ZA"/>
              </w:rPr>
            </w:pPr>
            <w:r w:rsidRPr="000940DF">
              <w:rPr>
                <w:rFonts w:ascii="Arial" w:eastAsia="Times New Roman" w:hAnsi="Arial" w:cs="Arial"/>
                <w:bCs/>
                <w:i/>
                <w:sz w:val="24"/>
                <w:szCs w:val="24"/>
                <w:lang w:eastAsia="en-ZA"/>
              </w:rPr>
              <w:t>EME</w:t>
            </w:r>
          </w:p>
        </w:tc>
        <w:tc>
          <w:tcPr>
            <w:tcW w:w="2412" w:type="dxa"/>
            <w:tcBorders>
              <w:top w:val="nil"/>
              <w:left w:val="nil"/>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R13 647 717,50</w:t>
            </w:r>
          </w:p>
        </w:tc>
        <w:tc>
          <w:tcPr>
            <w:tcW w:w="2014" w:type="dxa"/>
            <w:tcBorders>
              <w:top w:val="nil"/>
              <w:left w:val="nil"/>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0,63%</w:t>
            </w: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i/>
                <w:sz w:val="24"/>
                <w:szCs w:val="24"/>
                <w:lang w:eastAsia="en-ZA"/>
              </w:rPr>
            </w:pPr>
            <w:r w:rsidRPr="000940DF">
              <w:rPr>
                <w:rFonts w:ascii="Arial" w:eastAsia="Times New Roman" w:hAnsi="Arial" w:cs="Arial"/>
                <w:bCs/>
                <w:i/>
                <w:sz w:val="24"/>
                <w:szCs w:val="24"/>
                <w:lang w:eastAsia="en-ZA"/>
              </w:rPr>
              <w:t xml:space="preserve">QSE </w:t>
            </w:r>
          </w:p>
        </w:tc>
        <w:tc>
          <w:tcPr>
            <w:tcW w:w="2412"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R53 774 481,74</w:t>
            </w:r>
          </w:p>
        </w:tc>
        <w:tc>
          <w:tcPr>
            <w:tcW w:w="2014"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3,36%</w:t>
            </w:r>
          </w:p>
        </w:tc>
      </w:tr>
      <w:tr w:rsidR="003949F7" w:rsidRPr="003949F7" w:rsidTr="00F97881">
        <w:trPr>
          <w:trHeight w:val="101"/>
        </w:trPr>
        <w:tc>
          <w:tcPr>
            <w:tcW w:w="8671" w:type="dxa"/>
            <w:gridSpan w:val="4"/>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39"/>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b(ii)</w:t>
            </w: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Cooperatives</w:t>
            </w:r>
          </w:p>
        </w:tc>
        <w:tc>
          <w:tcPr>
            <w:tcW w:w="2412"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R0,00</w:t>
            </w:r>
          </w:p>
        </w:tc>
        <w:tc>
          <w:tcPr>
            <w:tcW w:w="2014"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0,00%</w:t>
            </w:r>
          </w:p>
        </w:tc>
      </w:tr>
      <w:tr w:rsidR="003949F7" w:rsidRPr="003949F7" w:rsidTr="00F97881">
        <w:trPr>
          <w:trHeight w:val="119"/>
        </w:trPr>
        <w:tc>
          <w:tcPr>
            <w:tcW w:w="8671" w:type="dxa"/>
            <w:gridSpan w:val="4"/>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0940DF">
            <w:pPr>
              <w:pStyle w:val="ListParagraph"/>
              <w:ind w:hanging="439"/>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b(iii)</w:t>
            </w: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Township</w:t>
            </w:r>
          </w:p>
        </w:tc>
        <w:tc>
          <w:tcPr>
            <w:tcW w:w="2412"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R1 024 610,00</w:t>
            </w:r>
          </w:p>
        </w:tc>
        <w:tc>
          <w:tcPr>
            <w:tcW w:w="2014"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0,05%</w:t>
            </w:r>
          </w:p>
        </w:tc>
      </w:tr>
      <w:tr w:rsidR="003949F7" w:rsidRPr="003949F7" w:rsidTr="00F97881">
        <w:trPr>
          <w:trHeight w:val="58"/>
        </w:trPr>
        <w:tc>
          <w:tcPr>
            <w:tcW w:w="8671" w:type="dxa"/>
            <w:gridSpan w:val="4"/>
            <w:tcBorders>
              <w:top w:val="nil"/>
              <w:left w:val="single" w:sz="4" w:space="0" w:color="auto"/>
              <w:bottom w:val="single" w:sz="4" w:space="0" w:color="auto"/>
              <w:right w:val="single" w:sz="4" w:space="0" w:color="auto"/>
            </w:tcBorders>
            <w:shd w:val="clear" w:color="auto" w:fill="auto"/>
            <w:noWrap/>
            <w:vAlign w:val="bottom"/>
          </w:tcPr>
          <w:p w:rsidR="003949F7" w:rsidRPr="000940DF" w:rsidRDefault="003949F7" w:rsidP="003949F7">
            <w:pPr>
              <w:pStyle w:val="ListParagraph"/>
              <w:rPr>
                <w:rFonts w:ascii="Arial" w:eastAsia="Times New Roman" w:hAnsi="Arial" w:cs="Arial"/>
                <w:bCs/>
                <w:sz w:val="24"/>
                <w:szCs w:val="24"/>
                <w:lang w:eastAsia="en-ZA"/>
              </w:rPr>
            </w:pPr>
          </w:p>
        </w:tc>
      </w:tr>
      <w:tr w:rsidR="003949F7" w:rsidRPr="003949F7" w:rsidTr="00F97881">
        <w:trPr>
          <w:trHeight w:val="29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b(iv)</w:t>
            </w:r>
          </w:p>
        </w:tc>
        <w:tc>
          <w:tcPr>
            <w:tcW w:w="2877"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3949F7">
            <w:pPr>
              <w:pStyle w:val="ListParagraph"/>
              <w:rPr>
                <w:rFonts w:ascii="Arial" w:eastAsia="Times New Roman" w:hAnsi="Arial" w:cs="Arial"/>
                <w:bCs/>
                <w:sz w:val="24"/>
                <w:szCs w:val="24"/>
                <w:lang w:eastAsia="en-ZA"/>
              </w:rPr>
            </w:pPr>
            <w:r w:rsidRPr="000940DF">
              <w:rPr>
                <w:rFonts w:ascii="Arial" w:eastAsia="Times New Roman" w:hAnsi="Arial" w:cs="Arial"/>
                <w:bCs/>
                <w:sz w:val="24"/>
                <w:szCs w:val="24"/>
                <w:lang w:eastAsia="en-ZA"/>
              </w:rPr>
              <w:t>Rural</w:t>
            </w:r>
          </w:p>
        </w:tc>
        <w:tc>
          <w:tcPr>
            <w:tcW w:w="2412"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39"/>
              <w:rPr>
                <w:rFonts w:ascii="Arial" w:eastAsia="Times New Roman" w:hAnsi="Arial" w:cs="Arial"/>
                <w:bCs/>
                <w:sz w:val="24"/>
                <w:szCs w:val="24"/>
                <w:lang w:eastAsia="en-ZA"/>
              </w:rPr>
            </w:pPr>
            <w:r w:rsidRPr="000940DF">
              <w:rPr>
                <w:rFonts w:ascii="Arial" w:eastAsia="Times New Roman" w:hAnsi="Arial" w:cs="Arial"/>
                <w:bCs/>
                <w:sz w:val="24"/>
                <w:szCs w:val="24"/>
                <w:lang w:eastAsia="en-ZA"/>
              </w:rPr>
              <w:t>R2 859 613,48</w:t>
            </w:r>
          </w:p>
        </w:tc>
        <w:tc>
          <w:tcPr>
            <w:tcW w:w="2014" w:type="dxa"/>
            <w:tcBorders>
              <w:top w:val="nil"/>
              <w:left w:val="nil"/>
              <w:bottom w:val="single" w:sz="4" w:space="0" w:color="auto"/>
              <w:right w:val="single" w:sz="4" w:space="0" w:color="auto"/>
            </w:tcBorders>
            <w:shd w:val="clear" w:color="auto" w:fill="auto"/>
            <w:noWrap/>
            <w:vAlign w:val="bottom"/>
            <w:hideMark/>
          </w:tcPr>
          <w:p w:rsidR="003949F7" w:rsidRPr="000940DF" w:rsidRDefault="003949F7" w:rsidP="000940DF">
            <w:pPr>
              <w:pStyle w:val="ListParagraph"/>
              <w:ind w:hanging="444"/>
              <w:rPr>
                <w:rFonts w:ascii="Arial" w:eastAsia="Times New Roman" w:hAnsi="Arial" w:cs="Arial"/>
                <w:bCs/>
                <w:sz w:val="24"/>
                <w:szCs w:val="24"/>
                <w:lang w:eastAsia="en-ZA"/>
              </w:rPr>
            </w:pPr>
            <w:r w:rsidRPr="000940DF">
              <w:rPr>
                <w:rFonts w:ascii="Arial" w:eastAsia="Times New Roman" w:hAnsi="Arial" w:cs="Arial"/>
                <w:bCs/>
                <w:sz w:val="24"/>
                <w:szCs w:val="24"/>
                <w:lang w:eastAsia="en-ZA"/>
              </w:rPr>
              <w:t>0,13%</w:t>
            </w:r>
          </w:p>
        </w:tc>
      </w:tr>
    </w:tbl>
    <w:p w:rsidR="003949F7" w:rsidRDefault="003949F7" w:rsidP="003949F7">
      <w:pPr>
        <w:pStyle w:val="ListParagraph"/>
        <w:rPr>
          <w:rFonts w:ascii="Arial" w:eastAsia="Times New Roman" w:hAnsi="Arial" w:cs="Arial"/>
          <w:bCs/>
          <w:sz w:val="24"/>
          <w:szCs w:val="24"/>
          <w:lang w:eastAsia="en-ZA"/>
        </w:rPr>
      </w:pPr>
    </w:p>
    <w:p w:rsidR="003949F7" w:rsidRPr="003949F7" w:rsidRDefault="003949F7" w:rsidP="009C2003">
      <w:pPr>
        <w:pStyle w:val="ListParagraph"/>
        <w:numPr>
          <w:ilvl w:val="0"/>
          <w:numId w:val="3"/>
        </w:numPr>
        <w:ind w:hanging="121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 xml:space="preserve">Independent Electoral Commission </w:t>
      </w:r>
    </w:p>
    <w:p w:rsidR="009C2003" w:rsidRDefault="009C2003" w:rsidP="003949F7">
      <w:pPr>
        <w:pStyle w:val="ListParagraph"/>
        <w:rPr>
          <w:rFonts w:ascii="Arial" w:eastAsia="Times New Roman" w:hAnsi="Arial" w:cs="Arial"/>
          <w:bCs/>
          <w:sz w:val="24"/>
          <w:szCs w:val="24"/>
          <w:lang w:eastAsia="en-ZA"/>
        </w:rPr>
      </w:pPr>
    </w:p>
    <w:p w:rsidR="003949F7" w:rsidRPr="009C2003" w:rsidRDefault="003949F7" w:rsidP="003949F7">
      <w:pPr>
        <w:pStyle w:val="ListParagraph"/>
        <w:rPr>
          <w:rFonts w:ascii="Arial" w:eastAsia="Times New Roman" w:hAnsi="Arial" w:cs="Arial"/>
          <w:bCs/>
          <w:sz w:val="24"/>
          <w:szCs w:val="24"/>
          <w:lang w:eastAsia="en-ZA"/>
        </w:rPr>
      </w:pPr>
      <w:r w:rsidRPr="009C2003">
        <w:rPr>
          <w:rFonts w:ascii="Arial" w:eastAsia="Times New Roman" w:hAnsi="Arial" w:cs="Arial"/>
          <w:bCs/>
          <w:sz w:val="24"/>
          <w:szCs w:val="24"/>
          <w:lang w:eastAsia="en-ZA"/>
        </w:rPr>
        <w:t>(aa) 2022-23 financial year</w:t>
      </w:r>
    </w:p>
    <w:p w:rsidR="003949F7" w:rsidRPr="003949F7" w:rsidRDefault="003949F7" w:rsidP="008B1332">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left="709"/>
        <w:jc w:val="both"/>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 xml:space="preserve">Before the introduction of the categorisation of enterprise types by Generic, Qualified Small Enterprises and Exempt Micro Enterprises, the industry norm was to report on </w:t>
      </w:r>
      <w:r w:rsidR="009A15A4">
        <w:rPr>
          <w:rFonts w:ascii="Arial" w:eastAsia="Times New Roman" w:hAnsi="Arial" w:cs="Arial"/>
          <w:bCs/>
          <w:sz w:val="24"/>
          <w:szCs w:val="24"/>
          <w:lang w:eastAsia="en-ZA"/>
        </w:rPr>
        <w:t>SMMEs</w:t>
      </w:r>
      <w:r w:rsidRPr="003949F7">
        <w:rPr>
          <w:rFonts w:ascii="Arial" w:eastAsia="Times New Roman" w:hAnsi="Arial" w:cs="Arial"/>
          <w:bCs/>
          <w:sz w:val="24"/>
          <w:szCs w:val="24"/>
          <w:lang w:eastAsia="en-ZA"/>
        </w:rPr>
        <w:t xml:space="preserve"> paying more focus on the number of </w:t>
      </w:r>
      <w:r w:rsidR="009A15A4">
        <w:rPr>
          <w:rFonts w:ascii="Arial" w:eastAsia="Times New Roman" w:hAnsi="Arial" w:cs="Arial"/>
          <w:bCs/>
          <w:sz w:val="24"/>
          <w:szCs w:val="24"/>
          <w:lang w:eastAsia="en-ZA"/>
        </w:rPr>
        <w:t>full-time</w:t>
      </w:r>
      <w:r w:rsidRPr="003949F7">
        <w:rPr>
          <w:rFonts w:ascii="Arial" w:eastAsia="Times New Roman" w:hAnsi="Arial" w:cs="Arial"/>
          <w:bCs/>
          <w:sz w:val="24"/>
          <w:szCs w:val="24"/>
          <w:lang w:eastAsia="en-ZA"/>
        </w:rPr>
        <w:t xml:space="preserve"> employees in the entities. The norm as per </w:t>
      </w:r>
      <w:r w:rsidR="009A15A4">
        <w:rPr>
          <w:rFonts w:ascii="Arial" w:eastAsia="Times New Roman" w:hAnsi="Arial" w:cs="Arial"/>
          <w:bCs/>
          <w:sz w:val="24"/>
          <w:szCs w:val="24"/>
          <w:lang w:eastAsia="en-ZA"/>
        </w:rPr>
        <w:t xml:space="preserve">the </w:t>
      </w:r>
      <w:r w:rsidRPr="003949F7">
        <w:rPr>
          <w:rFonts w:ascii="Arial" w:eastAsia="Times New Roman" w:hAnsi="Arial" w:cs="Arial"/>
          <w:bCs/>
          <w:sz w:val="24"/>
          <w:szCs w:val="24"/>
          <w:lang w:eastAsia="en-ZA"/>
        </w:rPr>
        <w:t xml:space="preserve">current trend is to report on the enterprise types which mainly looks at the categorisation of companies in terms of annual turnover. The advantage </w:t>
      </w:r>
      <w:r w:rsidR="009A15A4">
        <w:rPr>
          <w:rFonts w:ascii="Arial" w:eastAsia="Times New Roman" w:hAnsi="Arial" w:cs="Arial"/>
          <w:bCs/>
          <w:sz w:val="24"/>
          <w:szCs w:val="24"/>
          <w:lang w:eastAsia="en-ZA"/>
        </w:rPr>
        <w:t>of</w:t>
      </w:r>
      <w:r w:rsidRPr="003949F7">
        <w:rPr>
          <w:rFonts w:ascii="Arial" w:eastAsia="Times New Roman" w:hAnsi="Arial" w:cs="Arial"/>
          <w:bCs/>
          <w:sz w:val="24"/>
          <w:szCs w:val="24"/>
          <w:lang w:eastAsia="en-ZA"/>
        </w:rPr>
        <w:t xml:space="preserve"> reporting on enterprise type is that information can be verified against Central Supplier Database.</w:t>
      </w:r>
    </w:p>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left="709"/>
        <w:jc w:val="both"/>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 xml:space="preserve">The report below, therefore depicts awards on competitive bidding for the specified period based on the following: </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Generic Entities</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Qualified Entities (QSE)</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Exempt Micro Enterprises (EME)</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Ownership by Black People</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Ownership by Black Youth</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Ownership by Black Women</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Ownership by people living in townships</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BEE Status Levels</w:t>
      </w:r>
    </w:p>
    <w:p w:rsidR="003949F7" w:rsidRPr="003949F7" w:rsidRDefault="003949F7" w:rsidP="009C2003">
      <w:pPr>
        <w:numPr>
          <w:ilvl w:val="0"/>
          <w:numId w:val="5"/>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line="320" w:lineRule="atLeast"/>
        <w:ind w:hanging="11"/>
        <w:outlineLvl w:val="0"/>
        <w:rPr>
          <w:rFonts w:ascii="Arial" w:eastAsia="Times New Roman" w:hAnsi="Arial" w:cs="Arial"/>
          <w:bCs/>
          <w:sz w:val="24"/>
          <w:szCs w:val="24"/>
          <w:lang w:eastAsia="en-ZA"/>
        </w:rPr>
      </w:pPr>
      <w:r w:rsidRPr="003949F7">
        <w:rPr>
          <w:rFonts w:ascii="Arial" w:eastAsia="Times New Roman" w:hAnsi="Arial" w:cs="Arial"/>
          <w:bCs/>
          <w:sz w:val="24"/>
          <w:szCs w:val="24"/>
          <w:lang w:eastAsia="en-ZA"/>
        </w:rPr>
        <w:t>BEE Ownership</w:t>
      </w:r>
    </w:p>
    <w:p w:rsidR="00F94679"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r w:rsidRPr="003949F7">
        <w:rPr>
          <w:rFonts w:ascii="Arial" w:eastAsia="Times New Roman" w:hAnsi="Arial" w:cs="Arial"/>
          <w:bCs/>
          <w:sz w:val="24"/>
          <w:szCs w:val="24"/>
          <w:lang w:val="en-GB" w:eastAsia="en-ZA"/>
        </w:rPr>
        <w:t xml:space="preserve">It must be noted that the moratorium imposed on procurement in the last financial year as a result of the application of the Preferential Procurement Regulations, 2017 resulted in fewer procurement activities taking place during the period.  </w:t>
      </w:r>
    </w:p>
    <w:p w:rsid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p>
    <w:tbl>
      <w:tblPr>
        <w:tblW w:w="9243" w:type="dxa"/>
        <w:tblInd w:w="612" w:type="dxa"/>
        <w:tblLook w:val="04A0"/>
      </w:tblPr>
      <w:tblGrid>
        <w:gridCol w:w="4752"/>
        <w:gridCol w:w="40"/>
        <w:gridCol w:w="2177"/>
        <w:gridCol w:w="603"/>
        <w:gridCol w:w="1449"/>
        <w:gridCol w:w="222"/>
      </w:tblGrid>
      <w:tr w:rsidR="003949F7" w:rsidRPr="003949F7" w:rsidTr="009C2003">
        <w:trPr>
          <w:trHeight w:val="290"/>
        </w:trPr>
        <w:tc>
          <w:tcPr>
            <w:tcW w:w="4757" w:type="dxa"/>
            <w:tcBorders>
              <w:top w:val="nil"/>
              <w:left w:val="nil"/>
              <w:bottom w:val="nil"/>
              <w:right w:val="nil"/>
            </w:tcBorders>
            <w:shd w:val="clear" w:color="auto" w:fill="auto"/>
            <w:noWrap/>
            <w:hideMark/>
          </w:tcPr>
          <w:p w:rsid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BEE or Non-BEE Status</w:t>
            </w:r>
          </w:p>
          <w:p w:rsidR="009C2003" w:rsidRPr="003949F7" w:rsidRDefault="009C2003"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2" w:type="dxa"/>
            <w:tcBorders>
              <w:top w:val="nil"/>
              <w:left w:val="nil"/>
              <w:bottom w:val="nil"/>
              <w:right w:val="nil"/>
            </w:tcBorders>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630"/>
        </w:trPr>
        <w:tc>
          <w:tcPr>
            <w:tcW w:w="475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Type</w:t>
            </w:r>
          </w:p>
        </w:tc>
        <w:tc>
          <w:tcPr>
            <w:tcW w:w="2219"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3949F7" w:rsidRPr="003949F7"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Contract Value</w:t>
            </w:r>
          </w:p>
        </w:tc>
        <w:tc>
          <w:tcPr>
            <w:tcW w:w="2045"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Contract %</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 xml:space="preserve">BEE </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R97 713 187</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51%</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Non-BEE</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R92 638 492</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49%</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000000" w:fill="C6E0B4"/>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Total</w:t>
            </w:r>
          </w:p>
        </w:tc>
        <w:tc>
          <w:tcPr>
            <w:tcW w:w="2219" w:type="dxa"/>
            <w:gridSpan w:val="2"/>
            <w:tcBorders>
              <w:top w:val="nil"/>
              <w:left w:val="nil"/>
              <w:bottom w:val="single" w:sz="4" w:space="0" w:color="auto"/>
              <w:right w:val="single" w:sz="4" w:space="0" w:color="auto"/>
            </w:tcBorders>
            <w:shd w:val="clear" w:color="000000" w:fill="C6E0B4"/>
            <w:noWrap/>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190 351 679</w:t>
            </w:r>
          </w:p>
        </w:tc>
        <w:tc>
          <w:tcPr>
            <w:tcW w:w="2045" w:type="dxa"/>
            <w:gridSpan w:val="2"/>
            <w:tcBorders>
              <w:top w:val="nil"/>
              <w:left w:val="nil"/>
              <w:bottom w:val="single" w:sz="4" w:space="0" w:color="auto"/>
              <w:right w:val="single" w:sz="4" w:space="0" w:color="auto"/>
            </w:tcBorders>
            <w:shd w:val="clear" w:color="000000" w:fill="C6E0B4"/>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100%</w:t>
            </w:r>
          </w:p>
        </w:tc>
      </w:tr>
      <w:tr w:rsidR="003949F7" w:rsidRPr="003949F7" w:rsidTr="009C2003">
        <w:trPr>
          <w:gridAfter w:val="1"/>
          <w:wAfter w:w="222" w:type="dxa"/>
          <w:trHeight w:val="290"/>
        </w:trPr>
        <w:tc>
          <w:tcPr>
            <w:tcW w:w="4757" w:type="dxa"/>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290"/>
        </w:trPr>
        <w:tc>
          <w:tcPr>
            <w:tcW w:w="4757" w:type="dxa"/>
            <w:tcBorders>
              <w:top w:val="nil"/>
              <w:left w:val="nil"/>
              <w:bottom w:val="nil"/>
              <w:right w:val="nil"/>
            </w:tcBorders>
            <w:shd w:val="clear" w:color="auto" w:fill="auto"/>
            <w:noWrap/>
            <w:hideMark/>
          </w:tcPr>
          <w:p w:rsid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p w:rsidR="00E6038E" w:rsidRDefault="00E6038E"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p w:rsidR="00E6038E" w:rsidRPr="003949F7" w:rsidRDefault="00E6038E"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290"/>
        </w:trPr>
        <w:tc>
          <w:tcPr>
            <w:tcW w:w="6976" w:type="dxa"/>
            <w:gridSpan w:val="3"/>
            <w:tcBorders>
              <w:top w:val="nil"/>
              <w:left w:val="nil"/>
              <w:bottom w:val="nil"/>
              <w:right w:val="nil"/>
            </w:tcBorders>
            <w:shd w:val="clear" w:color="auto" w:fill="auto"/>
            <w:noWrap/>
            <w:vAlign w:val="bottom"/>
            <w:hideMark/>
          </w:tcPr>
          <w:p w:rsid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Tenders Awarded by Enterprise Type</w:t>
            </w:r>
          </w:p>
          <w:p w:rsidR="009C2003" w:rsidRPr="003949F7" w:rsidRDefault="009C2003"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530"/>
        </w:trPr>
        <w:tc>
          <w:tcPr>
            <w:tcW w:w="475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Type</w:t>
            </w:r>
          </w:p>
        </w:tc>
        <w:tc>
          <w:tcPr>
            <w:tcW w:w="2219"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3949F7" w:rsidRPr="003949F7"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Contract Value</w:t>
            </w:r>
          </w:p>
        </w:tc>
        <w:tc>
          <w:tcPr>
            <w:tcW w:w="2045"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Contract %</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 xml:space="preserve">Generic </w:t>
            </w:r>
          </w:p>
        </w:tc>
        <w:tc>
          <w:tcPr>
            <w:tcW w:w="2219" w:type="dxa"/>
            <w:gridSpan w:val="2"/>
            <w:tcBorders>
              <w:top w:val="nil"/>
              <w:left w:val="nil"/>
              <w:bottom w:val="nil"/>
              <w:right w:val="nil"/>
            </w:tcBorders>
            <w:shd w:val="clear" w:color="auto" w:fill="auto"/>
            <w:noWrap/>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100 067 915</w:t>
            </w:r>
          </w:p>
        </w:tc>
        <w:tc>
          <w:tcPr>
            <w:tcW w:w="2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53%</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QSE</w:t>
            </w:r>
          </w:p>
        </w:tc>
        <w:tc>
          <w:tcPr>
            <w:tcW w:w="2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7 794 593</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4%</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EME</w:t>
            </w:r>
          </w:p>
        </w:tc>
        <w:tc>
          <w:tcPr>
            <w:tcW w:w="2219" w:type="dxa"/>
            <w:gridSpan w:val="2"/>
            <w:tcBorders>
              <w:top w:val="single" w:sz="4" w:space="0" w:color="auto"/>
              <w:left w:val="nil"/>
              <w:bottom w:val="single" w:sz="4" w:space="0" w:color="auto"/>
              <w:right w:val="nil"/>
            </w:tcBorders>
            <w:shd w:val="clear" w:color="auto" w:fill="auto"/>
            <w:noWrap/>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82 489 171</w:t>
            </w: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43%</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000000" w:fill="C6E0B4"/>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9C2003">
              <w:rPr>
                <w:rFonts w:ascii="Arial" w:eastAsia="Times New Roman" w:hAnsi="Arial" w:cs="Arial"/>
                <w:b/>
                <w:bCs/>
                <w:sz w:val="24"/>
                <w:szCs w:val="24"/>
                <w:lang w:eastAsia="en-ZA"/>
              </w:rPr>
              <w:t>Total</w:t>
            </w:r>
          </w:p>
        </w:tc>
        <w:tc>
          <w:tcPr>
            <w:tcW w:w="2219" w:type="dxa"/>
            <w:gridSpan w:val="2"/>
            <w:tcBorders>
              <w:top w:val="single" w:sz="4" w:space="0" w:color="auto"/>
              <w:left w:val="nil"/>
              <w:bottom w:val="single" w:sz="4" w:space="0" w:color="auto"/>
              <w:right w:val="single" w:sz="4" w:space="0" w:color="auto"/>
            </w:tcBorders>
            <w:shd w:val="clear" w:color="000000" w:fill="C6E0B4"/>
            <w:noWrap/>
            <w:vAlign w:val="bottom"/>
            <w:hideMark/>
          </w:tcPr>
          <w:p w:rsidR="003949F7" w:rsidRPr="009C2003" w:rsidRDefault="003949F7" w:rsidP="009C2003">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72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R190 351 679</w:t>
            </w:r>
          </w:p>
        </w:tc>
        <w:tc>
          <w:tcPr>
            <w:tcW w:w="2045" w:type="dxa"/>
            <w:gridSpan w:val="2"/>
            <w:tcBorders>
              <w:top w:val="single" w:sz="4" w:space="0" w:color="auto"/>
              <w:left w:val="nil"/>
              <w:bottom w:val="single" w:sz="4" w:space="0" w:color="auto"/>
              <w:right w:val="single" w:sz="4" w:space="0" w:color="auto"/>
            </w:tcBorders>
            <w:shd w:val="clear" w:color="000000" w:fill="C6E0B4"/>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100%</w:t>
            </w:r>
          </w:p>
        </w:tc>
      </w:tr>
      <w:tr w:rsidR="003949F7" w:rsidRPr="003949F7" w:rsidTr="009C2003">
        <w:trPr>
          <w:gridAfter w:val="1"/>
          <w:wAfter w:w="222" w:type="dxa"/>
          <w:trHeight w:val="290"/>
        </w:trPr>
        <w:tc>
          <w:tcPr>
            <w:tcW w:w="4757" w:type="dxa"/>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285"/>
        </w:trPr>
        <w:tc>
          <w:tcPr>
            <w:tcW w:w="4757" w:type="dxa"/>
            <w:tcBorders>
              <w:top w:val="nil"/>
              <w:left w:val="nil"/>
              <w:bottom w:val="nil"/>
              <w:right w:val="nil"/>
            </w:tcBorders>
            <w:shd w:val="clear" w:color="auto" w:fill="auto"/>
            <w:noWrap/>
            <w:vAlign w:val="bottom"/>
            <w:hideMark/>
          </w:tcPr>
          <w:p w:rsidR="00E6038E" w:rsidRPr="003949F7" w:rsidRDefault="00E6038E"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290"/>
        </w:trPr>
        <w:tc>
          <w:tcPr>
            <w:tcW w:w="6976" w:type="dxa"/>
            <w:gridSpan w:val="3"/>
            <w:tcBorders>
              <w:top w:val="nil"/>
              <w:left w:val="nil"/>
              <w:bottom w:val="nil"/>
              <w:right w:val="nil"/>
            </w:tcBorders>
            <w:shd w:val="clear" w:color="auto" w:fill="auto"/>
            <w:noWrap/>
            <w:vAlign w:val="bottom"/>
            <w:hideMark/>
          </w:tcPr>
          <w:p w:rsid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Tenders Awarded by BEE Contributor Status Level</w:t>
            </w:r>
          </w:p>
          <w:p w:rsidR="009C2003" w:rsidRPr="003949F7" w:rsidRDefault="009C2003"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530"/>
        </w:trPr>
        <w:tc>
          <w:tcPr>
            <w:tcW w:w="475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B-BBEE Contracts</w:t>
            </w:r>
          </w:p>
        </w:tc>
        <w:tc>
          <w:tcPr>
            <w:tcW w:w="2219"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3949F7" w:rsidRPr="003949F7"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Contract Value</w:t>
            </w:r>
          </w:p>
        </w:tc>
        <w:tc>
          <w:tcPr>
            <w:tcW w:w="2045"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 Contract Value</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1</w:t>
            </w:r>
          </w:p>
        </w:tc>
        <w:tc>
          <w:tcPr>
            <w:tcW w:w="2219" w:type="dxa"/>
            <w:gridSpan w:val="2"/>
            <w:tcBorders>
              <w:top w:val="nil"/>
              <w:left w:val="nil"/>
              <w:bottom w:val="nil"/>
              <w:right w:val="nil"/>
            </w:tcBorders>
            <w:shd w:val="clear" w:color="auto" w:fill="auto"/>
            <w:noWrap/>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R111</w:t>
            </w:r>
            <w:r w:rsidR="009C2003" w:rsidRPr="009C2003">
              <w:rPr>
                <w:rFonts w:ascii="Arial" w:eastAsia="Times New Roman" w:hAnsi="Arial" w:cs="Arial"/>
                <w:bCs/>
                <w:sz w:val="24"/>
                <w:szCs w:val="24"/>
                <w:lang w:eastAsia="en-ZA"/>
              </w:rPr>
              <w:t xml:space="preserve"> </w:t>
            </w:r>
            <w:r w:rsidRPr="009C2003">
              <w:rPr>
                <w:rFonts w:ascii="Arial" w:eastAsia="Times New Roman" w:hAnsi="Arial" w:cs="Arial"/>
                <w:bCs/>
                <w:sz w:val="24"/>
                <w:szCs w:val="24"/>
                <w:lang w:eastAsia="en-ZA"/>
              </w:rPr>
              <w:t>510 789,36</w:t>
            </w:r>
          </w:p>
        </w:tc>
        <w:tc>
          <w:tcPr>
            <w:tcW w:w="2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59%</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2</w:t>
            </w:r>
          </w:p>
        </w:tc>
        <w:tc>
          <w:tcPr>
            <w:tcW w:w="2219" w:type="dxa"/>
            <w:gridSpan w:val="2"/>
            <w:tcBorders>
              <w:top w:val="single" w:sz="4" w:space="0" w:color="auto"/>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31 099 606</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16%</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3</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0%</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4</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R45 437 108,29</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24%</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5</w:t>
            </w:r>
          </w:p>
        </w:tc>
        <w:tc>
          <w:tcPr>
            <w:tcW w:w="2219" w:type="dxa"/>
            <w:gridSpan w:val="2"/>
            <w:tcBorders>
              <w:top w:val="nil"/>
              <w:left w:val="nil"/>
              <w:bottom w:val="nil"/>
              <w:right w:val="nil"/>
            </w:tcBorders>
            <w:shd w:val="clear" w:color="auto" w:fill="auto"/>
            <w:noWrap/>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2 304 175,00</w:t>
            </w:r>
          </w:p>
        </w:tc>
        <w:tc>
          <w:tcPr>
            <w:tcW w:w="2045"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1%</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6</w:t>
            </w:r>
          </w:p>
        </w:tc>
        <w:tc>
          <w:tcPr>
            <w:tcW w:w="2219" w:type="dxa"/>
            <w:gridSpan w:val="2"/>
            <w:tcBorders>
              <w:top w:val="single" w:sz="4" w:space="0" w:color="auto"/>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0%</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7</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0%</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Status Level 8</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0%</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3949F7" w:rsidRPr="009C2003"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BEE Non-Compliant</w:t>
            </w:r>
          </w:p>
        </w:tc>
        <w:tc>
          <w:tcPr>
            <w:tcW w:w="2219" w:type="dxa"/>
            <w:gridSpan w:val="2"/>
            <w:tcBorders>
              <w:top w:val="nil"/>
              <w:left w:val="nil"/>
              <w:bottom w:val="single" w:sz="4" w:space="0" w:color="auto"/>
              <w:right w:val="single" w:sz="4" w:space="0" w:color="auto"/>
            </w:tcBorders>
            <w:shd w:val="clear" w:color="auto" w:fill="auto"/>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0%</w:t>
            </w:r>
          </w:p>
        </w:tc>
      </w:tr>
      <w:tr w:rsidR="003949F7" w:rsidRPr="003949F7" w:rsidTr="009C2003">
        <w:trPr>
          <w:gridAfter w:val="1"/>
          <w:wAfter w:w="222" w:type="dxa"/>
          <w:trHeight w:val="290"/>
        </w:trPr>
        <w:tc>
          <w:tcPr>
            <w:tcW w:w="4757" w:type="dxa"/>
            <w:tcBorders>
              <w:top w:val="nil"/>
              <w:left w:val="single" w:sz="4" w:space="0" w:color="auto"/>
              <w:bottom w:val="single" w:sz="4" w:space="0" w:color="auto"/>
              <w:right w:val="single" w:sz="4" w:space="0" w:color="auto"/>
            </w:tcBorders>
            <w:shd w:val="clear" w:color="000000" w:fill="C6E0B4"/>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Total</w:t>
            </w:r>
          </w:p>
        </w:tc>
        <w:tc>
          <w:tcPr>
            <w:tcW w:w="2219" w:type="dxa"/>
            <w:gridSpan w:val="2"/>
            <w:tcBorders>
              <w:top w:val="nil"/>
              <w:left w:val="nil"/>
              <w:bottom w:val="single" w:sz="4" w:space="0" w:color="auto"/>
              <w:right w:val="single" w:sz="4" w:space="0" w:color="auto"/>
            </w:tcBorders>
            <w:shd w:val="clear" w:color="000000" w:fill="C6E0B4"/>
            <w:noWrap/>
            <w:vAlign w:val="bottom"/>
            <w:hideMark/>
          </w:tcPr>
          <w:p w:rsidR="003949F7" w:rsidRPr="009C2003" w:rsidRDefault="003949F7" w:rsidP="009C2003">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130"/>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190 351 679</w:t>
            </w:r>
          </w:p>
        </w:tc>
        <w:tc>
          <w:tcPr>
            <w:tcW w:w="2045" w:type="dxa"/>
            <w:gridSpan w:val="2"/>
            <w:tcBorders>
              <w:top w:val="nil"/>
              <w:left w:val="nil"/>
              <w:bottom w:val="single" w:sz="4" w:space="0" w:color="auto"/>
              <w:right w:val="single" w:sz="4" w:space="0" w:color="auto"/>
            </w:tcBorders>
            <w:shd w:val="clear" w:color="000000" w:fill="C6E0B4"/>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3949F7">
              <w:rPr>
                <w:rFonts w:ascii="Arial" w:eastAsia="Times New Roman" w:hAnsi="Arial" w:cs="Arial"/>
                <w:b/>
                <w:bCs/>
                <w:sz w:val="24"/>
                <w:szCs w:val="24"/>
                <w:lang w:eastAsia="en-ZA"/>
              </w:rPr>
              <w:t>100%</w:t>
            </w:r>
          </w:p>
        </w:tc>
      </w:tr>
      <w:tr w:rsidR="003949F7" w:rsidRPr="003949F7" w:rsidTr="009C2003">
        <w:trPr>
          <w:gridAfter w:val="1"/>
          <w:wAfter w:w="222" w:type="dxa"/>
          <w:trHeight w:val="290"/>
        </w:trPr>
        <w:tc>
          <w:tcPr>
            <w:tcW w:w="4757" w:type="dxa"/>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3949F7" w:rsidRPr="003949F7" w:rsidTr="009C2003">
        <w:trPr>
          <w:gridAfter w:val="1"/>
          <w:wAfter w:w="222" w:type="dxa"/>
          <w:trHeight w:val="290"/>
        </w:trPr>
        <w:tc>
          <w:tcPr>
            <w:tcW w:w="4757" w:type="dxa"/>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219"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045" w:type="dxa"/>
            <w:gridSpan w:val="2"/>
            <w:tcBorders>
              <w:top w:val="nil"/>
              <w:left w:val="nil"/>
              <w:bottom w:val="nil"/>
              <w:right w:val="nil"/>
            </w:tcBorders>
            <w:shd w:val="clear" w:color="auto" w:fill="auto"/>
            <w:noWrap/>
            <w:vAlign w:val="bottom"/>
            <w:hideMark/>
          </w:tcPr>
          <w:p w:rsidR="003949F7" w:rsidRP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E6038E" w:rsidRPr="00E6038E" w:rsidTr="009C2003">
        <w:trPr>
          <w:gridAfter w:val="2"/>
          <w:wAfter w:w="1667" w:type="dxa"/>
          <w:trHeight w:val="290"/>
        </w:trPr>
        <w:tc>
          <w:tcPr>
            <w:tcW w:w="4797" w:type="dxa"/>
            <w:gridSpan w:val="2"/>
            <w:tcBorders>
              <w:top w:val="nil"/>
              <w:left w:val="nil"/>
              <w:bottom w:val="nil"/>
              <w:right w:val="nil"/>
            </w:tcBorders>
            <w:shd w:val="clear" w:color="auto" w:fill="auto"/>
            <w:noWrap/>
            <w:vAlign w:val="bottom"/>
            <w:hideMark/>
          </w:tcPr>
          <w:p w:rsidR="00E6038E"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E6038E">
              <w:rPr>
                <w:rFonts w:ascii="Arial" w:eastAsia="Times New Roman" w:hAnsi="Arial" w:cs="Arial"/>
                <w:b/>
                <w:bCs/>
                <w:sz w:val="24"/>
                <w:szCs w:val="24"/>
                <w:lang w:eastAsia="en-ZA"/>
              </w:rPr>
              <w:t>Black Ownership</w:t>
            </w:r>
          </w:p>
          <w:p w:rsidR="009C2003" w:rsidRPr="00E6038E" w:rsidRDefault="009C2003"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c>
          <w:tcPr>
            <w:tcW w:w="2779" w:type="dxa"/>
            <w:gridSpan w:val="2"/>
            <w:tcBorders>
              <w:top w:val="nil"/>
              <w:left w:val="nil"/>
              <w:bottom w:val="nil"/>
              <w:right w:val="nil"/>
            </w:tcBorders>
            <w:shd w:val="clear" w:color="auto" w:fill="auto"/>
            <w:noWrap/>
            <w:vAlign w:val="bottom"/>
            <w:hideMark/>
          </w:tcPr>
          <w:p w:rsidR="00E6038E" w:rsidRPr="00E6038E"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p>
        </w:tc>
      </w:tr>
      <w:tr w:rsidR="00E6038E" w:rsidRPr="00E6038E" w:rsidTr="009C2003">
        <w:trPr>
          <w:gridAfter w:val="2"/>
          <w:wAfter w:w="1667" w:type="dxa"/>
          <w:trHeight w:val="530"/>
        </w:trPr>
        <w:tc>
          <w:tcPr>
            <w:tcW w:w="4797"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E6038E" w:rsidRPr="00E6038E"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E6038E">
              <w:rPr>
                <w:rFonts w:ascii="Arial" w:eastAsia="Times New Roman" w:hAnsi="Arial" w:cs="Arial"/>
                <w:b/>
                <w:bCs/>
                <w:sz w:val="24"/>
                <w:szCs w:val="24"/>
                <w:lang w:eastAsia="en-ZA"/>
              </w:rPr>
              <w:t>B-BBEE Contracts</w:t>
            </w:r>
          </w:p>
        </w:tc>
        <w:tc>
          <w:tcPr>
            <w:tcW w:w="2779"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E6038E" w:rsidRPr="00E6038E"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
                <w:bCs/>
                <w:sz w:val="24"/>
                <w:szCs w:val="24"/>
                <w:lang w:eastAsia="en-ZA"/>
              </w:rPr>
            </w:pPr>
            <w:r w:rsidRPr="00E6038E">
              <w:rPr>
                <w:rFonts w:ascii="Arial" w:eastAsia="Times New Roman" w:hAnsi="Arial" w:cs="Arial"/>
                <w:b/>
                <w:bCs/>
                <w:sz w:val="24"/>
                <w:szCs w:val="24"/>
                <w:lang w:eastAsia="en-ZA"/>
              </w:rPr>
              <w:t>Contract Value</w:t>
            </w:r>
          </w:p>
        </w:tc>
      </w:tr>
      <w:tr w:rsidR="00E6038E" w:rsidRPr="00E6038E" w:rsidTr="009C2003">
        <w:trPr>
          <w:gridAfter w:val="2"/>
          <w:wAfter w:w="1667" w:type="dxa"/>
          <w:trHeight w:val="290"/>
        </w:trPr>
        <w:tc>
          <w:tcPr>
            <w:tcW w:w="4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Black People</w:t>
            </w:r>
          </w:p>
        </w:tc>
        <w:tc>
          <w:tcPr>
            <w:tcW w:w="2779" w:type="dxa"/>
            <w:gridSpan w:val="2"/>
            <w:tcBorders>
              <w:top w:val="nil"/>
              <w:left w:val="nil"/>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144 914 570</w:t>
            </w:r>
          </w:p>
        </w:tc>
      </w:tr>
      <w:tr w:rsidR="00E6038E" w:rsidRPr="00E6038E" w:rsidTr="009C2003">
        <w:trPr>
          <w:gridAfter w:val="2"/>
          <w:wAfter w:w="1667" w:type="dxa"/>
          <w:trHeight w:val="290"/>
        </w:trPr>
        <w:tc>
          <w:tcPr>
            <w:tcW w:w="4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Black Youth</w:t>
            </w:r>
          </w:p>
        </w:tc>
        <w:tc>
          <w:tcPr>
            <w:tcW w:w="2779" w:type="dxa"/>
            <w:gridSpan w:val="2"/>
            <w:tcBorders>
              <w:top w:val="single" w:sz="4" w:space="0" w:color="auto"/>
              <w:left w:val="nil"/>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51 286 544</w:t>
            </w:r>
          </w:p>
        </w:tc>
      </w:tr>
      <w:tr w:rsidR="00E6038E" w:rsidRPr="00E6038E" w:rsidTr="009C2003">
        <w:trPr>
          <w:gridAfter w:val="2"/>
          <w:wAfter w:w="1667" w:type="dxa"/>
          <w:trHeight w:val="290"/>
        </w:trPr>
        <w:tc>
          <w:tcPr>
            <w:tcW w:w="4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Black Women</w:t>
            </w:r>
          </w:p>
        </w:tc>
        <w:tc>
          <w:tcPr>
            <w:tcW w:w="2779" w:type="dxa"/>
            <w:gridSpan w:val="2"/>
            <w:tcBorders>
              <w:top w:val="nil"/>
              <w:left w:val="nil"/>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100 860 862</w:t>
            </w:r>
          </w:p>
        </w:tc>
      </w:tr>
      <w:tr w:rsidR="00E6038E" w:rsidRPr="00E6038E" w:rsidTr="009C2003">
        <w:trPr>
          <w:gridAfter w:val="2"/>
          <w:wAfter w:w="1667" w:type="dxa"/>
          <w:trHeight w:val="290"/>
        </w:trPr>
        <w:tc>
          <w:tcPr>
            <w:tcW w:w="4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Black with Disability</w:t>
            </w:r>
          </w:p>
        </w:tc>
        <w:tc>
          <w:tcPr>
            <w:tcW w:w="2779" w:type="dxa"/>
            <w:gridSpan w:val="2"/>
            <w:tcBorders>
              <w:top w:val="nil"/>
              <w:left w:val="nil"/>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r>
      <w:tr w:rsidR="00E6038E" w:rsidRPr="00E6038E" w:rsidTr="009C2003">
        <w:trPr>
          <w:gridAfter w:val="2"/>
          <w:wAfter w:w="1667" w:type="dxa"/>
          <w:trHeight w:val="520"/>
        </w:trPr>
        <w:tc>
          <w:tcPr>
            <w:tcW w:w="4797" w:type="dxa"/>
            <w:gridSpan w:val="2"/>
            <w:tcBorders>
              <w:top w:val="nil"/>
              <w:left w:val="single" w:sz="4" w:space="0" w:color="auto"/>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Ownership by people living in rural or underdeveloped areas</w:t>
            </w:r>
          </w:p>
        </w:tc>
        <w:tc>
          <w:tcPr>
            <w:tcW w:w="2779" w:type="dxa"/>
            <w:gridSpan w:val="2"/>
            <w:tcBorders>
              <w:top w:val="nil"/>
              <w:left w:val="nil"/>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0</w:t>
            </w:r>
          </w:p>
        </w:tc>
      </w:tr>
      <w:tr w:rsidR="00E6038E" w:rsidRPr="00E6038E" w:rsidTr="009C2003">
        <w:trPr>
          <w:gridAfter w:val="2"/>
          <w:wAfter w:w="1667" w:type="dxa"/>
          <w:trHeight w:val="290"/>
        </w:trPr>
        <w:tc>
          <w:tcPr>
            <w:tcW w:w="4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Ownership by people living in townships</w:t>
            </w:r>
          </w:p>
        </w:tc>
        <w:tc>
          <w:tcPr>
            <w:tcW w:w="2779" w:type="dxa"/>
            <w:gridSpan w:val="2"/>
            <w:tcBorders>
              <w:top w:val="nil"/>
              <w:left w:val="nil"/>
              <w:bottom w:val="single" w:sz="4" w:space="0" w:color="auto"/>
              <w:right w:val="single" w:sz="4" w:space="0" w:color="auto"/>
            </w:tcBorders>
            <w:shd w:val="clear" w:color="auto" w:fill="auto"/>
            <w:vAlign w:val="bottom"/>
            <w:hideMark/>
          </w:tcPr>
          <w:p w:rsidR="00E6038E" w:rsidRPr="009C2003"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9C2003">
              <w:rPr>
                <w:rFonts w:ascii="Arial" w:eastAsia="Times New Roman" w:hAnsi="Arial" w:cs="Arial"/>
                <w:bCs/>
                <w:sz w:val="24"/>
                <w:szCs w:val="24"/>
                <w:lang w:eastAsia="en-ZA"/>
              </w:rPr>
              <w:t>R 8 894 424</w:t>
            </w:r>
          </w:p>
        </w:tc>
      </w:tr>
    </w:tbl>
    <w:p w:rsidR="003949F7" w:rsidRDefault="003949F7"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p>
    <w:p w:rsidR="00E6038E" w:rsidRDefault="00E6038E"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p>
    <w:p w:rsidR="00E6038E" w:rsidRDefault="00E6038E"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p>
    <w:p w:rsidR="00E6038E" w:rsidRPr="00E6038E" w:rsidRDefault="00E6038E" w:rsidP="00E6038E">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eastAsia="en-ZA"/>
        </w:rPr>
      </w:pPr>
      <w:r w:rsidRPr="00E6038E">
        <w:rPr>
          <w:rFonts w:ascii="Arial" w:eastAsia="Times New Roman" w:hAnsi="Arial" w:cs="Arial"/>
          <w:bCs/>
          <w:sz w:val="24"/>
          <w:szCs w:val="24"/>
          <w:lang w:eastAsia="en-ZA"/>
        </w:rPr>
        <w:t>(bb) 1 April 2023</w:t>
      </w:r>
      <w:r w:rsidR="009C2003">
        <w:rPr>
          <w:rFonts w:ascii="Arial" w:eastAsia="Times New Roman" w:hAnsi="Arial" w:cs="Arial"/>
          <w:bCs/>
          <w:sz w:val="24"/>
          <w:szCs w:val="24"/>
          <w:lang w:eastAsia="en-ZA"/>
        </w:rPr>
        <w:t xml:space="preserve"> </w:t>
      </w:r>
      <w:r w:rsidRPr="00E6038E">
        <w:rPr>
          <w:rFonts w:ascii="Arial" w:eastAsia="Times New Roman" w:hAnsi="Arial" w:cs="Arial"/>
          <w:bCs/>
          <w:sz w:val="24"/>
          <w:szCs w:val="24"/>
          <w:lang w:eastAsia="en-ZA"/>
        </w:rPr>
        <w:t>-12 May 2023</w:t>
      </w:r>
    </w:p>
    <w:p w:rsidR="00E6038E" w:rsidRDefault="00E6038E"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p>
    <w:p w:rsidR="00E6038E" w:rsidRDefault="00C31C25"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contextualSpacing/>
        <w:jc w:val="both"/>
        <w:outlineLvl w:val="0"/>
        <w:rPr>
          <w:rFonts w:ascii="Arial" w:eastAsia="Times New Roman" w:hAnsi="Arial" w:cs="Arial"/>
          <w:bCs/>
          <w:sz w:val="24"/>
          <w:szCs w:val="24"/>
          <w:lang w:val="en-GB" w:eastAsia="en-ZA"/>
        </w:rPr>
      </w:pPr>
      <w:r>
        <w:rPr>
          <w:rFonts w:ascii="Arial" w:eastAsia="Times New Roman" w:hAnsi="Arial" w:cs="Arial"/>
          <w:b/>
          <w:bCs/>
          <w:noProof/>
          <w:sz w:val="24"/>
          <w:szCs w:val="24"/>
          <w:lang w:eastAsia="en-ZA"/>
        </w:rPr>
        <w:drawing>
          <wp:inline distT="0" distB="0" distL="0" distR="0">
            <wp:extent cx="5409565" cy="607631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9565" cy="6076315"/>
                    </a:xfrm>
                    <a:prstGeom prst="rect">
                      <a:avLst/>
                    </a:prstGeom>
                    <a:noFill/>
                  </pic:spPr>
                </pic:pic>
              </a:graphicData>
            </a:graphic>
          </wp:inline>
        </w:drawing>
      </w:r>
    </w:p>
    <w:p w:rsidR="0039194B" w:rsidRDefault="0039194B" w:rsidP="003949F7">
      <w:pPr>
        <w:tabs>
          <w:tab w:val="left" w:pos="851"/>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atLeast"/>
        <w:ind w:left="851" w:hanging="851"/>
        <w:contextualSpacing/>
        <w:jc w:val="both"/>
        <w:outlineLvl w:val="0"/>
        <w:rPr>
          <w:rFonts w:ascii="Arial" w:eastAsia="Times New Roman" w:hAnsi="Arial" w:cs="Arial"/>
          <w:bCs/>
          <w:sz w:val="24"/>
          <w:szCs w:val="24"/>
          <w:lang w:val="en-GB" w:eastAsia="en-ZA"/>
        </w:rPr>
      </w:pPr>
    </w:p>
    <w:p w:rsidR="00424248" w:rsidRPr="0028781B" w:rsidRDefault="00275F60" w:rsidP="00FF0A07">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24248" w:rsidRPr="0028781B" w:rsidSect="000940DF">
      <w:headerReference w:type="default" r:id="rId10"/>
      <w:footerReference w:type="even" r:id="rId11"/>
      <w:footerReference w:type="default" r:id="rId12"/>
      <w:footerReference w:type="first" r:id="rId13"/>
      <w:pgSz w:w="12240" w:h="15840" w:code="1"/>
      <w:pgMar w:top="142" w:right="900" w:bottom="426"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44" w:rsidRDefault="00F32E44" w:rsidP="00670234">
      <w:pPr>
        <w:spacing w:after="0" w:line="240" w:lineRule="auto"/>
      </w:pPr>
      <w:r>
        <w:separator/>
      </w:r>
    </w:p>
  </w:endnote>
  <w:endnote w:type="continuationSeparator" w:id="0">
    <w:p w:rsidR="00F32E44" w:rsidRDefault="00F32E4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8B1332"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lang w:val="en-GB"/>
      </w:rPr>
      <w:t>1698.</w:t>
    </w:r>
    <w:r w:rsidRPr="008B1332">
      <w:rPr>
        <w:rFonts w:ascii="Arial" w:eastAsia="Times New Roman" w:hAnsi="Arial" w:cs="Arial"/>
        <w:b/>
        <w:bCs/>
        <w:sz w:val="20"/>
        <w:szCs w:val="20"/>
        <w:lang w:val="en-GB"/>
      </w:rPr>
      <w:t xml:space="preserve">Mr J Engelbrecht (DA) </w:t>
    </w:r>
    <w:r w:rsidR="001870B4" w:rsidRPr="001870B4">
      <w:rPr>
        <w:rFonts w:ascii="Arial" w:eastAsia="Times New Roman" w:hAnsi="Arial" w:cs="Arial"/>
        <w:b/>
        <w:bCs/>
        <w:sz w:val="20"/>
        <w:szCs w:val="20"/>
        <w:lang w:val="en-US"/>
      </w:rPr>
      <w:t>to ask the Minister of Home Affairs</w:t>
    </w:r>
    <w:r w:rsidR="00454DA6" w:rsidRPr="00454DA6">
      <w:rPr>
        <w:rFonts w:ascii="Arial" w:hAnsi="Arial" w:cs="Arial"/>
        <w:b/>
        <w:bCs/>
        <w:sz w:val="20"/>
        <w:szCs w:val="20"/>
        <w:lang w:val="en-US"/>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C31C25" w:rsidRPr="00C31C25">
        <w:rPr>
          <w:rFonts w:ascii="Cambria" w:eastAsia="Times New Roman" w:hAnsi="Cambria"/>
          <w:noProof/>
        </w:rPr>
        <w:t>5</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8B1332"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GB"/>
      </w:rPr>
      <w:t>1698.</w:t>
    </w:r>
    <w:r w:rsidRPr="008B1332">
      <w:rPr>
        <w:rFonts w:ascii="Arial" w:eastAsia="Times New Roman" w:hAnsi="Arial" w:cs="Arial"/>
        <w:b/>
        <w:bCs/>
        <w:sz w:val="20"/>
        <w:szCs w:val="20"/>
        <w:lang w:val="en-GB"/>
      </w:rPr>
      <w:t xml:space="preserve">Mr J Engelbrecht (DA) </w:t>
    </w:r>
    <w:r w:rsidR="001870B4" w:rsidRPr="0039194B">
      <w:rPr>
        <w:rFonts w:ascii="Arial" w:eastAsia="Times New Roman" w:hAnsi="Arial" w:cs="Arial"/>
        <w:b/>
        <w:bCs/>
        <w:sz w:val="20"/>
        <w:szCs w:val="20"/>
      </w:rPr>
      <w:t>t</w:t>
    </w:r>
    <w:r w:rsidR="001870B4" w:rsidRPr="001870B4">
      <w:rPr>
        <w:rFonts w:ascii="Arial" w:eastAsia="Times New Roman" w:hAnsi="Arial" w:cs="Arial"/>
        <w:b/>
        <w:bCs/>
        <w:sz w:val="20"/>
        <w:szCs w:val="20"/>
        <w:lang w:val="en-US"/>
      </w:rPr>
      <w:t>o ask the Minister of Home Affairs</w:t>
    </w:r>
    <w:r w:rsidR="00454DA6" w:rsidRPr="005D4C3C">
      <w:rPr>
        <w:rFonts w:ascii="Arial" w:eastAsia="Times New Roman" w:hAnsi="Arial" w:cs="Arial"/>
        <w:b/>
        <w:bCs/>
        <w:sz w:val="20"/>
        <w:szCs w:val="20"/>
        <w:lang w:val="en-US"/>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44" w:rsidRDefault="00F32E44" w:rsidP="00670234">
      <w:pPr>
        <w:spacing w:after="0" w:line="240" w:lineRule="auto"/>
      </w:pPr>
      <w:r>
        <w:separator/>
      </w:r>
    </w:p>
  </w:footnote>
  <w:footnote w:type="continuationSeparator" w:id="0">
    <w:p w:rsidR="00F32E44" w:rsidRDefault="00F32E4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C31C25">
        <w:rPr>
          <w:noProof/>
        </w:rPr>
        <w:t>5</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45E0"/>
    <w:multiLevelType w:val="hybridMultilevel"/>
    <w:tmpl w:val="86FE640C"/>
    <w:lvl w:ilvl="0" w:tplc="847054B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2BF35C6"/>
    <w:multiLevelType w:val="hybridMultilevel"/>
    <w:tmpl w:val="416AD6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60067E98"/>
    <w:multiLevelType w:val="hybridMultilevel"/>
    <w:tmpl w:val="90601600"/>
    <w:lvl w:ilvl="0" w:tplc="7CD458E0">
      <w:start w:val="2"/>
      <w:numFmt w:val="lowerLetter"/>
      <w:lvlText w:val="(%1)"/>
      <w:lvlJc w:val="left"/>
      <w:pPr>
        <w:ind w:left="1930" w:hanging="85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786B19"/>
    <w:multiLevelType w:val="hybridMultilevel"/>
    <w:tmpl w:val="B076398C"/>
    <w:lvl w:ilvl="0" w:tplc="15F60680">
      <w:start w:val="1"/>
      <w:numFmt w:val="lowerLetter"/>
      <w:lvlText w:val="(%1)"/>
      <w:lvlJc w:val="left"/>
      <w:pPr>
        <w:ind w:left="1210" w:hanging="85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40DF"/>
    <w:rsid w:val="000967EB"/>
    <w:rsid w:val="000A74F4"/>
    <w:rsid w:val="000A77E0"/>
    <w:rsid w:val="000D1196"/>
    <w:rsid w:val="000D66B3"/>
    <w:rsid w:val="000E41EA"/>
    <w:rsid w:val="000F058C"/>
    <w:rsid w:val="00100657"/>
    <w:rsid w:val="00110627"/>
    <w:rsid w:val="001232EB"/>
    <w:rsid w:val="00157708"/>
    <w:rsid w:val="00172559"/>
    <w:rsid w:val="001752C2"/>
    <w:rsid w:val="001870B4"/>
    <w:rsid w:val="001973ED"/>
    <w:rsid w:val="0019774F"/>
    <w:rsid w:val="001B760D"/>
    <w:rsid w:val="001C1F2A"/>
    <w:rsid w:val="001C66A5"/>
    <w:rsid w:val="001D77EA"/>
    <w:rsid w:val="001D78CD"/>
    <w:rsid w:val="001E04E7"/>
    <w:rsid w:val="001E1492"/>
    <w:rsid w:val="001E1750"/>
    <w:rsid w:val="001E2E62"/>
    <w:rsid w:val="001E5647"/>
    <w:rsid w:val="001F6551"/>
    <w:rsid w:val="002126FA"/>
    <w:rsid w:val="0022531A"/>
    <w:rsid w:val="00226046"/>
    <w:rsid w:val="00226E66"/>
    <w:rsid w:val="00231AF8"/>
    <w:rsid w:val="0023337F"/>
    <w:rsid w:val="00250D6A"/>
    <w:rsid w:val="00252B4C"/>
    <w:rsid w:val="002624E3"/>
    <w:rsid w:val="00263AAC"/>
    <w:rsid w:val="002670DF"/>
    <w:rsid w:val="002706DE"/>
    <w:rsid w:val="0027540F"/>
    <w:rsid w:val="00275F60"/>
    <w:rsid w:val="002773AF"/>
    <w:rsid w:val="00281393"/>
    <w:rsid w:val="00284C59"/>
    <w:rsid w:val="0028781B"/>
    <w:rsid w:val="0029003E"/>
    <w:rsid w:val="00294661"/>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49F7"/>
    <w:rsid w:val="00396122"/>
    <w:rsid w:val="003A01F1"/>
    <w:rsid w:val="003A1737"/>
    <w:rsid w:val="003D0B2B"/>
    <w:rsid w:val="003D2B45"/>
    <w:rsid w:val="003D6128"/>
    <w:rsid w:val="003F3CA2"/>
    <w:rsid w:val="003F653A"/>
    <w:rsid w:val="00401574"/>
    <w:rsid w:val="004051E1"/>
    <w:rsid w:val="00407932"/>
    <w:rsid w:val="00421235"/>
    <w:rsid w:val="00422B34"/>
    <w:rsid w:val="00424248"/>
    <w:rsid w:val="00425DB0"/>
    <w:rsid w:val="004444D7"/>
    <w:rsid w:val="00446EA0"/>
    <w:rsid w:val="004547E0"/>
    <w:rsid w:val="00454DA6"/>
    <w:rsid w:val="00456148"/>
    <w:rsid w:val="004561F4"/>
    <w:rsid w:val="004636C1"/>
    <w:rsid w:val="00464D1E"/>
    <w:rsid w:val="004B0560"/>
    <w:rsid w:val="004C31D1"/>
    <w:rsid w:val="004C7F33"/>
    <w:rsid w:val="004D243D"/>
    <w:rsid w:val="004E4343"/>
    <w:rsid w:val="004E64A2"/>
    <w:rsid w:val="004F3075"/>
    <w:rsid w:val="00511BF8"/>
    <w:rsid w:val="00512B31"/>
    <w:rsid w:val="0052344C"/>
    <w:rsid w:val="005234FC"/>
    <w:rsid w:val="00525C51"/>
    <w:rsid w:val="00532231"/>
    <w:rsid w:val="00534A4F"/>
    <w:rsid w:val="0054035C"/>
    <w:rsid w:val="00547A0D"/>
    <w:rsid w:val="00555113"/>
    <w:rsid w:val="00566C60"/>
    <w:rsid w:val="0057013D"/>
    <w:rsid w:val="00590E2B"/>
    <w:rsid w:val="005932DB"/>
    <w:rsid w:val="005942D8"/>
    <w:rsid w:val="005A7E7D"/>
    <w:rsid w:val="005C2DF4"/>
    <w:rsid w:val="005D2593"/>
    <w:rsid w:val="005D4C3C"/>
    <w:rsid w:val="005D6920"/>
    <w:rsid w:val="005D6A08"/>
    <w:rsid w:val="005E103C"/>
    <w:rsid w:val="005E7753"/>
    <w:rsid w:val="005F5DEB"/>
    <w:rsid w:val="0060477E"/>
    <w:rsid w:val="00613753"/>
    <w:rsid w:val="006248F0"/>
    <w:rsid w:val="00626C37"/>
    <w:rsid w:val="0064222E"/>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EE0"/>
    <w:rsid w:val="00751923"/>
    <w:rsid w:val="00762605"/>
    <w:rsid w:val="00763272"/>
    <w:rsid w:val="00785B6F"/>
    <w:rsid w:val="007860EA"/>
    <w:rsid w:val="007910E9"/>
    <w:rsid w:val="007A1ED0"/>
    <w:rsid w:val="007D7585"/>
    <w:rsid w:val="007F3E24"/>
    <w:rsid w:val="007F3FB4"/>
    <w:rsid w:val="008233F2"/>
    <w:rsid w:val="0083031D"/>
    <w:rsid w:val="00841947"/>
    <w:rsid w:val="0085172E"/>
    <w:rsid w:val="00852E87"/>
    <w:rsid w:val="00854747"/>
    <w:rsid w:val="00856D09"/>
    <w:rsid w:val="00860E65"/>
    <w:rsid w:val="00880A83"/>
    <w:rsid w:val="00880EAC"/>
    <w:rsid w:val="00887B66"/>
    <w:rsid w:val="0089675E"/>
    <w:rsid w:val="008B1332"/>
    <w:rsid w:val="008C5D66"/>
    <w:rsid w:val="008D136A"/>
    <w:rsid w:val="008D316E"/>
    <w:rsid w:val="008D3A20"/>
    <w:rsid w:val="008D4304"/>
    <w:rsid w:val="008D66A6"/>
    <w:rsid w:val="008E10FC"/>
    <w:rsid w:val="008E5380"/>
    <w:rsid w:val="008F0607"/>
    <w:rsid w:val="00912966"/>
    <w:rsid w:val="00915673"/>
    <w:rsid w:val="00920FEB"/>
    <w:rsid w:val="00922692"/>
    <w:rsid w:val="00922B4F"/>
    <w:rsid w:val="00923CEC"/>
    <w:rsid w:val="0093114C"/>
    <w:rsid w:val="00935103"/>
    <w:rsid w:val="00936B91"/>
    <w:rsid w:val="009466E1"/>
    <w:rsid w:val="009550C9"/>
    <w:rsid w:val="00970143"/>
    <w:rsid w:val="0097280B"/>
    <w:rsid w:val="009745D5"/>
    <w:rsid w:val="0097683C"/>
    <w:rsid w:val="00977444"/>
    <w:rsid w:val="00982F74"/>
    <w:rsid w:val="00994308"/>
    <w:rsid w:val="009971D3"/>
    <w:rsid w:val="009A15A4"/>
    <w:rsid w:val="009A2D9D"/>
    <w:rsid w:val="009A4A14"/>
    <w:rsid w:val="009A4BAC"/>
    <w:rsid w:val="009B31B1"/>
    <w:rsid w:val="009B6312"/>
    <w:rsid w:val="009C2003"/>
    <w:rsid w:val="009C37BF"/>
    <w:rsid w:val="009C5C9F"/>
    <w:rsid w:val="009C5CBB"/>
    <w:rsid w:val="009C6C05"/>
    <w:rsid w:val="009D346F"/>
    <w:rsid w:val="009E22AD"/>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31C25"/>
    <w:rsid w:val="00C41137"/>
    <w:rsid w:val="00C5353D"/>
    <w:rsid w:val="00C539C8"/>
    <w:rsid w:val="00C5425F"/>
    <w:rsid w:val="00C72B0B"/>
    <w:rsid w:val="00C74229"/>
    <w:rsid w:val="00C81891"/>
    <w:rsid w:val="00C943CA"/>
    <w:rsid w:val="00C95849"/>
    <w:rsid w:val="00C96B7E"/>
    <w:rsid w:val="00CA4EDF"/>
    <w:rsid w:val="00CA589B"/>
    <w:rsid w:val="00CA6A29"/>
    <w:rsid w:val="00CB2FE6"/>
    <w:rsid w:val="00CB3415"/>
    <w:rsid w:val="00CB36BE"/>
    <w:rsid w:val="00CB5F56"/>
    <w:rsid w:val="00CB6D85"/>
    <w:rsid w:val="00CC2E4D"/>
    <w:rsid w:val="00CC7998"/>
    <w:rsid w:val="00CF06B6"/>
    <w:rsid w:val="00CF3B03"/>
    <w:rsid w:val="00D04FFC"/>
    <w:rsid w:val="00D070E4"/>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6038E"/>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11199"/>
    <w:rsid w:val="00F119C2"/>
    <w:rsid w:val="00F1595E"/>
    <w:rsid w:val="00F20525"/>
    <w:rsid w:val="00F22FE9"/>
    <w:rsid w:val="00F32951"/>
    <w:rsid w:val="00F329C7"/>
    <w:rsid w:val="00F32E44"/>
    <w:rsid w:val="00F43673"/>
    <w:rsid w:val="00F44880"/>
    <w:rsid w:val="00F47CB3"/>
    <w:rsid w:val="00F52429"/>
    <w:rsid w:val="00F61818"/>
    <w:rsid w:val="00F61E24"/>
    <w:rsid w:val="00F669DE"/>
    <w:rsid w:val="00F75CA3"/>
    <w:rsid w:val="00F80354"/>
    <w:rsid w:val="00F84A21"/>
    <w:rsid w:val="00F87307"/>
    <w:rsid w:val="00F93501"/>
    <w:rsid w:val="00F94679"/>
    <w:rsid w:val="00F969CD"/>
    <w:rsid w:val="00F97881"/>
    <w:rsid w:val="00F97D47"/>
    <w:rsid w:val="00FA3405"/>
    <w:rsid w:val="00FA4DB2"/>
    <w:rsid w:val="00FB5A73"/>
    <w:rsid w:val="00FC704E"/>
    <w:rsid w:val="00FC747D"/>
    <w:rsid w:val="00FC7F54"/>
    <w:rsid w:val="00FD1155"/>
    <w:rsid w:val="00FD34C4"/>
    <w:rsid w:val="00FD4521"/>
    <w:rsid w:val="00FD7DD3"/>
    <w:rsid w:val="00FE575B"/>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E29D-1386-4A90-91F6-F2A88B7F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2023-06-05T11:09:00Z</cp:lastPrinted>
  <dcterms:created xsi:type="dcterms:W3CDTF">2023-06-20T11:09:00Z</dcterms:created>
  <dcterms:modified xsi:type="dcterms:W3CDTF">2023-06-20T11:09:00Z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2efb8ff0ff1f016b262f095af8d7ea8994160afc45cc7c19be6781c817dce3ca</vt:lpwstr>
  </property>
</Properties>
</file>