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4C39E2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212AB">
        <w:rPr>
          <w:rFonts w:cs="Arial"/>
          <w:b/>
          <w:szCs w:val="24"/>
          <w:lang w:val="en-US"/>
        </w:rPr>
        <w:t>1</w:t>
      </w:r>
      <w:r w:rsidR="00525BD4">
        <w:rPr>
          <w:rFonts w:cs="Arial"/>
          <w:b/>
          <w:szCs w:val="24"/>
          <w:lang w:val="en-US"/>
        </w:rPr>
        <w:t>69</w:t>
      </w:r>
      <w:r w:rsidR="00731422">
        <w:rPr>
          <w:rFonts w:cs="Arial"/>
          <w:b/>
          <w:szCs w:val="24"/>
          <w:lang w:val="en-US"/>
        </w:rPr>
        <w:t>8</w:t>
      </w:r>
      <w:r w:rsidR="00EC354B">
        <w:rPr>
          <w:rFonts w:cs="Arial"/>
          <w:b/>
          <w:szCs w:val="24"/>
          <w:lang w:val="en-US"/>
        </w:rPr>
        <w:t xml:space="preserve"> [</w:t>
      </w:r>
      <w:r w:rsidR="00731422">
        <w:rPr>
          <w:rFonts w:cs="Arial"/>
          <w:b/>
          <w:szCs w:val="24"/>
          <w:lang w:val="en-US"/>
        </w:rPr>
        <w:t>NW1907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731422" w:rsidRPr="00EC602F" w:rsidRDefault="00731422" w:rsidP="00731422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1698</w:t>
      </w:r>
      <w:r w:rsidRPr="0086216C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>D</w:t>
      </w:r>
      <w:r w:rsidRPr="00EC602F">
        <w:rPr>
          <w:rFonts w:ascii="Times New Roman" w:hAnsi="Times New Roman"/>
          <w:b/>
          <w:szCs w:val="24"/>
        </w:rPr>
        <w:t xml:space="preserve">r M J </w:t>
      </w:r>
      <w:proofErr w:type="spellStart"/>
      <w:r w:rsidRPr="00EC602F">
        <w:rPr>
          <w:rFonts w:ascii="Times New Roman" w:hAnsi="Times New Roman"/>
          <w:b/>
          <w:szCs w:val="24"/>
        </w:rPr>
        <w:t>Cardo</w:t>
      </w:r>
      <w:proofErr w:type="spellEnd"/>
      <w:r w:rsidRPr="00EC602F">
        <w:rPr>
          <w:rFonts w:ascii="Times New Roman" w:hAnsi="Times New Roman"/>
          <w:b/>
          <w:szCs w:val="24"/>
        </w:rPr>
        <w:t xml:space="preserve"> (DA) to ask the Minister of Employment and Labour</w:t>
      </w:r>
      <w:r w:rsidR="004C39E2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7B223B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4C39E2">
        <w:rPr>
          <w:rFonts w:ascii="Times New Roman" w:hAnsi="Times New Roman"/>
          <w:b/>
          <w:szCs w:val="24"/>
        </w:rPr>
        <w:fldChar w:fldCharType="end"/>
      </w:r>
      <w:r w:rsidRPr="00EC602F">
        <w:rPr>
          <w:rFonts w:ascii="Times New Roman" w:hAnsi="Times New Roman"/>
          <w:b/>
          <w:szCs w:val="24"/>
        </w:rPr>
        <w:t>:</w:t>
      </w:r>
    </w:p>
    <w:p w:rsidR="00731422" w:rsidRDefault="00731422" w:rsidP="00731422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sz w:val="20"/>
        </w:rPr>
      </w:pPr>
      <w:r w:rsidRPr="00EC602F">
        <w:rPr>
          <w:rFonts w:ascii="Times New Roman" w:hAnsi="Times New Roman"/>
          <w:szCs w:val="24"/>
        </w:rPr>
        <w:t xml:space="preserve">With regard to the extension of the </w:t>
      </w:r>
      <w:r w:rsidRPr="000F3CA3">
        <w:rPr>
          <w:rFonts w:ascii="Times New Roman" w:hAnsi="Times New Roman"/>
          <w:szCs w:val="24"/>
        </w:rPr>
        <w:t>Temporary Employer/Employee Relief Scheme</w:t>
      </w:r>
      <w:r w:rsidRPr="00EC602F">
        <w:rPr>
          <w:rFonts w:ascii="Times New Roman" w:hAnsi="Times New Roman"/>
          <w:szCs w:val="24"/>
        </w:rPr>
        <w:t xml:space="preserve"> benefit of the Unemployment Insurance Fund for the periods (a) 15 October 2020 to 31 December 2020 and (b) 1 January 2021 to </w:t>
      </w:r>
      <w:r>
        <w:rPr>
          <w:rFonts w:ascii="Times New Roman" w:hAnsi="Times New Roman"/>
          <w:szCs w:val="24"/>
        </w:rPr>
        <w:t>15 March 2021, what number of (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Pr="00EC602F">
        <w:rPr>
          <w:rFonts w:ascii="Times New Roman" w:hAnsi="Times New Roman"/>
          <w:szCs w:val="24"/>
        </w:rPr>
        <w:t>) applications were rec</w:t>
      </w:r>
      <w:r>
        <w:rPr>
          <w:rFonts w:ascii="Times New Roman" w:hAnsi="Times New Roman"/>
          <w:szCs w:val="24"/>
        </w:rPr>
        <w:t>eived from enterprises in the (</w:t>
      </w:r>
      <w:proofErr w:type="spellStart"/>
      <w:r>
        <w:rPr>
          <w:rFonts w:ascii="Times New Roman" w:hAnsi="Times New Roman"/>
          <w:szCs w:val="24"/>
        </w:rPr>
        <w:t>aa</w:t>
      </w:r>
      <w:proofErr w:type="spellEnd"/>
      <w:r>
        <w:rPr>
          <w:rFonts w:ascii="Times New Roman" w:hAnsi="Times New Roman"/>
          <w:szCs w:val="24"/>
        </w:rPr>
        <w:t>) tourism, (bb) liquor, (cc) hospitality, (</w:t>
      </w:r>
      <w:proofErr w:type="spellStart"/>
      <w:r>
        <w:rPr>
          <w:rFonts w:ascii="Times New Roman" w:hAnsi="Times New Roman"/>
          <w:szCs w:val="24"/>
        </w:rPr>
        <w:t>dd</w:t>
      </w:r>
      <w:proofErr w:type="spellEnd"/>
      <w:r w:rsidRPr="00EC602F">
        <w:rPr>
          <w:rFonts w:ascii="Times New Roman" w:hAnsi="Times New Roman"/>
          <w:szCs w:val="24"/>
        </w:rPr>
        <w:t>) co</w:t>
      </w:r>
      <w:r>
        <w:rPr>
          <w:rFonts w:ascii="Times New Roman" w:hAnsi="Times New Roman"/>
          <w:szCs w:val="24"/>
        </w:rPr>
        <w:t>nferencing-events sectors and (</w:t>
      </w:r>
      <w:proofErr w:type="spellStart"/>
      <w:r>
        <w:rPr>
          <w:rFonts w:ascii="Times New Roman" w:hAnsi="Times New Roman"/>
          <w:szCs w:val="24"/>
        </w:rPr>
        <w:t>ee</w:t>
      </w:r>
      <w:proofErr w:type="spellEnd"/>
      <w:r w:rsidRPr="00EC602F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any </w:t>
      </w:r>
      <w:r w:rsidRPr="00EC602F">
        <w:rPr>
          <w:rFonts w:ascii="Times New Roman" w:hAnsi="Times New Roman"/>
          <w:szCs w:val="24"/>
        </w:rPr>
        <w:t>other business in r</w:t>
      </w:r>
      <w:r>
        <w:rPr>
          <w:rFonts w:ascii="Times New Roman" w:hAnsi="Times New Roman"/>
          <w:szCs w:val="24"/>
        </w:rPr>
        <w:t>elated value chains, (ii</w:t>
      </w:r>
      <w:r w:rsidRPr="00EC602F">
        <w:rPr>
          <w:rFonts w:ascii="Times New Roman" w:hAnsi="Times New Roman"/>
          <w:szCs w:val="24"/>
        </w:rPr>
        <w:t>) applications were rejected on the grounds of incorrect Standard Indu</w:t>
      </w:r>
      <w:r>
        <w:rPr>
          <w:rFonts w:ascii="Times New Roman" w:hAnsi="Times New Roman"/>
          <w:szCs w:val="24"/>
        </w:rPr>
        <w:t>stry Classification Codes and (iii</w:t>
      </w:r>
      <w:r w:rsidRPr="00EC602F">
        <w:rPr>
          <w:rFonts w:ascii="Times New Roman" w:hAnsi="Times New Roman"/>
          <w:szCs w:val="24"/>
        </w:rPr>
        <w:t xml:space="preserve">) the rejected </w:t>
      </w:r>
      <w:proofErr w:type="gramStart"/>
      <w:r w:rsidRPr="00EC602F">
        <w:rPr>
          <w:rFonts w:ascii="Times New Roman" w:hAnsi="Times New Roman"/>
          <w:szCs w:val="24"/>
        </w:rPr>
        <w:t>applications</w:t>
      </w:r>
      <w:proofErr w:type="gramEnd"/>
      <w:r w:rsidRPr="00EC602F">
        <w:rPr>
          <w:rFonts w:ascii="Times New Roman" w:hAnsi="Times New Roman"/>
          <w:szCs w:val="24"/>
        </w:rPr>
        <w:t xml:space="preserve"> were o</w:t>
      </w:r>
      <w:r>
        <w:rPr>
          <w:rFonts w:ascii="Times New Roman" w:hAnsi="Times New Roman"/>
          <w:szCs w:val="24"/>
        </w:rPr>
        <w:t>verturned on appeal?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>NW1907</w:t>
      </w:r>
      <w:r w:rsidRPr="00EC602F">
        <w:rPr>
          <w:rFonts w:ascii="Times New Roman" w:hAnsi="Times New Roman"/>
          <w:sz w:val="20"/>
        </w:rPr>
        <w:t>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Default="00CE47DE" w:rsidP="00CE47D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  <w:szCs w:val="24"/>
        </w:rPr>
      </w:pPr>
      <w:r w:rsidRPr="00A332E6">
        <w:rPr>
          <w:rFonts w:ascii="Arial" w:hAnsi="Arial" w:cs="Arial"/>
          <w:b/>
          <w:szCs w:val="24"/>
        </w:rPr>
        <w:t>15 October 2020 to 31 December 2020</w:t>
      </w:r>
    </w:p>
    <w:p w:rsidR="00C325B3" w:rsidRPr="00C325B3" w:rsidRDefault="00C325B3" w:rsidP="00C325B3">
      <w:pPr>
        <w:pStyle w:val="ListParagraph"/>
        <w:spacing w:after="160" w:line="259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leGrid"/>
        <w:tblW w:w="8788" w:type="dxa"/>
        <w:tblInd w:w="421" w:type="dxa"/>
        <w:tblLook w:val="04A0"/>
      </w:tblPr>
      <w:tblGrid>
        <w:gridCol w:w="2296"/>
        <w:gridCol w:w="1956"/>
        <w:gridCol w:w="2410"/>
        <w:gridCol w:w="2126"/>
      </w:tblGrid>
      <w:tr w:rsidR="00CE47DE" w:rsidRPr="00A332E6" w:rsidTr="00906571">
        <w:trPr>
          <w:trHeight w:val="1539"/>
        </w:trPr>
        <w:tc>
          <w:tcPr>
            <w:tcW w:w="2296" w:type="dxa"/>
          </w:tcPr>
          <w:p w:rsidR="00CE47DE" w:rsidRPr="00C325B3" w:rsidRDefault="00CE47DE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956" w:type="dxa"/>
          </w:tcPr>
          <w:p w:rsidR="00CE47DE" w:rsidRPr="00C325B3" w:rsidRDefault="00CE47DE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b/>
                <w:sz w:val="18"/>
                <w:szCs w:val="24"/>
              </w:rPr>
              <w:t>Application received</w:t>
            </w:r>
          </w:p>
        </w:tc>
        <w:tc>
          <w:tcPr>
            <w:tcW w:w="2410" w:type="dxa"/>
          </w:tcPr>
          <w:p w:rsidR="00CE47DE" w:rsidRPr="00C325B3" w:rsidRDefault="00C325B3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b/>
                <w:sz w:val="18"/>
                <w:szCs w:val="24"/>
              </w:rPr>
              <w:t>A</w:t>
            </w:r>
            <w:r w:rsidR="00CE47DE" w:rsidRPr="00C325B3">
              <w:rPr>
                <w:rFonts w:ascii="Arial" w:hAnsi="Arial" w:cs="Arial"/>
                <w:b/>
                <w:sz w:val="18"/>
                <w:szCs w:val="24"/>
              </w:rPr>
              <w:t>pplications were rejected on the grounds of incorrect Standard Industry Classification Codes</w:t>
            </w:r>
          </w:p>
        </w:tc>
        <w:tc>
          <w:tcPr>
            <w:tcW w:w="2126" w:type="dxa"/>
          </w:tcPr>
          <w:p w:rsidR="00CE47DE" w:rsidRPr="00C325B3" w:rsidRDefault="00C325B3" w:rsidP="00A332E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b/>
                <w:sz w:val="18"/>
                <w:szCs w:val="24"/>
              </w:rPr>
              <w:t>R</w:t>
            </w:r>
            <w:r w:rsidR="00CE47DE" w:rsidRPr="00C325B3">
              <w:rPr>
                <w:rFonts w:ascii="Arial" w:hAnsi="Arial" w:cs="Arial"/>
                <w:b/>
                <w:sz w:val="18"/>
                <w:szCs w:val="24"/>
              </w:rPr>
              <w:t>ejected applicat</w:t>
            </w:r>
            <w:r w:rsidR="00A332E6" w:rsidRPr="00C325B3">
              <w:rPr>
                <w:rFonts w:ascii="Arial" w:hAnsi="Arial" w:cs="Arial"/>
                <w:b/>
                <w:sz w:val="18"/>
                <w:szCs w:val="24"/>
              </w:rPr>
              <w:t>ions were overturned on appeal?</w:t>
            </w:r>
          </w:p>
        </w:tc>
      </w:tr>
      <w:tr w:rsidR="00CE47DE" w:rsidRPr="00A332E6" w:rsidTr="005B5E1B">
        <w:tc>
          <w:tcPr>
            <w:tcW w:w="2296" w:type="dxa"/>
          </w:tcPr>
          <w:p w:rsidR="00CE47DE" w:rsidRPr="00C325B3" w:rsidRDefault="00A332E6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T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ourism</w:t>
            </w:r>
          </w:p>
        </w:tc>
        <w:tc>
          <w:tcPr>
            <w:tcW w:w="1956" w:type="dxa"/>
          </w:tcPr>
          <w:p w:rsidR="00CE47DE" w:rsidRPr="00C325B3" w:rsidRDefault="006B6DAD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 xml:space="preserve">No data showing this category </w:t>
            </w:r>
          </w:p>
        </w:tc>
        <w:tc>
          <w:tcPr>
            <w:tcW w:w="2410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No data showing this category</w:t>
            </w:r>
          </w:p>
          <w:p w:rsidR="00A332E6" w:rsidRPr="00C325B3" w:rsidRDefault="00A332E6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9</w:t>
            </w:r>
          </w:p>
        </w:tc>
      </w:tr>
      <w:tr w:rsidR="00CE47DE" w:rsidRPr="00A332E6" w:rsidTr="005B5E1B">
        <w:tc>
          <w:tcPr>
            <w:tcW w:w="2296" w:type="dxa"/>
          </w:tcPr>
          <w:p w:rsidR="00CE47DE" w:rsidRPr="00C325B3" w:rsidRDefault="00A332E6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L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iquor</w:t>
            </w:r>
          </w:p>
        </w:tc>
        <w:tc>
          <w:tcPr>
            <w:tcW w:w="1956" w:type="dxa"/>
          </w:tcPr>
          <w:p w:rsidR="00CE47DE" w:rsidRPr="00C325B3" w:rsidRDefault="00D0344F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12</w:t>
            </w:r>
            <w:r w:rsidR="009B794A" w:rsidRPr="00C325B3">
              <w:rPr>
                <w:rFonts w:ascii="Arial" w:hAnsi="Arial" w:cs="Arial"/>
                <w:sz w:val="18"/>
                <w:szCs w:val="24"/>
              </w:rPr>
              <w:t>655</w:t>
            </w:r>
          </w:p>
        </w:tc>
        <w:tc>
          <w:tcPr>
            <w:tcW w:w="2410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440</w:t>
            </w:r>
          </w:p>
        </w:tc>
        <w:tc>
          <w:tcPr>
            <w:tcW w:w="2126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14</w:t>
            </w:r>
          </w:p>
          <w:p w:rsidR="00A332E6" w:rsidRPr="00C325B3" w:rsidRDefault="00A332E6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E47DE" w:rsidRPr="00A332E6" w:rsidTr="005B5E1B">
        <w:tc>
          <w:tcPr>
            <w:tcW w:w="2296" w:type="dxa"/>
          </w:tcPr>
          <w:p w:rsidR="00CE47DE" w:rsidRPr="00C325B3" w:rsidRDefault="00A332E6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H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ospitality</w:t>
            </w:r>
          </w:p>
        </w:tc>
        <w:tc>
          <w:tcPr>
            <w:tcW w:w="1956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16332</w:t>
            </w:r>
          </w:p>
        </w:tc>
        <w:tc>
          <w:tcPr>
            <w:tcW w:w="2410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686</w:t>
            </w:r>
          </w:p>
        </w:tc>
        <w:tc>
          <w:tcPr>
            <w:tcW w:w="2126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290</w:t>
            </w:r>
          </w:p>
        </w:tc>
      </w:tr>
      <w:tr w:rsidR="00CE47DE" w:rsidRPr="00A332E6" w:rsidTr="005B5E1B">
        <w:tc>
          <w:tcPr>
            <w:tcW w:w="2296" w:type="dxa"/>
          </w:tcPr>
          <w:p w:rsidR="00CE47DE" w:rsidRPr="00C325B3" w:rsidRDefault="00A332E6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C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onferencing-events sectors</w:t>
            </w:r>
          </w:p>
        </w:tc>
        <w:tc>
          <w:tcPr>
            <w:tcW w:w="1956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28987</w:t>
            </w:r>
          </w:p>
        </w:tc>
        <w:tc>
          <w:tcPr>
            <w:tcW w:w="2410" w:type="dxa"/>
          </w:tcPr>
          <w:p w:rsidR="00CE47DE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No data showing this category</w:t>
            </w:r>
          </w:p>
          <w:p w:rsidR="00C325B3" w:rsidRPr="00C325B3" w:rsidRDefault="00C325B3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50</w:t>
            </w:r>
          </w:p>
        </w:tc>
      </w:tr>
      <w:tr w:rsidR="00CE47DE" w:rsidRPr="00A332E6" w:rsidTr="005B5E1B">
        <w:tc>
          <w:tcPr>
            <w:tcW w:w="2296" w:type="dxa"/>
          </w:tcPr>
          <w:p w:rsidR="00CE47DE" w:rsidRPr="00C325B3" w:rsidRDefault="00A332E6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A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ny other business in related value chains,</w:t>
            </w:r>
          </w:p>
        </w:tc>
        <w:tc>
          <w:tcPr>
            <w:tcW w:w="1956" w:type="dxa"/>
          </w:tcPr>
          <w:p w:rsidR="00A332E6" w:rsidRDefault="008107D4" w:rsidP="00A332E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No data showing this category</w:t>
            </w:r>
          </w:p>
          <w:p w:rsidR="00C325B3" w:rsidRPr="00C325B3" w:rsidRDefault="00C325B3" w:rsidP="00A332E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10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11549</w:t>
            </w:r>
          </w:p>
        </w:tc>
        <w:tc>
          <w:tcPr>
            <w:tcW w:w="2126" w:type="dxa"/>
          </w:tcPr>
          <w:p w:rsidR="00CE47DE" w:rsidRPr="00C325B3" w:rsidRDefault="009B794A" w:rsidP="00CE47DE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5</w:t>
            </w:r>
          </w:p>
        </w:tc>
      </w:tr>
    </w:tbl>
    <w:p w:rsidR="00CE47DE" w:rsidRPr="00CE47DE" w:rsidRDefault="00CE47DE" w:rsidP="00CE47DE">
      <w:pPr>
        <w:pStyle w:val="ListParagraph"/>
        <w:spacing w:after="160" w:line="259" w:lineRule="auto"/>
        <w:jc w:val="both"/>
        <w:rPr>
          <w:rFonts w:ascii="Arial Black" w:hAnsi="Arial Black" w:cs="Arial"/>
          <w:b/>
          <w:szCs w:val="24"/>
        </w:rPr>
      </w:pPr>
    </w:p>
    <w:p w:rsidR="006D5EE6" w:rsidRDefault="00CE47DE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>
        <w:rPr>
          <w:rFonts w:ascii="Arial Black" w:eastAsia="Calibri" w:hAnsi="Arial Black" w:cs="Arial"/>
          <w:b/>
          <w:szCs w:val="24"/>
          <w:lang w:val="en-ZA"/>
        </w:rPr>
        <w:lastRenderedPageBreak/>
        <w:t>b)</w:t>
      </w:r>
    </w:p>
    <w:p w:rsidR="00CE47DE" w:rsidRDefault="00CE47DE" w:rsidP="00CE47DE">
      <w:pPr>
        <w:pStyle w:val="ListParagraph"/>
        <w:spacing w:after="160" w:line="259" w:lineRule="auto"/>
        <w:jc w:val="both"/>
        <w:rPr>
          <w:rFonts w:ascii="Arial" w:hAnsi="Arial" w:cs="Arial"/>
          <w:b/>
          <w:szCs w:val="24"/>
        </w:rPr>
      </w:pPr>
      <w:r w:rsidRPr="0008581C">
        <w:rPr>
          <w:rFonts w:ascii="Times New Roman" w:hAnsi="Times New Roman"/>
          <w:b/>
          <w:szCs w:val="24"/>
        </w:rPr>
        <w:t xml:space="preserve">1 </w:t>
      </w:r>
      <w:r w:rsidRPr="00A332E6">
        <w:rPr>
          <w:rFonts w:ascii="Arial" w:hAnsi="Arial" w:cs="Arial"/>
          <w:b/>
          <w:szCs w:val="24"/>
        </w:rPr>
        <w:t>January 2021 to 15 March 2021</w:t>
      </w:r>
    </w:p>
    <w:p w:rsidR="00C325B3" w:rsidRPr="00C325B3" w:rsidRDefault="00C325B3" w:rsidP="00CE47DE">
      <w:pPr>
        <w:pStyle w:val="ListParagraph"/>
        <w:spacing w:after="160" w:line="259" w:lineRule="auto"/>
        <w:jc w:val="both"/>
        <w:rPr>
          <w:rFonts w:ascii="Arial" w:hAnsi="Arial" w:cs="Arial"/>
          <w:szCs w:val="24"/>
        </w:rPr>
      </w:pPr>
    </w:p>
    <w:tbl>
      <w:tblPr>
        <w:tblStyle w:val="TableGrid"/>
        <w:tblW w:w="8930" w:type="dxa"/>
        <w:tblInd w:w="279" w:type="dxa"/>
        <w:tblLook w:val="04A0"/>
      </w:tblPr>
      <w:tblGrid>
        <w:gridCol w:w="3118"/>
        <w:gridCol w:w="1843"/>
        <w:gridCol w:w="2127"/>
        <w:gridCol w:w="1842"/>
      </w:tblGrid>
      <w:tr w:rsidR="00CE47DE" w:rsidRPr="00A332E6" w:rsidTr="00A332E6">
        <w:trPr>
          <w:trHeight w:val="1571"/>
        </w:trPr>
        <w:tc>
          <w:tcPr>
            <w:tcW w:w="3118" w:type="dxa"/>
          </w:tcPr>
          <w:p w:rsidR="00CE47DE" w:rsidRPr="00C325B3" w:rsidRDefault="00CE47DE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43" w:type="dxa"/>
          </w:tcPr>
          <w:p w:rsidR="00CE47DE" w:rsidRPr="00C325B3" w:rsidRDefault="00CE47DE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b/>
                <w:sz w:val="18"/>
                <w:szCs w:val="24"/>
              </w:rPr>
              <w:t>Application received</w:t>
            </w:r>
          </w:p>
        </w:tc>
        <w:tc>
          <w:tcPr>
            <w:tcW w:w="2127" w:type="dxa"/>
          </w:tcPr>
          <w:p w:rsidR="00CE47DE" w:rsidRPr="00C325B3" w:rsidRDefault="00C325B3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b/>
                <w:sz w:val="18"/>
                <w:szCs w:val="24"/>
              </w:rPr>
              <w:t>A</w:t>
            </w:r>
            <w:r w:rsidR="00CE47DE" w:rsidRPr="00C325B3">
              <w:rPr>
                <w:rFonts w:ascii="Arial" w:hAnsi="Arial" w:cs="Arial"/>
                <w:b/>
                <w:sz w:val="18"/>
                <w:szCs w:val="24"/>
              </w:rPr>
              <w:t>pplications were rejected on the grounds of incorrect Standard Industry Classification Codes</w:t>
            </w:r>
          </w:p>
        </w:tc>
        <w:tc>
          <w:tcPr>
            <w:tcW w:w="1842" w:type="dxa"/>
          </w:tcPr>
          <w:p w:rsidR="00CE47DE" w:rsidRPr="00C325B3" w:rsidRDefault="00C325B3" w:rsidP="008107D4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b/>
                <w:sz w:val="18"/>
                <w:szCs w:val="24"/>
              </w:rPr>
              <w:t>R</w:t>
            </w:r>
            <w:r w:rsidR="00CE47DE" w:rsidRPr="00C325B3">
              <w:rPr>
                <w:rFonts w:ascii="Arial" w:hAnsi="Arial" w:cs="Arial"/>
                <w:b/>
                <w:sz w:val="18"/>
                <w:szCs w:val="24"/>
              </w:rPr>
              <w:t>ejected applicatio</w:t>
            </w:r>
            <w:r w:rsidR="00A332E6" w:rsidRPr="00C325B3">
              <w:rPr>
                <w:rFonts w:ascii="Arial" w:hAnsi="Arial" w:cs="Arial"/>
                <w:b/>
                <w:sz w:val="18"/>
                <w:szCs w:val="24"/>
              </w:rPr>
              <w:t>ns were overturned on appeal?</w:t>
            </w:r>
          </w:p>
        </w:tc>
      </w:tr>
      <w:tr w:rsidR="00CE47DE" w:rsidRPr="00A332E6" w:rsidTr="00A332E6">
        <w:tc>
          <w:tcPr>
            <w:tcW w:w="3118" w:type="dxa"/>
          </w:tcPr>
          <w:p w:rsidR="00CE47DE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T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ourism</w:t>
            </w:r>
          </w:p>
        </w:tc>
        <w:tc>
          <w:tcPr>
            <w:tcW w:w="1843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No data showing this category</w:t>
            </w:r>
          </w:p>
        </w:tc>
        <w:tc>
          <w:tcPr>
            <w:tcW w:w="2127" w:type="dxa"/>
          </w:tcPr>
          <w:p w:rsidR="00CE47DE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No data showing this category</w:t>
            </w:r>
          </w:p>
          <w:p w:rsidR="00A332E6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6</w:t>
            </w:r>
          </w:p>
        </w:tc>
      </w:tr>
      <w:tr w:rsidR="00CE47DE" w:rsidRPr="00A332E6" w:rsidTr="00A332E6">
        <w:tc>
          <w:tcPr>
            <w:tcW w:w="3118" w:type="dxa"/>
          </w:tcPr>
          <w:p w:rsidR="00CE47DE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L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iquor</w:t>
            </w:r>
          </w:p>
        </w:tc>
        <w:tc>
          <w:tcPr>
            <w:tcW w:w="1843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6222</w:t>
            </w:r>
          </w:p>
        </w:tc>
        <w:tc>
          <w:tcPr>
            <w:tcW w:w="2127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62</w:t>
            </w:r>
          </w:p>
        </w:tc>
        <w:tc>
          <w:tcPr>
            <w:tcW w:w="1842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9</w:t>
            </w:r>
          </w:p>
          <w:p w:rsidR="00A332E6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E47DE" w:rsidRPr="00A332E6" w:rsidTr="00A332E6">
        <w:tc>
          <w:tcPr>
            <w:tcW w:w="3118" w:type="dxa"/>
          </w:tcPr>
          <w:p w:rsidR="00CE47DE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H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ospitality</w:t>
            </w:r>
          </w:p>
        </w:tc>
        <w:tc>
          <w:tcPr>
            <w:tcW w:w="1843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10701</w:t>
            </w:r>
          </w:p>
        </w:tc>
        <w:tc>
          <w:tcPr>
            <w:tcW w:w="2127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124</w:t>
            </w:r>
          </w:p>
        </w:tc>
        <w:tc>
          <w:tcPr>
            <w:tcW w:w="1842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239</w:t>
            </w:r>
          </w:p>
          <w:p w:rsidR="00A332E6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E47DE" w:rsidRPr="00A332E6" w:rsidTr="00A332E6">
        <w:tc>
          <w:tcPr>
            <w:tcW w:w="3118" w:type="dxa"/>
          </w:tcPr>
          <w:p w:rsidR="00CE47DE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C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onferencing-events sectors</w:t>
            </w:r>
          </w:p>
        </w:tc>
        <w:tc>
          <w:tcPr>
            <w:tcW w:w="1843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No data showing this category</w:t>
            </w:r>
          </w:p>
        </w:tc>
        <w:tc>
          <w:tcPr>
            <w:tcW w:w="2127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No data showing this category</w:t>
            </w:r>
          </w:p>
          <w:p w:rsidR="00A332E6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2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39</w:t>
            </w:r>
          </w:p>
        </w:tc>
      </w:tr>
      <w:tr w:rsidR="00CE47DE" w:rsidRPr="00A332E6" w:rsidTr="00A332E6">
        <w:tc>
          <w:tcPr>
            <w:tcW w:w="3118" w:type="dxa"/>
          </w:tcPr>
          <w:p w:rsidR="00CE47DE" w:rsidRPr="00C325B3" w:rsidRDefault="00A332E6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A</w:t>
            </w:r>
            <w:r w:rsidR="00CE47DE" w:rsidRPr="00C325B3">
              <w:rPr>
                <w:rFonts w:ascii="Arial" w:hAnsi="Arial" w:cs="Arial"/>
                <w:sz w:val="18"/>
                <w:szCs w:val="24"/>
              </w:rPr>
              <w:t>ny other business in r</w:t>
            </w:r>
            <w:r w:rsidR="00C325B3">
              <w:rPr>
                <w:rFonts w:ascii="Arial" w:hAnsi="Arial" w:cs="Arial"/>
                <w:sz w:val="18"/>
                <w:szCs w:val="24"/>
              </w:rPr>
              <w:t>elated value chains</w:t>
            </w:r>
          </w:p>
        </w:tc>
        <w:tc>
          <w:tcPr>
            <w:tcW w:w="1843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16923</w:t>
            </w:r>
          </w:p>
        </w:tc>
        <w:tc>
          <w:tcPr>
            <w:tcW w:w="2127" w:type="dxa"/>
          </w:tcPr>
          <w:p w:rsidR="00CE47DE" w:rsidRPr="00C325B3" w:rsidRDefault="008107D4" w:rsidP="00B05B72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1420</w:t>
            </w:r>
          </w:p>
        </w:tc>
        <w:tc>
          <w:tcPr>
            <w:tcW w:w="1842" w:type="dxa"/>
          </w:tcPr>
          <w:p w:rsidR="00A332E6" w:rsidRPr="00C325B3" w:rsidRDefault="008107D4" w:rsidP="00A332E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C325B3">
              <w:rPr>
                <w:rFonts w:ascii="Arial" w:hAnsi="Arial" w:cs="Arial"/>
                <w:sz w:val="18"/>
                <w:szCs w:val="24"/>
              </w:rPr>
              <w:t>7</w:t>
            </w:r>
          </w:p>
        </w:tc>
      </w:tr>
    </w:tbl>
    <w:p w:rsidR="00784378" w:rsidRDefault="00784378" w:rsidP="00933E1F">
      <w:pPr>
        <w:pStyle w:val="Default"/>
        <w:rPr>
          <w:b/>
          <w:bCs/>
          <w:sz w:val="23"/>
          <w:szCs w:val="23"/>
        </w:rPr>
      </w:pPr>
    </w:p>
    <w:sectPr w:rsidR="00784378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17" w:rsidRDefault="00721217" w:rsidP="00646E39">
      <w:r>
        <w:separator/>
      </w:r>
    </w:p>
  </w:endnote>
  <w:endnote w:type="continuationSeparator" w:id="0">
    <w:p w:rsidR="00721217" w:rsidRDefault="00721217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4C39E2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1657E9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17" w:rsidRDefault="00721217" w:rsidP="00646E39">
      <w:r>
        <w:separator/>
      </w:r>
    </w:p>
  </w:footnote>
  <w:footnote w:type="continuationSeparator" w:id="0">
    <w:p w:rsidR="00721217" w:rsidRDefault="00721217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E2E52"/>
    <w:multiLevelType w:val="hybridMultilevel"/>
    <w:tmpl w:val="81924A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8C459F"/>
    <w:multiLevelType w:val="hybridMultilevel"/>
    <w:tmpl w:val="81924A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7C75"/>
    <w:rsid w:val="0002334E"/>
    <w:rsid w:val="0003208E"/>
    <w:rsid w:val="0004639E"/>
    <w:rsid w:val="00053D39"/>
    <w:rsid w:val="00060BC9"/>
    <w:rsid w:val="00070E30"/>
    <w:rsid w:val="0008581C"/>
    <w:rsid w:val="000A415E"/>
    <w:rsid w:val="000B46BB"/>
    <w:rsid w:val="000E3E84"/>
    <w:rsid w:val="00102EE2"/>
    <w:rsid w:val="001160E8"/>
    <w:rsid w:val="00132042"/>
    <w:rsid w:val="0013744A"/>
    <w:rsid w:val="00146B10"/>
    <w:rsid w:val="001657E9"/>
    <w:rsid w:val="001872A7"/>
    <w:rsid w:val="00197D8E"/>
    <w:rsid w:val="001A2754"/>
    <w:rsid w:val="001E4C22"/>
    <w:rsid w:val="00204CF1"/>
    <w:rsid w:val="002059FF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2F3B5D"/>
    <w:rsid w:val="00303EA7"/>
    <w:rsid w:val="00303FE9"/>
    <w:rsid w:val="00322CF6"/>
    <w:rsid w:val="00337B29"/>
    <w:rsid w:val="00356381"/>
    <w:rsid w:val="003855C4"/>
    <w:rsid w:val="003946AA"/>
    <w:rsid w:val="0039754E"/>
    <w:rsid w:val="003C2B89"/>
    <w:rsid w:val="003C4F07"/>
    <w:rsid w:val="003C538B"/>
    <w:rsid w:val="003D3C9F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C39E2"/>
    <w:rsid w:val="004D1B84"/>
    <w:rsid w:val="004D3E5D"/>
    <w:rsid w:val="004D7AAE"/>
    <w:rsid w:val="004F066C"/>
    <w:rsid w:val="00503D24"/>
    <w:rsid w:val="0051244B"/>
    <w:rsid w:val="005136D8"/>
    <w:rsid w:val="00525BD4"/>
    <w:rsid w:val="00531FBB"/>
    <w:rsid w:val="005454F7"/>
    <w:rsid w:val="00551E1A"/>
    <w:rsid w:val="0057390A"/>
    <w:rsid w:val="005A270F"/>
    <w:rsid w:val="005B0B22"/>
    <w:rsid w:val="005B5E1B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B6DAD"/>
    <w:rsid w:val="006D24EA"/>
    <w:rsid w:val="006D5EE6"/>
    <w:rsid w:val="006F5048"/>
    <w:rsid w:val="00701F0B"/>
    <w:rsid w:val="00720156"/>
    <w:rsid w:val="00721217"/>
    <w:rsid w:val="007212AB"/>
    <w:rsid w:val="00723C32"/>
    <w:rsid w:val="00731422"/>
    <w:rsid w:val="00736601"/>
    <w:rsid w:val="007426A8"/>
    <w:rsid w:val="00747C60"/>
    <w:rsid w:val="00760FB3"/>
    <w:rsid w:val="00773011"/>
    <w:rsid w:val="00784378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7D4"/>
    <w:rsid w:val="00810C11"/>
    <w:rsid w:val="008402E5"/>
    <w:rsid w:val="0084624F"/>
    <w:rsid w:val="0084742A"/>
    <w:rsid w:val="00884C10"/>
    <w:rsid w:val="0088630C"/>
    <w:rsid w:val="0089052F"/>
    <w:rsid w:val="00906571"/>
    <w:rsid w:val="00913C59"/>
    <w:rsid w:val="00917A69"/>
    <w:rsid w:val="0093224E"/>
    <w:rsid w:val="00933E1F"/>
    <w:rsid w:val="009357A9"/>
    <w:rsid w:val="00952B4B"/>
    <w:rsid w:val="00961B84"/>
    <w:rsid w:val="009B0C6D"/>
    <w:rsid w:val="009B14B2"/>
    <w:rsid w:val="009B779E"/>
    <w:rsid w:val="009B794A"/>
    <w:rsid w:val="009C11F9"/>
    <w:rsid w:val="009D7180"/>
    <w:rsid w:val="009E7E58"/>
    <w:rsid w:val="009F46AD"/>
    <w:rsid w:val="009F48F8"/>
    <w:rsid w:val="00A17A42"/>
    <w:rsid w:val="00A21ED3"/>
    <w:rsid w:val="00A32CCC"/>
    <w:rsid w:val="00A332E6"/>
    <w:rsid w:val="00A55C17"/>
    <w:rsid w:val="00A601AA"/>
    <w:rsid w:val="00A67EE2"/>
    <w:rsid w:val="00A76353"/>
    <w:rsid w:val="00AA30CC"/>
    <w:rsid w:val="00AB7EDD"/>
    <w:rsid w:val="00AC0747"/>
    <w:rsid w:val="00AC170C"/>
    <w:rsid w:val="00AD7C35"/>
    <w:rsid w:val="00AD7D59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87356"/>
    <w:rsid w:val="00BB0477"/>
    <w:rsid w:val="00BB75DA"/>
    <w:rsid w:val="00BC26EE"/>
    <w:rsid w:val="00C0505E"/>
    <w:rsid w:val="00C15480"/>
    <w:rsid w:val="00C325B3"/>
    <w:rsid w:val="00C60A5C"/>
    <w:rsid w:val="00C75C93"/>
    <w:rsid w:val="00C95A3F"/>
    <w:rsid w:val="00CB1F54"/>
    <w:rsid w:val="00CB422B"/>
    <w:rsid w:val="00CC4066"/>
    <w:rsid w:val="00CE4338"/>
    <w:rsid w:val="00CE47DE"/>
    <w:rsid w:val="00CF0FEF"/>
    <w:rsid w:val="00D0344F"/>
    <w:rsid w:val="00D13158"/>
    <w:rsid w:val="00D208A6"/>
    <w:rsid w:val="00D30CE6"/>
    <w:rsid w:val="00D31486"/>
    <w:rsid w:val="00D46D12"/>
    <w:rsid w:val="00D63D03"/>
    <w:rsid w:val="00D64996"/>
    <w:rsid w:val="00D66930"/>
    <w:rsid w:val="00D833A0"/>
    <w:rsid w:val="00D91831"/>
    <w:rsid w:val="00DC4EA3"/>
    <w:rsid w:val="00DD22F0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A0E7B"/>
    <w:rsid w:val="00EB549B"/>
    <w:rsid w:val="00EB7C76"/>
    <w:rsid w:val="00EC354B"/>
    <w:rsid w:val="00EC6A69"/>
    <w:rsid w:val="00F32F6D"/>
    <w:rsid w:val="00F3423A"/>
    <w:rsid w:val="00F43048"/>
    <w:rsid w:val="00F4621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12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2079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2021-06-11T11:07:00Z</cp:lastPrinted>
  <dcterms:created xsi:type="dcterms:W3CDTF">2021-06-28T13:45:00Z</dcterms:created>
  <dcterms:modified xsi:type="dcterms:W3CDTF">2021-06-28T13:45:00Z</dcterms:modified>
</cp:coreProperties>
</file>