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77537"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14:paraId="6BE8972B"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14:paraId="54FC44CE" w14:textId="77777777" w:rsidR="00AD00CE" w:rsidRPr="000677BA"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1B0917">
        <w:rPr>
          <w:rFonts w:ascii="Arial" w:hAnsi="Arial" w:cs="Arial"/>
          <w:b/>
          <w:sz w:val="22"/>
          <w:szCs w:val="22"/>
        </w:rPr>
        <w:t>:</w:t>
      </w:r>
      <w:r w:rsidRPr="001B0917">
        <w:rPr>
          <w:rFonts w:ascii="Arial" w:hAnsi="Arial" w:cs="Arial"/>
          <w:b/>
          <w:sz w:val="22"/>
          <w:szCs w:val="22"/>
        </w:rPr>
        <w:t xml:space="preserve"> </w:t>
      </w:r>
      <w:r w:rsidR="000677BA" w:rsidRPr="000677BA">
        <w:rPr>
          <w:rFonts w:ascii="Arial" w:hAnsi="Arial" w:cs="Arial"/>
          <w:b/>
          <w:sz w:val="22"/>
          <w:szCs w:val="22"/>
        </w:rPr>
        <w:t>1698</w:t>
      </w:r>
      <w:r w:rsidR="00AD00CE" w:rsidRPr="000677BA">
        <w:rPr>
          <w:rFonts w:ascii="Arial" w:hAnsi="Arial" w:cs="Arial"/>
          <w:b/>
          <w:sz w:val="22"/>
          <w:szCs w:val="22"/>
        </w:rPr>
        <w:t xml:space="preserve"> [NW</w:t>
      </w:r>
      <w:r w:rsidR="000677BA" w:rsidRPr="000677BA">
        <w:rPr>
          <w:rFonts w:ascii="Arial" w:hAnsi="Arial" w:cs="Arial"/>
          <w:b/>
          <w:sz w:val="22"/>
          <w:szCs w:val="22"/>
        </w:rPr>
        <w:t>1944</w:t>
      </w:r>
      <w:r w:rsidR="00AD00CE" w:rsidRPr="000677BA">
        <w:rPr>
          <w:rFonts w:ascii="Arial" w:hAnsi="Arial" w:cs="Arial"/>
          <w:b/>
          <w:sz w:val="22"/>
          <w:szCs w:val="22"/>
        </w:rPr>
        <w:t>E]</w:t>
      </w:r>
    </w:p>
    <w:p w14:paraId="6CE87A29" w14:textId="77777777" w:rsidR="00C312EA" w:rsidRPr="000677BA" w:rsidRDefault="00BD31C6" w:rsidP="001B0917">
      <w:pPr>
        <w:tabs>
          <w:tab w:val="left" w:pos="432"/>
          <w:tab w:val="left" w:pos="864"/>
        </w:tabs>
        <w:spacing w:line="276" w:lineRule="auto"/>
        <w:jc w:val="center"/>
        <w:rPr>
          <w:rFonts w:ascii="Arial" w:hAnsi="Arial" w:cs="Arial"/>
          <w:b/>
          <w:sz w:val="22"/>
          <w:szCs w:val="22"/>
        </w:rPr>
      </w:pPr>
      <w:r w:rsidRPr="000677BA">
        <w:rPr>
          <w:rFonts w:ascii="Arial" w:hAnsi="Arial" w:cs="Arial"/>
          <w:b/>
          <w:sz w:val="22"/>
          <w:szCs w:val="22"/>
        </w:rPr>
        <w:t xml:space="preserve">DATE OF PUBLICATION: </w:t>
      </w:r>
      <w:r w:rsidR="000677BA" w:rsidRPr="000677BA">
        <w:rPr>
          <w:rFonts w:ascii="Arial" w:hAnsi="Arial" w:cs="Arial"/>
          <w:b/>
          <w:sz w:val="22"/>
          <w:szCs w:val="22"/>
        </w:rPr>
        <w:t>26 AUGUST 2016</w:t>
      </w:r>
    </w:p>
    <w:p w14:paraId="2DA3633E" w14:textId="77777777" w:rsidR="000677BA" w:rsidRPr="000677BA" w:rsidRDefault="000677BA" w:rsidP="000677BA">
      <w:pPr>
        <w:spacing w:before="100" w:beforeAutospacing="1" w:after="100" w:afterAutospacing="1" w:line="276" w:lineRule="auto"/>
        <w:ind w:left="851" w:hanging="851"/>
        <w:jc w:val="both"/>
        <w:outlineLvl w:val="0"/>
        <w:rPr>
          <w:rFonts w:ascii="Arial" w:hAnsi="Arial" w:cs="Arial"/>
          <w:b/>
          <w:sz w:val="22"/>
          <w:szCs w:val="22"/>
        </w:rPr>
      </w:pPr>
      <w:r w:rsidRPr="000677BA">
        <w:rPr>
          <w:rFonts w:ascii="Arial" w:hAnsi="Arial" w:cs="Arial"/>
          <w:b/>
          <w:sz w:val="22"/>
          <w:szCs w:val="22"/>
        </w:rPr>
        <w:t>1698.</w:t>
      </w:r>
      <w:r w:rsidRPr="000677BA">
        <w:rPr>
          <w:rFonts w:ascii="Arial" w:hAnsi="Arial" w:cs="Arial"/>
          <w:b/>
          <w:sz w:val="22"/>
          <w:szCs w:val="22"/>
        </w:rPr>
        <w:tab/>
      </w:r>
      <w:proofErr w:type="spellStart"/>
      <w:r w:rsidRPr="000677BA">
        <w:rPr>
          <w:rFonts w:ascii="Arial" w:hAnsi="Arial" w:cs="Arial"/>
          <w:b/>
          <w:sz w:val="22"/>
          <w:szCs w:val="22"/>
        </w:rPr>
        <w:t>Mr</w:t>
      </w:r>
      <w:proofErr w:type="spellEnd"/>
      <w:r w:rsidRPr="000677BA">
        <w:rPr>
          <w:rFonts w:ascii="Arial" w:hAnsi="Arial" w:cs="Arial"/>
          <w:b/>
          <w:sz w:val="22"/>
          <w:szCs w:val="22"/>
        </w:rPr>
        <w:t xml:space="preserve"> D J </w:t>
      </w:r>
      <w:proofErr w:type="spellStart"/>
      <w:r w:rsidRPr="000677BA">
        <w:rPr>
          <w:rFonts w:ascii="Arial" w:hAnsi="Arial" w:cs="Arial"/>
          <w:b/>
          <w:sz w:val="22"/>
          <w:szCs w:val="22"/>
        </w:rPr>
        <w:t>Maynier</w:t>
      </w:r>
      <w:proofErr w:type="spellEnd"/>
      <w:r w:rsidRPr="000677BA">
        <w:rPr>
          <w:rFonts w:ascii="Arial" w:hAnsi="Arial" w:cs="Arial"/>
          <w:b/>
          <w:sz w:val="22"/>
          <w:szCs w:val="22"/>
        </w:rPr>
        <w:t xml:space="preserve"> (DA) to ask the Minister of Finance:</w:t>
      </w:r>
    </w:p>
    <w:p w14:paraId="70230E2C" w14:textId="77777777" w:rsidR="000677BA" w:rsidRPr="000677BA" w:rsidRDefault="000677BA" w:rsidP="000677BA">
      <w:pPr>
        <w:spacing w:before="100" w:beforeAutospacing="1" w:after="100" w:afterAutospacing="1" w:line="276" w:lineRule="auto"/>
        <w:ind w:left="720" w:hanging="720"/>
        <w:jc w:val="both"/>
        <w:rPr>
          <w:rFonts w:ascii="Arial" w:eastAsia="Calibri" w:hAnsi="Arial" w:cs="Arial"/>
          <w:sz w:val="22"/>
          <w:szCs w:val="22"/>
          <w:lang w:val="en-ZA"/>
        </w:rPr>
      </w:pPr>
      <w:r w:rsidRPr="000677BA">
        <w:rPr>
          <w:rFonts w:ascii="Arial" w:eastAsia="Calibri" w:hAnsi="Arial" w:cs="Arial"/>
          <w:sz w:val="22"/>
          <w:szCs w:val="22"/>
          <w:lang w:val="en-ZA"/>
        </w:rPr>
        <w:t>(1)</w:t>
      </w:r>
      <w:r w:rsidRPr="000677BA">
        <w:rPr>
          <w:rFonts w:ascii="Arial" w:eastAsia="Calibri" w:hAnsi="Arial" w:cs="Arial"/>
          <w:sz w:val="22"/>
          <w:szCs w:val="22"/>
          <w:lang w:val="en-ZA"/>
        </w:rPr>
        <w:tab/>
        <w:t>Whether the SA Reserve Bank (SARB) endorsed the appointment of a certain person (name and details furnished); if not, why not; if so, (a) what was the name of the person(s) who (</w:t>
      </w:r>
      <w:proofErr w:type="spellStart"/>
      <w:r w:rsidRPr="000677BA">
        <w:rPr>
          <w:rFonts w:ascii="Arial" w:eastAsia="Calibri" w:hAnsi="Arial" w:cs="Arial"/>
          <w:sz w:val="22"/>
          <w:szCs w:val="22"/>
          <w:lang w:val="en-ZA"/>
        </w:rPr>
        <w:t>i</w:t>
      </w:r>
      <w:proofErr w:type="spellEnd"/>
      <w:r w:rsidRPr="000677BA">
        <w:rPr>
          <w:rFonts w:ascii="Arial" w:eastAsia="Calibri" w:hAnsi="Arial" w:cs="Arial"/>
          <w:sz w:val="22"/>
          <w:szCs w:val="22"/>
          <w:lang w:val="en-ZA"/>
        </w:rPr>
        <w:t xml:space="preserve">) evaluated and (ii) approved the </w:t>
      </w:r>
      <w:r w:rsidRPr="000677BA">
        <w:rPr>
          <w:rFonts w:ascii="Arial" w:hAnsi="Arial" w:cs="Arial"/>
          <w:sz w:val="22"/>
          <w:szCs w:val="22"/>
        </w:rPr>
        <w:t>endorsement</w:t>
      </w:r>
      <w:r w:rsidRPr="000677BA">
        <w:rPr>
          <w:rFonts w:ascii="Arial" w:eastAsia="Calibri" w:hAnsi="Arial" w:cs="Arial"/>
          <w:sz w:val="22"/>
          <w:szCs w:val="22"/>
          <w:lang w:val="en-ZA"/>
        </w:rPr>
        <w:t xml:space="preserve"> of the specified person for the specified position and (b) on what date was the endorsement approved;</w:t>
      </w:r>
    </w:p>
    <w:p w14:paraId="0BE3A739" w14:textId="77777777" w:rsidR="000677BA" w:rsidRPr="000677BA" w:rsidRDefault="000677BA" w:rsidP="000677BA">
      <w:pPr>
        <w:spacing w:before="100" w:beforeAutospacing="1" w:after="100" w:afterAutospacing="1" w:line="276" w:lineRule="auto"/>
        <w:ind w:left="720" w:hanging="720"/>
        <w:jc w:val="both"/>
        <w:rPr>
          <w:rFonts w:ascii="Arial" w:eastAsia="Calibri" w:hAnsi="Arial" w:cs="Arial"/>
          <w:sz w:val="22"/>
          <w:szCs w:val="22"/>
          <w:lang w:val="en-ZA"/>
        </w:rPr>
      </w:pPr>
      <w:r w:rsidRPr="000677BA">
        <w:rPr>
          <w:rFonts w:ascii="Arial" w:eastAsia="Calibri" w:hAnsi="Arial" w:cs="Arial"/>
          <w:sz w:val="22"/>
          <w:szCs w:val="22"/>
          <w:lang w:val="en-ZA"/>
        </w:rPr>
        <w:t>(2)</w:t>
      </w:r>
      <w:r w:rsidRPr="000677BA">
        <w:rPr>
          <w:rFonts w:ascii="Arial" w:eastAsia="Calibri" w:hAnsi="Arial" w:cs="Arial"/>
          <w:sz w:val="22"/>
          <w:szCs w:val="22"/>
          <w:lang w:val="en-ZA"/>
        </w:rPr>
        <w:tab/>
        <w:t>whether the specified person’s endorsement was recorded in any document; if not, why not; if so, what was the (a) nature of and (b) date on each such document;</w:t>
      </w:r>
    </w:p>
    <w:p w14:paraId="3792E54A" w14:textId="77777777" w:rsidR="000677BA" w:rsidRPr="000677BA" w:rsidRDefault="00010A67" w:rsidP="000677BA">
      <w:pPr>
        <w:spacing w:before="100" w:beforeAutospacing="1" w:after="100" w:afterAutospacing="1" w:line="276" w:lineRule="auto"/>
        <w:ind w:left="720" w:hanging="720"/>
        <w:jc w:val="both"/>
        <w:rPr>
          <w:rFonts w:ascii="Arial" w:eastAsia="Calibri" w:hAnsi="Arial" w:cs="Arial"/>
          <w:sz w:val="22"/>
          <w:szCs w:val="22"/>
          <w:lang w:val="en-ZA"/>
        </w:rPr>
      </w:pPr>
      <w:r>
        <w:rPr>
          <w:rFonts w:ascii="Arial" w:eastAsia="Calibri" w:hAnsi="Arial" w:cs="Arial"/>
          <w:sz w:val="22"/>
          <w:szCs w:val="22"/>
          <w:lang w:val="en-ZA"/>
        </w:rPr>
        <w:t>(3)</w:t>
      </w:r>
      <w:r>
        <w:rPr>
          <w:rFonts w:ascii="Arial" w:eastAsia="Calibri" w:hAnsi="Arial" w:cs="Arial"/>
          <w:sz w:val="22"/>
          <w:szCs w:val="22"/>
          <w:lang w:val="en-ZA"/>
        </w:rPr>
        <w:tab/>
        <w:t xml:space="preserve">whether </w:t>
      </w:r>
      <w:r w:rsidR="000677BA" w:rsidRPr="000677BA">
        <w:rPr>
          <w:rFonts w:ascii="Arial" w:eastAsia="Calibri" w:hAnsi="Arial" w:cs="Arial"/>
          <w:sz w:val="22"/>
          <w:szCs w:val="22"/>
          <w:lang w:val="en-ZA"/>
        </w:rPr>
        <w:t xml:space="preserve">the SARB took any disciplinary action against any person(s) involved in </w:t>
      </w:r>
      <w:r w:rsidR="000677BA" w:rsidRPr="000677BA">
        <w:rPr>
          <w:rFonts w:ascii="Arial" w:hAnsi="Arial" w:cs="Arial"/>
          <w:sz w:val="22"/>
          <w:szCs w:val="22"/>
        </w:rPr>
        <w:t>the</w:t>
      </w:r>
      <w:r w:rsidR="000677BA" w:rsidRPr="000677BA">
        <w:rPr>
          <w:rFonts w:ascii="Arial" w:eastAsia="Calibri" w:hAnsi="Arial" w:cs="Arial"/>
          <w:sz w:val="22"/>
          <w:szCs w:val="22"/>
          <w:lang w:val="en-ZA"/>
        </w:rPr>
        <w:t xml:space="preserve"> </w:t>
      </w:r>
      <w:r w:rsidR="000677BA" w:rsidRPr="000677BA">
        <w:rPr>
          <w:rFonts w:ascii="Arial" w:hAnsi="Arial" w:cs="Arial"/>
          <w:sz w:val="22"/>
          <w:szCs w:val="22"/>
        </w:rPr>
        <w:t>endorsement</w:t>
      </w:r>
      <w:r w:rsidR="000677BA" w:rsidRPr="000677BA">
        <w:rPr>
          <w:rFonts w:ascii="Arial" w:eastAsia="Calibri" w:hAnsi="Arial" w:cs="Arial"/>
          <w:sz w:val="22"/>
          <w:szCs w:val="22"/>
          <w:lang w:val="en-ZA"/>
        </w:rPr>
        <w:t xml:space="preserve"> of the specified person; if not, why not; if so, what are the relevant details;</w:t>
      </w:r>
    </w:p>
    <w:p w14:paraId="19730879" w14:textId="77777777" w:rsidR="000677BA" w:rsidRPr="000677BA" w:rsidRDefault="000677BA" w:rsidP="00010A67">
      <w:pPr>
        <w:tabs>
          <w:tab w:val="left" w:pos="540"/>
          <w:tab w:val="left" w:pos="630"/>
        </w:tabs>
        <w:spacing w:before="100" w:beforeAutospacing="1" w:after="100" w:afterAutospacing="1" w:line="276" w:lineRule="auto"/>
        <w:ind w:left="720" w:hanging="720"/>
        <w:jc w:val="both"/>
        <w:rPr>
          <w:rFonts w:ascii="Arial" w:eastAsia="Calibri" w:hAnsi="Arial" w:cs="Arial"/>
          <w:sz w:val="22"/>
          <w:szCs w:val="22"/>
          <w:lang w:val="en-ZA"/>
        </w:rPr>
      </w:pPr>
      <w:r w:rsidRPr="000677BA">
        <w:rPr>
          <w:rFonts w:ascii="Arial" w:eastAsia="Calibri" w:hAnsi="Arial" w:cs="Arial"/>
          <w:sz w:val="22"/>
          <w:szCs w:val="22"/>
          <w:lang w:val="en-ZA"/>
        </w:rPr>
        <w:t>(4)</w:t>
      </w:r>
      <w:r w:rsidRPr="000677BA">
        <w:rPr>
          <w:rFonts w:ascii="Arial" w:eastAsia="Calibri" w:hAnsi="Arial" w:cs="Arial"/>
          <w:sz w:val="22"/>
          <w:szCs w:val="22"/>
          <w:lang w:val="en-ZA"/>
        </w:rPr>
        <w:tab/>
      </w:r>
      <w:r w:rsidR="00010A67">
        <w:rPr>
          <w:rFonts w:ascii="Arial" w:eastAsia="Calibri" w:hAnsi="Arial" w:cs="Arial"/>
          <w:sz w:val="22"/>
          <w:szCs w:val="22"/>
          <w:lang w:val="en-ZA"/>
        </w:rPr>
        <w:t xml:space="preserve">   </w:t>
      </w:r>
      <w:r w:rsidRPr="000677BA">
        <w:rPr>
          <w:rFonts w:ascii="Arial" w:eastAsia="Calibri" w:hAnsi="Arial" w:cs="Arial"/>
          <w:sz w:val="22"/>
          <w:szCs w:val="22"/>
          <w:lang w:val="en-ZA"/>
        </w:rPr>
        <w:t>whether the SARB’s decision to endorse the specified person contributed to the collapse of African Bank; if not, why not; if so, what are the relevant details?</w:t>
      </w:r>
      <w:r w:rsidRPr="000677BA">
        <w:rPr>
          <w:rFonts w:ascii="Arial" w:eastAsia="Calibri" w:hAnsi="Arial" w:cs="Arial"/>
          <w:sz w:val="22"/>
          <w:szCs w:val="22"/>
          <w:lang w:val="en-ZA"/>
        </w:rPr>
        <w:tab/>
      </w:r>
      <w:r w:rsidRPr="000677BA">
        <w:rPr>
          <w:rFonts w:ascii="Arial" w:eastAsia="Calibri" w:hAnsi="Arial" w:cs="Arial"/>
          <w:sz w:val="22"/>
          <w:szCs w:val="22"/>
          <w:lang w:val="en-ZA"/>
        </w:rPr>
        <w:tab/>
      </w:r>
      <w:r w:rsidRPr="000677BA">
        <w:rPr>
          <w:rFonts w:ascii="Arial" w:eastAsia="Calibri" w:hAnsi="Arial" w:cs="Arial"/>
          <w:sz w:val="22"/>
          <w:szCs w:val="22"/>
          <w:lang w:val="en-ZA"/>
        </w:rPr>
        <w:tab/>
      </w:r>
      <w:r w:rsidRPr="000677BA">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0677BA">
        <w:rPr>
          <w:rFonts w:ascii="Arial" w:eastAsia="Calibri" w:hAnsi="Arial" w:cs="Arial"/>
          <w:sz w:val="22"/>
          <w:szCs w:val="22"/>
          <w:lang w:val="en-ZA"/>
        </w:rPr>
        <w:tab/>
      </w:r>
      <w:r w:rsidRPr="000677BA">
        <w:rPr>
          <w:rFonts w:ascii="Arial" w:eastAsia="Calibri" w:hAnsi="Arial" w:cs="Arial"/>
          <w:sz w:val="22"/>
          <w:szCs w:val="22"/>
          <w:lang w:val="en-ZA"/>
        </w:rPr>
        <w:tab/>
      </w:r>
      <w:r w:rsidRPr="000677BA">
        <w:rPr>
          <w:rFonts w:ascii="Arial" w:eastAsia="Calibri" w:hAnsi="Arial" w:cs="Arial"/>
          <w:sz w:val="22"/>
          <w:szCs w:val="22"/>
          <w:lang w:val="en-ZA"/>
        </w:rPr>
        <w:tab/>
      </w:r>
      <w:r w:rsidRPr="000677BA">
        <w:rPr>
          <w:rFonts w:ascii="Arial" w:eastAsia="Calibri" w:hAnsi="Arial" w:cs="Arial"/>
          <w:sz w:val="22"/>
          <w:szCs w:val="22"/>
          <w:lang w:val="en-ZA"/>
        </w:rPr>
        <w:tab/>
        <w:t>NW1944E</w:t>
      </w:r>
    </w:p>
    <w:p w14:paraId="6D18D376" w14:textId="77777777" w:rsidR="001433AE"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14:paraId="6C7536F9" w14:textId="77777777" w:rsidR="002F4C1B" w:rsidRPr="002F4C1B" w:rsidRDefault="002F4C1B" w:rsidP="002F4C1B">
      <w:pPr>
        <w:pStyle w:val="BodyTextIndent"/>
        <w:tabs>
          <w:tab w:val="clear" w:pos="432"/>
          <w:tab w:val="clear" w:pos="864"/>
          <w:tab w:val="left" w:pos="1460"/>
        </w:tabs>
        <w:spacing w:line="276" w:lineRule="auto"/>
        <w:ind w:left="0" w:firstLine="0"/>
        <w:rPr>
          <w:rFonts w:ascii="Arial" w:hAnsi="Arial" w:cs="Arial"/>
          <w:sz w:val="22"/>
          <w:szCs w:val="22"/>
        </w:rPr>
      </w:pPr>
    </w:p>
    <w:p w14:paraId="67CAD7E1" w14:textId="77777777" w:rsidR="002F4C1B" w:rsidRDefault="002F4C1B" w:rsidP="002F4C1B">
      <w:pPr>
        <w:pStyle w:val="BodyTextIndent"/>
        <w:tabs>
          <w:tab w:val="clear" w:pos="432"/>
          <w:tab w:val="clear" w:pos="864"/>
          <w:tab w:val="left" w:pos="1460"/>
        </w:tabs>
        <w:spacing w:line="276" w:lineRule="auto"/>
        <w:ind w:left="0" w:firstLine="0"/>
        <w:rPr>
          <w:rFonts w:ascii="Arial" w:hAnsi="Arial" w:cs="Arial"/>
          <w:sz w:val="22"/>
          <w:szCs w:val="22"/>
        </w:rPr>
      </w:pPr>
      <w:r w:rsidRPr="002F4C1B">
        <w:rPr>
          <w:rFonts w:ascii="Arial" w:hAnsi="Arial" w:cs="Arial"/>
          <w:sz w:val="22"/>
          <w:szCs w:val="22"/>
        </w:rPr>
        <w:t>The following information was submitted by the South African Reserve Bank</w:t>
      </w:r>
      <w:r>
        <w:rPr>
          <w:rFonts w:ascii="Arial" w:hAnsi="Arial" w:cs="Arial"/>
          <w:sz w:val="22"/>
          <w:szCs w:val="22"/>
        </w:rPr>
        <w:t>:</w:t>
      </w:r>
    </w:p>
    <w:p w14:paraId="6BC8C274" w14:textId="77777777" w:rsidR="00010A67" w:rsidRPr="002F4C1B" w:rsidRDefault="002F4C1B" w:rsidP="002F4C1B">
      <w:pPr>
        <w:pStyle w:val="BodyTextIndent"/>
        <w:tabs>
          <w:tab w:val="clear" w:pos="432"/>
          <w:tab w:val="clear" w:pos="864"/>
          <w:tab w:val="left" w:pos="1460"/>
        </w:tabs>
        <w:spacing w:line="276" w:lineRule="auto"/>
        <w:ind w:left="0" w:firstLine="0"/>
        <w:rPr>
          <w:rFonts w:ascii="Arial" w:hAnsi="Arial" w:cs="Arial"/>
          <w:sz w:val="22"/>
          <w:szCs w:val="22"/>
        </w:rPr>
      </w:pPr>
      <w:r w:rsidRPr="002F4C1B">
        <w:rPr>
          <w:rFonts w:ascii="Arial" w:hAnsi="Arial" w:cs="Arial"/>
          <w:sz w:val="22"/>
          <w:szCs w:val="22"/>
        </w:rPr>
        <w:tab/>
      </w:r>
    </w:p>
    <w:p w14:paraId="0FD8D5AD" w14:textId="77777777" w:rsidR="00010A67" w:rsidRPr="00010A67" w:rsidRDefault="00010A67" w:rsidP="00010A67">
      <w:pPr>
        <w:pStyle w:val="ListParagraph"/>
        <w:numPr>
          <w:ilvl w:val="0"/>
          <w:numId w:val="3"/>
        </w:numPr>
        <w:ind w:left="720" w:hanging="630"/>
        <w:jc w:val="both"/>
        <w:rPr>
          <w:rFonts w:ascii="Arial" w:eastAsia="Calibri" w:hAnsi="Arial" w:cs="Arial"/>
          <w:color w:val="auto"/>
          <w:sz w:val="22"/>
          <w:szCs w:val="22"/>
          <w:lang w:eastAsia="en-US"/>
        </w:rPr>
      </w:pPr>
      <w:r w:rsidRPr="00010A67">
        <w:rPr>
          <w:rFonts w:ascii="Arial" w:eastAsia="Calibri" w:hAnsi="Arial" w:cs="Arial"/>
          <w:color w:val="auto"/>
          <w:sz w:val="22"/>
          <w:szCs w:val="22"/>
          <w:lang w:eastAsia="en-US"/>
        </w:rPr>
        <w:t>The South African Reserve Bank is the entity responsible for the prudential regulation of all banks in South Africa. This regulation includes ensuring that only those that meet the ‘fit and proper’ requirement act in key management and board positions. As such the South African Reserve Bank has provided the following response to this parliamentary question:</w:t>
      </w:r>
    </w:p>
    <w:p w14:paraId="0C8A194E" w14:textId="77777777" w:rsidR="00010A67" w:rsidRPr="00010A67" w:rsidRDefault="00010A67" w:rsidP="00010A67">
      <w:pPr>
        <w:pStyle w:val="ListParagraph"/>
        <w:jc w:val="both"/>
        <w:rPr>
          <w:rFonts w:ascii="Arial" w:eastAsia="Calibri" w:hAnsi="Arial" w:cs="Arial"/>
          <w:color w:val="auto"/>
          <w:sz w:val="22"/>
          <w:szCs w:val="22"/>
          <w:lang w:eastAsia="en-US"/>
        </w:rPr>
      </w:pPr>
    </w:p>
    <w:p w14:paraId="28F97571" w14:textId="77777777" w:rsidR="00010A67" w:rsidRPr="00010A67" w:rsidRDefault="00010A67" w:rsidP="00010A67">
      <w:pPr>
        <w:pStyle w:val="ListParagraph"/>
        <w:tabs>
          <w:tab w:val="left" w:pos="450"/>
        </w:tabs>
        <w:jc w:val="both"/>
        <w:rPr>
          <w:rFonts w:ascii="Arial" w:eastAsia="Calibri" w:hAnsi="Arial" w:cs="Arial"/>
          <w:color w:val="auto"/>
          <w:sz w:val="22"/>
          <w:szCs w:val="22"/>
          <w:lang w:eastAsia="en-US"/>
        </w:rPr>
      </w:pPr>
      <w:r w:rsidRPr="00010A67">
        <w:rPr>
          <w:rFonts w:ascii="Arial" w:eastAsia="Calibri" w:hAnsi="Arial" w:cs="Arial"/>
          <w:color w:val="auto"/>
          <w:sz w:val="22"/>
          <w:szCs w:val="22"/>
          <w:lang w:eastAsia="en-US"/>
        </w:rPr>
        <w:t>The Banks Act, Act No 94 of 1990 (the Banks Act), read with the Regulations relating to Banks (Regulations), requires that all directors and executive officers of a bank should be fit and proper and affords the Registrar of Banks (Registrar) the power to make an assessment in this regard. The application of a certain person was received by the Registrar who duly considered the prescribed information submitted with the application and notified the relevant bank in writing that that there was no objection to the proposed appointment.</w:t>
      </w:r>
    </w:p>
    <w:p w14:paraId="051B3B0F" w14:textId="77777777" w:rsidR="00010A67" w:rsidRPr="00010A67" w:rsidRDefault="002F4C1B" w:rsidP="002F4C1B">
      <w:pPr>
        <w:pStyle w:val="ListParagraph"/>
        <w:tabs>
          <w:tab w:val="left" w:pos="2250"/>
        </w:tabs>
        <w:jc w:val="both"/>
        <w:rPr>
          <w:rFonts w:ascii="Arial" w:eastAsia="Calibri" w:hAnsi="Arial" w:cs="Arial"/>
          <w:color w:val="auto"/>
          <w:sz w:val="22"/>
          <w:szCs w:val="22"/>
          <w:lang w:eastAsia="en-US"/>
        </w:rPr>
      </w:pPr>
      <w:r>
        <w:rPr>
          <w:rFonts w:ascii="Arial" w:eastAsia="Calibri" w:hAnsi="Arial" w:cs="Arial"/>
          <w:color w:val="0070C0"/>
          <w:sz w:val="22"/>
          <w:szCs w:val="22"/>
          <w:lang w:eastAsia="en-US"/>
        </w:rPr>
        <w:tab/>
      </w:r>
      <w:r w:rsidR="00010A67" w:rsidRPr="00010A67">
        <w:rPr>
          <w:rFonts w:ascii="Arial" w:eastAsia="Calibri" w:hAnsi="Arial" w:cs="Arial"/>
          <w:color w:val="auto"/>
          <w:sz w:val="22"/>
          <w:szCs w:val="22"/>
          <w:lang w:eastAsia="en-US"/>
        </w:rPr>
        <w:t xml:space="preserve"> </w:t>
      </w:r>
    </w:p>
    <w:p w14:paraId="00B55B1C" w14:textId="77777777" w:rsidR="00010A67" w:rsidRDefault="00010A67" w:rsidP="00010A67">
      <w:pPr>
        <w:pStyle w:val="ListParagraph"/>
        <w:numPr>
          <w:ilvl w:val="0"/>
          <w:numId w:val="3"/>
        </w:numPr>
        <w:tabs>
          <w:tab w:val="left" w:pos="180"/>
          <w:tab w:val="left" w:pos="360"/>
          <w:tab w:val="left" w:pos="720"/>
        </w:tabs>
        <w:ind w:left="720" w:hanging="450"/>
        <w:jc w:val="both"/>
        <w:rPr>
          <w:rFonts w:ascii="Arial" w:eastAsia="Calibri" w:hAnsi="Arial" w:cs="Arial"/>
          <w:color w:val="auto"/>
          <w:sz w:val="22"/>
          <w:szCs w:val="22"/>
        </w:rPr>
      </w:pPr>
      <w:r w:rsidRPr="00010A67">
        <w:rPr>
          <w:rFonts w:ascii="Arial" w:eastAsia="Calibri" w:hAnsi="Arial" w:cs="Arial"/>
          <w:color w:val="auto"/>
          <w:sz w:val="22"/>
          <w:szCs w:val="22"/>
        </w:rPr>
        <w:t>The Registrar’s decision in terms of section 60 of the Banks Act</w:t>
      </w:r>
      <w:r>
        <w:rPr>
          <w:rFonts w:ascii="Arial" w:eastAsia="Calibri" w:hAnsi="Arial" w:cs="Arial"/>
          <w:color w:val="auto"/>
          <w:sz w:val="22"/>
          <w:szCs w:val="22"/>
        </w:rPr>
        <w:t xml:space="preserve"> was conveyed in a </w:t>
      </w:r>
      <w:proofErr w:type="gramStart"/>
      <w:r>
        <w:rPr>
          <w:rFonts w:ascii="Arial" w:eastAsia="Calibri" w:hAnsi="Arial" w:cs="Arial"/>
          <w:color w:val="auto"/>
          <w:sz w:val="22"/>
          <w:szCs w:val="22"/>
        </w:rPr>
        <w:t xml:space="preserve">letter  </w:t>
      </w:r>
      <w:r w:rsidRPr="00010A67">
        <w:rPr>
          <w:rFonts w:ascii="Arial" w:eastAsia="Calibri" w:hAnsi="Arial" w:cs="Arial"/>
          <w:color w:val="auto"/>
          <w:sz w:val="22"/>
          <w:szCs w:val="22"/>
        </w:rPr>
        <w:t>dated</w:t>
      </w:r>
      <w:proofErr w:type="gramEnd"/>
      <w:r w:rsidRPr="00010A67">
        <w:rPr>
          <w:rFonts w:ascii="Arial" w:eastAsia="Calibri" w:hAnsi="Arial" w:cs="Arial"/>
          <w:color w:val="auto"/>
          <w:sz w:val="22"/>
          <w:szCs w:val="22"/>
        </w:rPr>
        <w:t xml:space="preserve"> 6 August 2002 for the appointment of the specified person as Chief Operating Officer and Executive Director of African Bank Limited. A subsequent application was received for the appointment of the specified person as Executive Director of African Bank Investments Limited (the holding company) and approved in a letter dated 22 April 2003. The specified person was later appointed as Chief Risk Officer of African Bank Limited</w:t>
      </w:r>
      <w:r>
        <w:rPr>
          <w:rFonts w:ascii="Arial" w:eastAsia="Calibri" w:hAnsi="Arial" w:cs="Arial"/>
          <w:color w:val="auto"/>
          <w:sz w:val="22"/>
          <w:szCs w:val="22"/>
        </w:rPr>
        <w:t>.</w:t>
      </w:r>
    </w:p>
    <w:p w14:paraId="4874FE8A" w14:textId="77777777" w:rsidR="00010A67" w:rsidRDefault="00010A67" w:rsidP="00010A67">
      <w:pPr>
        <w:pStyle w:val="ListParagraph"/>
        <w:tabs>
          <w:tab w:val="left" w:pos="180"/>
          <w:tab w:val="left" w:pos="360"/>
          <w:tab w:val="left" w:pos="720"/>
        </w:tabs>
        <w:jc w:val="both"/>
        <w:rPr>
          <w:rFonts w:ascii="Arial" w:eastAsia="Calibri" w:hAnsi="Arial" w:cs="Arial"/>
          <w:color w:val="auto"/>
          <w:sz w:val="22"/>
          <w:szCs w:val="22"/>
        </w:rPr>
      </w:pPr>
    </w:p>
    <w:p w14:paraId="4B55C4E8" w14:textId="77777777" w:rsidR="00010A67" w:rsidRDefault="00010A67" w:rsidP="00010A67">
      <w:pPr>
        <w:pStyle w:val="ListParagraph"/>
        <w:numPr>
          <w:ilvl w:val="0"/>
          <w:numId w:val="3"/>
        </w:numPr>
        <w:jc w:val="both"/>
        <w:rPr>
          <w:rFonts w:ascii="Arial" w:eastAsia="Calibri" w:hAnsi="Arial" w:cs="Arial"/>
          <w:color w:val="auto"/>
          <w:sz w:val="22"/>
          <w:szCs w:val="22"/>
          <w:lang w:eastAsia="en-US"/>
        </w:rPr>
      </w:pPr>
      <w:r w:rsidRPr="00010A67">
        <w:rPr>
          <w:rFonts w:ascii="Arial" w:eastAsia="Calibri" w:hAnsi="Arial" w:cs="Arial"/>
          <w:color w:val="auto"/>
          <w:sz w:val="22"/>
          <w:szCs w:val="22"/>
          <w:lang w:eastAsia="en-US"/>
        </w:rPr>
        <w:lastRenderedPageBreak/>
        <w:t>No disciplinary action was taken by the South African Reserve Bank (SARB) against any of its staff members in this matter as there was no evidence or allegations of any misconduct on the part of any staff member in this regard.</w:t>
      </w:r>
    </w:p>
    <w:p w14:paraId="346FD63E" w14:textId="77777777" w:rsidR="00010A67" w:rsidRPr="00010A67" w:rsidRDefault="00010A67" w:rsidP="00010A67">
      <w:pPr>
        <w:pStyle w:val="ListParagraph"/>
        <w:rPr>
          <w:rFonts w:ascii="Arial" w:eastAsia="Calibri" w:hAnsi="Arial" w:cs="Arial"/>
          <w:color w:val="auto"/>
          <w:sz w:val="22"/>
          <w:szCs w:val="22"/>
          <w:lang w:eastAsia="en-US"/>
        </w:rPr>
      </w:pPr>
    </w:p>
    <w:p w14:paraId="417AD9D2" w14:textId="77777777" w:rsidR="00010A67" w:rsidRPr="00010A67" w:rsidRDefault="00010A67" w:rsidP="00010A67">
      <w:pPr>
        <w:pStyle w:val="ListParagraph"/>
        <w:numPr>
          <w:ilvl w:val="0"/>
          <w:numId w:val="3"/>
        </w:numPr>
        <w:jc w:val="both"/>
        <w:rPr>
          <w:rFonts w:ascii="Arial" w:eastAsia="Calibri" w:hAnsi="Arial" w:cs="Arial"/>
          <w:color w:val="auto"/>
          <w:sz w:val="22"/>
          <w:szCs w:val="22"/>
          <w:lang w:eastAsia="en-US"/>
        </w:rPr>
      </w:pPr>
      <w:r w:rsidRPr="00010A67">
        <w:rPr>
          <w:rFonts w:ascii="Arial" w:eastAsia="Calibri" w:hAnsi="Arial" w:cs="Arial"/>
          <w:color w:val="auto"/>
          <w:sz w:val="22"/>
          <w:szCs w:val="22"/>
          <w:lang w:eastAsia="en-US"/>
        </w:rPr>
        <w:t xml:space="preserve">The causes of the failure of the previous African Bank Limited are documented in the </w:t>
      </w:r>
      <w:proofErr w:type="spellStart"/>
      <w:r w:rsidRPr="00010A67">
        <w:rPr>
          <w:rFonts w:ascii="Arial" w:eastAsia="Calibri" w:hAnsi="Arial" w:cs="Arial"/>
          <w:color w:val="auto"/>
          <w:sz w:val="22"/>
          <w:szCs w:val="22"/>
          <w:lang w:eastAsia="en-US"/>
        </w:rPr>
        <w:t>Myburgh</w:t>
      </w:r>
      <w:proofErr w:type="spellEnd"/>
      <w:r w:rsidRPr="00010A67">
        <w:rPr>
          <w:rFonts w:ascii="Arial" w:eastAsia="Calibri" w:hAnsi="Arial" w:cs="Arial"/>
          <w:color w:val="auto"/>
          <w:sz w:val="22"/>
          <w:szCs w:val="22"/>
          <w:lang w:eastAsia="en-US"/>
        </w:rPr>
        <w:t xml:space="preserve"> report which the SARB is unable to add to.</w:t>
      </w:r>
    </w:p>
    <w:p w14:paraId="21032A34" w14:textId="77777777" w:rsidR="00010A67" w:rsidRPr="00010A67" w:rsidRDefault="00010A67" w:rsidP="00010A67">
      <w:pPr>
        <w:pStyle w:val="ListParagraph"/>
        <w:ind w:left="450"/>
        <w:jc w:val="both"/>
        <w:rPr>
          <w:rFonts w:ascii="Arial" w:eastAsia="Calibri" w:hAnsi="Arial" w:cs="Arial"/>
          <w:color w:val="auto"/>
          <w:sz w:val="22"/>
          <w:szCs w:val="22"/>
          <w:lang w:eastAsia="en-US"/>
        </w:rPr>
      </w:pPr>
    </w:p>
    <w:p w14:paraId="1176C95C" w14:textId="77777777" w:rsidR="00010A67" w:rsidRPr="00010A67" w:rsidRDefault="00010A67" w:rsidP="00010A67">
      <w:pPr>
        <w:pStyle w:val="ListParagraph"/>
        <w:tabs>
          <w:tab w:val="left" w:pos="180"/>
          <w:tab w:val="left" w:pos="360"/>
          <w:tab w:val="left" w:pos="720"/>
        </w:tabs>
        <w:jc w:val="both"/>
        <w:rPr>
          <w:rFonts w:ascii="Arial" w:eastAsia="Calibri" w:hAnsi="Arial" w:cs="Arial"/>
          <w:color w:val="auto"/>
          <w:sz w:val="22"/>
          <w:szCs w:val="22"/>
        </w:rPr>
      </w:pPr>
    </w:p>
    <w:p w14:paraId="1517984E" w14:textId="77777777" w:rsidR="00010A67" w:rsidRDefault="00010A67" w:rsidP="00010A67">
      <w:pPr>
        <w:pStyle w:val="ListParagraph"/>
        <w:jc w:val="both"/>
        <w:rPr>
          <w:rFonts w:ascii="Arial" w:eastAsia="Calibri" w:hAnsi="Arial" w:cs="Arial"/>
          <w:color w:val="0070C0"/>
          <w:sz w:val="22"/>
          <w:szCs w:val="22"/>
          <w:lang w:eastAsia="en-US"/>
        </w:rPr>
      </w:pPr>
    </w:p>
    <w:p w14:paraId="453A9F8F" w14:textId="77777777" w:rsidR="00010A67" w:rsidRPr="001E2D09" w:rsidRDefault="00010A67" w:rsidP="00010A67">
      <w:pPr>
        <w:pStyle w:val="ListParagraph"/>
        <w:jc w:val="both"/>
        <w:rPr>
          <w:rFonts w:ascii="Arial" w:eastAsia="Calibri" w:hAnsi="Arial" w:cs="Arial"/>
          <w:color w:val="0070C0"/>
          <w:sz w:val="22"/>
          <w:szCs w:val="22"/>
          <w:lang w:eastAsia="en-US"/>
        </w:rPr>
      </w:pPr>
    </w:p>
    <w:p w14:paraId="750805C4" w14:textId="77777777" w:rsidR="00010A67" w:rsidRPr="00010A67" w:rsidRDefault="00010A67" w:rsidP="00010A67">
      <w:pPr>
        <w:pStyle w:val="BodyTextIndent"/>
        <w:spacing w:line="276" w:lineRule="auto"/>
        <w:ind w:left="720" w:firstLine="0"/>
        <w:rPr>
          <w:rFonts w:ascii="Arial" w:hAnsi="Arial" w:cs="Arial"/>
          <w:sz w:val="22"/>
          <w:szCs w:val="22"/>
        </w:rPr>
      </w:pPr>
    </w:p>
    <w:p w14:paraId="4FD221B8"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4B6470E0"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674B23D4"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sectPr w:rsidR="001E6902"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815E0"/>
    <w:multiLevelType w:val="hybridMultilevel"/>
    <w:tmpl w:val="DF8C8350"/>
    <w:lvl w:ilvl="0" w:tplc="8150738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85"/>
    <w:rsid w:val="00010A67"/>
    <w:rsid w:val="00020C04"/>
    <w:rsid w:val="000677BA"/>
    <w:rsid w:val="000C48D8"/>
    <w:rsid w:val="000F3B14"/>
    <w:rsid w:val="001433AE"/>
    <w:rsid w:val="0015727B"/>
    <w:rsid w:val="001713D2"/>
    <w:rsid w:val="001B0917"/>
    <w:rsid w:val="001B1E52"/>
    <w:rsid w:val="001E3FB5"/>
    <w:rsid w:val="001E6902"/>
    <w:rsid w:val="002A782E"/>
    <w:rsid w:val="002F4C1B"/>
    <w:rsid w:val="002F6E86"/>
    <w:rsid w:val="003421BD"/>
    <w:rsid w:val="00497385"/>
    <w:rsid w:val="005141B3"/>
    <w:rsid w:val="00574E19"/>
    <w:rsid w:val="00613FC6"/>
    <w:rsid w:val="006239F1"/>
    <w:rsid w:val="00624D20"/>
    <w:rsid w:val="0062770E"/>
    <w:rsid w:val="0064275F"/>
    <w:rsid w:val="00647EF2"/>
    <w:rsid w:val="00653A85"/>
    <w:rsid w:val="007118EA"/>
    <w:rsid w:val="00726A9C"/>
    <w:rsid w:val="007359BF"/>
    <w:rsid w:val="007914E0"/>
    <w:rsid w:val="007A32AF"/>
    <w:rsid w:val="007B1BA1"/>
    <w:rsid w:val="00835A0C"/>
    <w:rsid w:val="00891265"/>
    <w:rsid w:val="008C2559"/>
    <w:rsid w:val="00911717"/>
    <w:rsid w:val="009163A5"/>
    <w:rsid w:val="00953363"/>
    <w:rsid w:val="0096007E"/>
    <w:rsid w:val="009A18A7"/>
    <w:rsid w:val="00A27751"/>
    <w:rsid w:val="00A525F0"/>
    <w:rsid w:val="00A72B9B"/>
    <w:rsid w:val="00AD00CE"/>
    <w:rsid w:val="00AD5C9B"/>
    <w:rsid w:val="00B447E6"/>
    <w:rsid w:val="00B77F67"/>
    <w:rsid w:val="00BD31C6"/>
    <w:rsid w:val="00C25C7E"/>
    <w:rsid w:val="00C312EA"/>
    <w:rsid w:val="00C44C35"/>
    <w:rsid w:val="00C60822"/>
    <w:rsid w:val="00CC2F3E"/>
    <w:rsid w:val="00DB2463"/>
    <w:rsid w:val="00DD5296"/>
    <w:rsid w:val="00DF0D26"/>
    <w:rsid w:val="00DF57C1"/>
    <w:rsid w:val="00E77DF6"/>
    <w:rsid w:val="00E8352B"/>
    <w:rsid w:val="00EA6A49"/>
    <w:rsid w:val="00F51C17"/>
    <w:rsid w:val="00F5571A"/>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F177C"/>
  <w15:docId w15:val="{D1AFC398-5CFC-496D-BC66-76455577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010A67"/>
    <w:pPr>
      <w:ind w:left="720"/>
    </w:pPr>
    <w:rPr>
      <w:rFonts w:ascii="Verdana" w:eastAsiaTheme="minorHAnsi" w:hAnsi="Verdana"/>
      <w:color w:val="00000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6CBF-9A47-4B85-A010-18BD4B2A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2016-11-08T11:02:00Z</cp:lastPrinted>
  <dcterms:created xsi:type="dcterms:W3CDTF">2016-11-10T09:28:00Z</dcterms:created>
  <dcterms:modified xsi:type="dcterms:W3CDTF">2016-11-10T09:28:00Z</dcterms:modified>
</cp:coreProperties>
</file>