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0" w:type="auto"/>
        <w:tblLook w:val="04A0"/>
      </w:tblPr>
      <w:tblGrid>
        <w:gridCol w:w="9350"/>
      </w:tblGrid>
      <w:tr w:rsidR="00114EE5" w:rsidTr="00114EE5">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004F61" w:rsidRPr="00DC6183" w:rsidRDefault="00004F61" w:rsidP="00004F61">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004F61" w:rsidRPr="00DC6183" w:rsidRDefault="00004F61" w:rsidP="00004F61">
      <w:pPr>
        <w:jc w:val="center"/>
        <w:rPr>
          <w:rFonts w:ascii="Arial" w:hAnsi="Arial" w:cs="Arial"/>
          <w:b/>
          <w:bCs/>
          <w:lang w:val="en-ZA"/>
        </w:rPr>
      </w:pPr>
      <w:r w:rsidRPr="00DC6183">
        <w:rPr>
          <w:rFonts w:ascii="Arial" w:hAnsi="Arial" w:cs="Arial"/>
          <w:b/>
          <w:bCs/>
          <w:lang w:val="en-ZA"/>
        </w:rPr>
        <w:t>FOR WRITTEN REPLY</w:t>
      </w:r>
    </w:p>
    <w:p w:rsidR="00004F61" w:rsidRPr="00DC6183" w:rsidRDefault="00004F61" w:rsidP="00004F61">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1684</w:t>
      </w:r>
    </w:p>
    <w:p w:rsidR="00004F61" w:rsidRPr="00DC6183" w:rsidRDefault="00004F61" w:rsidP="00004F61">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04</w:t>
      </w:r>
      <w:r w:rsidRPr="00DC6183">
        <w:rPr>
          <w:rFonts w:ascii="Arial" w:hAnsi="Arial" w:cs="Arial"/>
          <w:b/>
          <w:bCs/>
          <w:lang w:val="en-ZA"/>
        </w:rPr>
        <w:t>/</w:t>
      </w:r>
      <w:r>
        <w:rPr>
          <w:rFonts w:ascii="Arial" w:hAnsi="Arial" w:cs="Arial"/>
          <w:b/>
          <w:bCs/>
          <w:lang w:val="en-ZA"/>
        </w:rPr>
        <w:t>06</w:t>
      </w:r>
      <w:r w:rsidRPr="00DC6183">
        <w:rPr>
          <w:rFonts w:ascii="Arial" w:hAnsi="Arial" w:cs="Arial"/>
          <w:b/>
          <w:bCs/>
          <w:lang w:val="en-ZA"/>
        </w:rPr>
        <w:t>/20</w:t>
      </w:r>
      <w:r>
        <w:rPr>
          <w:rFonts w:ascii="Arial" w:hAnsi="Arial" w:cs="Arial"/>
          <w:b/>
          <w:bCs/>
          <w:lang w:val="en-ZA"/>
        </w:rPr>
        <w:t>21</w:t>
      </w:r>
    </w:p>
    <w:p w:rsidR="00004F61" w:rsidRPr="00FF2AAB" w:rsidRDefault="00004F61" w:rsidP="00004F61">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16</w:t>
      </w:r>
      <w:r w:rsidRPr="00DC6183">
        <w:rPr>
          <w:rFonts w:ascii="Arial" w:hAnsi="Arial" w:cs="Arial"/>
          <w:b/>
          <w:bCs/>
          <w:lang w:val="en-ZA"/>
        </w:rPr>
        <w:t xml:space="preserve"> OF 20</w:t>
      </w:r>
      <w:r>
        <w:rPr>
          <w:rFonts w:ascii="Arial" w:hAnsi="Arial" w:cs="Arial"/>
          <w:b/>
          <w:bCs/>
          <w:lang w:val="en-ZA"/>
        </w:rPr>
        <w:t>21</w:t>
      </w:r>
    </w:p>
    <w:p w:rsidR="00004F61" w:rsidRPr="00B55BD3" w:rsidRDefault="00004F61" w:rsidP="00004F61">
      <w:pPr>
        <w:spacing w:before="100" w:beforeAutospacing="1" w:after="100" w:afterAutospacing="1" w:line="360" w:lineRule="auto"/>
        <w:ind w:left="720"/>
        <w:jc w:val="both"/>
        <w:outlineLvl w:val="0"/>
        <w:rPr>
          <w:rFonts w:ascii="Arial" w:hAnsi="Arial" w:cs="Arial"/>
          <w:b/>
          <w:lang w:val="en-ZA"/>
        </w:rPr>
      </w:pPr>
      <w:r w:rsidRPr="00B55BD3">
        <w:rPr>
          <w:rFonts w:ascii="Arial" w:hAnsi="Arial" w:cs="Arial"/>
          <w:b/>
          <w:lang w:val="en-ZA"/>
        </w:rPr>
        <w:t>Mr M S F de Freitas (DA) to ask the Minister of Higher Education, Science and Innovation</w:t>
      </w:r>
      <w:r w:rsidR="005D3D01" w:rsidRPr="00B55BD3">
        <w:rPr>
          <w:rFonts w:ascii="Arial" w:hAnsi="Arial" w:cs="Arial"/>
          <w:b/>
          <w:lang w:val="en-ZA"/>
        </w:rPr>
        <w:fldChar w:fldCharType="begin"/>
      </w:r>
      <w:r w:rsidRPr="00B55BD3">
        <w:rPr>
          <w:rFonts w:ascii="Arial" w:hAnsi="Arial" w:cs="Arial"/>
          <w:lang w:val="en-ZA"/>
        </w:rPr>
        <w:instrText xml:space="preserve"> XE "</w:instrText>
      </w:r>
      <w:r w:rsidRPr="00B55BD3">
        <w:rPr>
          <w:rFonts w:ascii="Arial" w:hAnsi="Arial" w:cs="Arial"/>
          <w:b/>
          <w:lang w:val="en-ZA"/>
        </w:rPr>
        <w:instrText>Higher Education, Science and Innovation</w:instrText>
      </w:r>
      <w:r w:rsidRPr="00B55BD3">
        <w:rPr>
          <w:rFonts w:ascii="Arial" w:hAnsi="Arial" w:cs="Arial"/>
          <w:lang w:val="en-ZA"/>
        </w:rPr>
        <w:instrText xml:space="preserve">" </w:instrText>
      </w:r>
      <w:r w:rsidR="005D3D01" w:rsidRPr="00B55BD3">
        <w:rPr>
          <w:rFonts w:ascii="Arial" w:hAnsi="Arial" w:cs="Arial"/>
          <w:b/>
          <w:lang w:val="en-ZA"/>
        </w:rPr>
        <w:fldChar w:fldCharType="end"/>
      </w:r>
      <w:r w:rsidRPr="00B55BD3">
        <w:rPr>
          <w:rFonts w:ascii="Arial" w:hAnsi="Arial" w:cs="Arial"/>
          <w:b/>
          <w:lang w:val="en-ZA"/>
        </w:rPr>
        <w:t>:</w:t>
      </w:r>
    </w:p>
    <w:p w:rsidR="00004F61" w:rsidRPr="000305A6" w:rsidRDefault="00004F61" w:rsidP="00004F61">
      <w:pPr>
        <w:spacing w:before="100" w:beforeAutospacing="1" w:after="100" w:afterAutospacing="1" w:line="360" w:lineRule="auto"/>
        <w:ind w:left="720"/>
        <w:jc w:val="both"/>
        <w:outlineLvl w:val="0"/>
        <w:rPr>
          <w:rFonts w:ascii="Arial" w:hAnsi="Arial" w:cs="Arial"/>
          <w:lang w:val="en-ZA"/>
        </w:rPr>
      </w:pPr>
      <w:r w:rsidRPr="001A27A9">
        <w:rPr>
          <w:rFonts w:ascii="Arial" w:hAnsi="Arial" w:cs="Arial"/>
          <w:lang w:val="en-ZA"/>
        </w:rPr>
        <w:t>(a) What outreach programmes were put in place by the Culture, Arts, Tourism</w:t>
      </w:r>
      <w:r w:rsidR="005D3D01" w:rsidRPr="001A27A9">
        <w:rPr>
          <w:rFonts w:ascii="Arial" w:hAnsi="Arial" w:cs="Arial"/>
          <w:lang w:val="en-ZA"/>
        </w:rPr>
        <w:fldChar w:fldCharType="begin"/>
      </w:r>
      <w:r w:rsidRPr="001A27A9">
        <w:rPr>
          <w:rFonts w:ascii="Arial" w:hAnsi="Arial" w:cs="Arial"/>
          <w:lang w:val="en-ZA"/>
        </w:rPr>
        <w:instrText xml:space="preserve"> XE "</w:instrText>
      </w:r>
      <w:r w:rsidRPr="001A27A9">
        <w:rPr>
          <w:rFonts w:ascii="Arial" w:hAnsi="Arial" w:cs="Arial"/>
          <w:b/>
          <w:lang w:val="en-ZA"/>
        </w:rPr>
        <w:instrText>Tourism</w:instrText>
      </w:r>
      <w:r w:rsidRPr="001A27A9">
        <w:rPr>
          <w:rFonts w:ascii="Arial" w:hAnsi="Arial" w:cs="Arial"/>
          <w:lang w:val="en-ZA"/>
        </w:rPr>
        <w:instrText xml:space="preserve">" </w:instrText>
      </w:r>
      <w:r w:rsidR="005D3D01" w:rsidRPr="001A27A9">
        <w:rPr>
          <w:rFonts w:ascii="Arial" w:hAnsi="Arial" w:cs="Arial"/>
          <w:lang w:val="en-ZA"/>
        </w:rPr>
        <w:fldChar w:fldCharType="end"/>
      </w:r>
      <w:r w:rsidRPr="001A27A9">
        <w:rPr>
          <w:rFonts w:ascii="Arial" w:hAnsi="Arial" w:cs="Arial"/>
          <w:lang w:val="en-ZA"/>
        </w:rPr>
        <w:t>, Hospitality and Sport Sector Education and Training Authority for young people to encourage their interest in tourism and related sectors (</w:t>
      </w:r>
      <w:proofErr w:type="spellStart"/>
      <w:r w:rsidRPr="001A27A9">
        <w:rPr>
          <w:rFonts w:ascii="Arial" w:hAnsi="Arial" w:cs="Arial"/>
          <w:lang w:val="en-ZA"/>
        </w:rPr>
        <w:t>i</w:t>
      </w:r>
      <w:proofErr w:type="spellEnd"/>
      <w:r w:rsidRPr="001A27A9">
        <w:rPr>
          <w:rFonts w:ascii="Arial" w:hAnsi="Arial" w:cs="Arial"/>
          <w:lang w:val="en-ZA"/>
        </w:rPr>
        <w:t xml:space="preserve">) in the past three financial years and (ii) since 1 </w:t>
      </w:r>
      <w:r w:rsidRPr="001A27A9">
        <w:rPr>
          <w:rFonts w:ascii="Arial" w:hAnsi="Arial" w:cs="Arial"/>
          <w:bCs/>
          <w:lang w:val="en-ZA"/>
        </w:rPr>
        <w:t>January</w:t>
      </w:r>
      <w:r w:rsidRPr="001A27A9">
        <w:rPr>
          <w:rFonts w:ascii="Arial" w:hAnsi="Arial" w:cs="Arial"/>
          <w:lang w:val="en-ZA"/>
        </w:rPr>
        <w:t xml:space="preserve"> 2021, (b) what targets have been set in this regard, (c) what were the actual results obtained in each case, (d) what are the details of the (</w:t>
      </w:r>
      <w:proofErr w:type="spellStart"/>
      <w:r w:rsidRPr="001A27A9">
        <w:rPr>
          <w:rFonts w:ascii="Arial" w:hAnsi="Arial" w:cs="Arial"/>
          <w:lang w:val="en-ZA"/>
        </w:rPr>
        <w:t>i</w:t>
      </w:r>
      <w:proofErr w:type="spellEnd"/>
      <w:r w:rsidRPr="001A27A9">
        <w:rPr>
          <w:rFonts w:ascii="Arial" w:hAnsi="Arial" w:cs="Arial"/>
          <w:lang w:val="en-ZA"/>
        </w:rPr>
        <w:t>) dates, (ii) venues, (iii) attendances and (iv) outcomes of each programme and (e) how is each programme monitored, evaluated and assessed in each case?</w:t>
      </w:r>
      <w:r w:rsidRPr="001A27A9">
        <w:rPr>
          <w:rFonts w:ascii="Arial" w:hAnsi="Arial" w:cs="Arial"/>
          <w:lang w:val="en-ZA"/>
        </w:rPr>
        <w:tab/>
      </w:r>
      <w:r w:rsidRPr="001A27A9">
        <w:rPr>
          <w:rFonts w:ascii="Arial" w:hAnsi="Arial" w:cs="Arial"/>
          <w:lang w:val="en-ZA"/>
        </w:rPr>
        <w:tab/>
      </w:r>
    </w:p>
    <w:p w:rsidR="00004F61" w:rsidRPr="001A27A9" w:rsidRDefault="00004F61" w:rsidP="00004F61">
      <w:pPr>
        <w:spacing w:before="100" w:beforeAutospacing="1" w:after="100" w:afterAutospacing="1" w:line="360" w:lineRule="auto"/>
        <w:ind w:left="7200" w:firstLine="720"/>
        <w:jc w:val="both"/>
        <w:outlineLvl w:val="0"/>
        <w:rPr>
          <w:rFonts w:ascii="Arial" w:hAnsi="Arial" w:cs="Arial"/>
          <w:b/>
          <w:lang w:val="en-ZA"/>
        </w:rPr>
      </w:pPr>
      <w:r w:rsidRPr="001A27A9">
        <w:rPr>
          <w:rFonts w:ascii="Arial" w:hAnsi="Arial" w:cs="Arial"/>
          <w:b/>
          <w:lang w:val="en-ZA"/>
        </w:rPr>
        <w:t>NW1892E</w:t>
      </w:r>
    </w:p>
    <w:p w:rsidR="00004F61" w:rsidRDefault="00004F61" w:rsidP="00004F61">
      <w:pPr>
        <w:spacing w:before="100" w:beforeAutospacing="1" w:after="100" w:afterAutospacing="1" w:line="360" w:lineRule="auto"/>
        <w:jc w:val="both"/>
        <w:outlineLvl w:val="0"/>
        <w:rPr>
          <w:rFonts w:ascii="Arial" w:hAnsi="Arial" w:cs="Arial"/>
          <w:b/>
        </w:rPr>
      </w:pPr>
    </w:p>
    <w:p w:rsidR="00004F61" w:rsidRDefault="00004F61" w:rsidP="00004F61">
      <w:pPr>
        <w:spacing w:before="100" w:beforeAutospacing="1" w:after="100" w:afterAutospacing="1" w:line="360" w:lineRule="auto"/>
        <w:jc w:val="both"/>
        <w:outlineLvl w:val="0"/>
        <w:rPr>
          <w:rFonts w:ascii="Arial" w:hAnsi="Arial" w:cs="Arial"/>
          <w:b/>
        </w:rPr>
      </w:pPr>
    </w:p>
    <w:p w:rsidR="00004F61" w:rsidRDefault="00004F61" w:rsidP="00004F61">
      <w:pPr>
        <w:spacing w:before="100" w:beforeAutospacing="1" w:after="100" w:afterAutospacing="1" w:line="360" w:lineRule="auto"/>
        <w:jc w:val="both"/>
        <w:outlineLvl w:val="0"/>
        <w:rPr>
          <w:rFonts w:ascii="Arial" w:hAnsi="Arial" w:cs="Arial"/>
          <w:b/>
        </w:rPr>
      </w:pPr>
    </w:p>
    <w:p w:rsidR="00004F61" w:rsidRDefault="00004F61" w:rsidP="00004F61">
      <w:pPr>
        <w:spacing w:before="100" w:beforeAutospacing="1" w:after="100" w:afterAutospacing="1" w:line="360" w:lineRule="auto"/>
        <w:jc w:val="both"/>
        <w:outlineLvl w:val="0"/>
        <w:rPr>
          <w:rFonts w:ascii="Arial" w:hAnsi="Arial" w:cs="Arial"/>
          <w:b/>
        </w:rPr>
      </w:pPr>
    </w:p>
    <w:p w:rsidR="00004F61" w:rsidRDefault="00004F61" w:rsidP="00004F61">
      <w:pPr>
        <w:spacing w:before="100" w:beforeAutospacing="1" w:after="100" w:afterAutospacing="1" w:line="360" w:lineRule="auto"/>
        <w:jc w:val="both"/>
        <w:outlineLvl w:val="0"/>
        <w:rPr>
          <w:rFonts w:ascii="Arial" w:hAnsi="Arial" w:cs="Arial"/>
          <w:b/>
        </w:rPr>
      </w:pPr>
    </w:p>
    <w:p w:rsidR="00004F61" w:rsidRDefault="00004F61" w:rsidP="00004F61">
      <w:pPr>
        <w:spacing w:before="100" w:beforeAutospacing="1" w:after="100" w:afterAutospacing="1" w:line="360" w:lineRule="auto"/>
        <w:jc w:val="both"/>
        <w:outlineLvl w:val="0"/>
        <w:rPr>
          <w:rFonts w:ascii="Arial" w:hAnsi="Arial" w:cs="Arial"/>
          <w:b/>
        </w:rPr>
      </w:pPr>
    </w:p>
    <w:p w:rsidR="00004F61" w:rsidRDefault="00004F61" w:rsidP="00004F61">
      <w:pPr>
        <w:spacing w:before="100" w:beforeAutospacing="1" w:after="100" w:afterAutospacing="1" w:line="360" w:lineRule="auto"/>
        <w:jc w:val="both"/>
        <w:outlineLvl w:val="0"/>
        <w:rPr>
          <w:rFonts w:ascii="Arial" w:hAnsi="Arial" w:cs="Arial"/>
          <w:b/>
        </w:rPr>
      </w:pPr>
    </w:p>
    <w:p w:rsidR="00004F61" w:rsidRPr="00004F61" w:rsidRDefault="00004F61" w:rsidP="00004F61">
      <w:pPr>
        <w:spacing w:before="100" w:beforeAutospacing="1" w:after="100" w:afterAutospacing="1" w:line="360" w:lineRule="auto"/>
        <w:jc w:val="both"/>
        <w:outlineLvl w:val="0"/>
        <w:rPr>
          <w:rFonts w:ascii="Arial" w:hAnsi="Arial" w:cs="Arial"/>
          <w:lang w:val="en-ZA"/>
        </w:rPr>
      </w:pPr>
      <w:r w:rsidRPr="004F3DF8">
        <w:rPr>
          <w:rFonts w:ascii="Arial" w:hAnsi="Arial" w:cs="Arial"/>
          <w:b/>
        </w:rPr>
        <w:lastRenderedPageBreak/>
        <w:t>REPLY:</w:t>
      </w:r>
    </w:p>
    <w:p w:rsidR="00004F61" w:rsidRPr="002104B0" w:rsidRDefault="00004F61" w:rsidP="00004F61">
      <w:pPr>
        <w:shd w:val="clear" w:color="auto" w:fill="FFFFFF"/>
        <w:spacing w:after="135" w:line="360" w:lineRule="auto"/>
        <w:ind w:left="720"/>
        <w:jc w:val="both"/>
        <w:rPr>
          <w:rFonts w:ascii="Arial" w:eastAsia="Times New Roman" w:hAnsi="Arial" w:cs="Arial"/>
          <w:color w:val="333333"/>
          <w:lang w:val="en-US"/>
        </w:rPr>
      </w:pPr>
      <w:r w:rsidRPr="002104B0">
        <w:rPr>
          <w:rFonts w:ascii="Arial" w:eastAsia="Times New Roman" w:hAnsi="Arial" w:cs="Arial"/>
          <w:color w:val="333333"/>
          <w:lang w:val="en-US"/>
        </w:rPr>
        <w:t xml:space="preserve">(a)  During the past three financial years, CATHSSETA has partnered with the Department of Tourism to host the National Tourism Careers Expo to encourage learners in careers related to the tourism and hospitality sectors. Furthermore, the SETA partnered with the Department of Higher Education and Training, and other SETAs to host the annual Heritage Expo focusing on the Culture, Arts and Heritage subsector. This expo has been taking place since 2019. The 2021 expo was held on 7 May 2021 in Limpopo and 8 June 2021 in Cape Town. Over and above the aforesaid </w:t>
      </w:r>
      <w:proofErr w:type="spellStart"/>
      <w:r w:rsidRPr="002104B0">
        <w:rPr>
          <w:rFonts w:ascii="Arial" w:eastAsia="Times New Roman" w:hAnsi="Arial" w:cs="Arial"/>
          <w:color w:val="333333"/>
          <w:lang w:val="en-US"/>
        </w:rPr>
        <w:t>programmes</w:t>
      </w:r>
      <w:proofErr w:type="spellEnd"/>
      <w:r w:rsidRPr="002104B0">
        <w:rPr>
          <w:rFonts w:ascii="Arial" w:eastAsia="Times New Roman" w:hAnsi="Arial" w:cs="Arial"/>
          <w:color w:val="333333"/>
          <w:lang w:val="en-US"/>
        </w:rPr>
        <w:t xml:space="preserve">, the SETA disburses discretionary grants to its stakeholders to fund bursaries, </w:t>
      </w:r>
      <w:proofErr w:type="spellStart"/>
      <w:r w:rsidRPr="002104B0">
        <w:rPr>
          <w:rFonts w:ascii="Arial" w:eastAsia="Times New Roman" w:hAnsi="Arial" w:cs="Arial"/>
          <w:color w:val="333333"/>
          <w:lang w:val="en-US"/>
        </w:rPr>
        <w:t>learnerships</w:t>
      </w:r>
      <w:proofErr w:type="spellEnd"/>
      <w:r w:rsidRPr="002104B0">
        <w:rPr>
          <w:rFonts w:ascii="Arial" w:eastAsia="Times New Roman" w:hAnsi="Arial" w:cs="Arial"/>
          <w:color w:val="333333"/>
          <w:lang w:val="en-US"/>
        </w:rPr>
        <w:t xml:space="preserve">, skills </w:t>
      </w:r>
      <w:proofErr w:type="spellStart"/>
      <w:r w:rsidRPr="002104B0">
        <w:rPr>
          <w:rFonts w:ascii="Arial" w:eastAsia="Times New Roman" w:hAnsi="Arial" w:cs="Arial"/>
          <w:color w:val="333333"/>
          <w:lang w:val="en-US"/>
        </w:rPr>
        <w:t>programmes</w:t>
      </w:r>
      <w:proofErr w:type="spellEnd"/>
      <w:r w:rsidRPr="002104B0">
        <w:rPr>
          <w:rFonts w:ascii="Arial" w:eastAsia="Times New Roman" w:hAnsi="Arial" w:cs="Arial"/>
          <w:color w:val="333333"/>
          <w:lang w:val="en-US"/>
        </w:rPr>
        <w:t xml:space="preserve">, artisans and work-integrated learning </w:t>
      </w:r>
      <w:proofErr w:type="spellStart"/>
      <w:r w:rsidRPr="002104B0">
        <w:rPr>
          <w:rFonts w:ascii="Arial" w:eastAsia="Times New Roman" w:hAnsi="Arial" w:cs="Arial"/>
          <w:color w:val="333333"/>
          <w:lang w:val="en-US"/>
        </w:rPr>
        <w:t>programmes</w:t>
      </w:r>
      <w:proofErr w:type="spellEnd"/>
      <w:r w:rsidRPr="002104B0">
        <w:rPr>
          <w:rFonts w:ascii="Arial" w:eastAsia="Times New Roman" w:hAnsi="Arial" w:cs="Arial"/>
          <w:color w:val="333333"/>
          <w:lang w:val="en-US"/>
        </w:rPr>
        <w:t>.</w:t>
      </w:r>
    </w:p>
    <w:p w:rsidR="00004F61" w:rsidRPr="002104B0" w:rsidRDefault="00004F61" w:rsidP="00004F61">
      <w:pPr>
        <w:shd w:val="clear" w:color="auto" w:fill="FFFFFF"/>
        <w:spacing w:after="135" w:line="360" w:lineRule="auto"/>
        <w:ind w:left="720"/>
        <w:jc w:val="both"/>
        <w:rPr>
          <w:rFonts w:ascii="Arial" w:eastAsia="Times New Roman" w:hAnsi="Arial" w:cs="Arial"/>
          <w:color w:val="333333"/>
          <w:lang w:val="en-US"/>
        </w:rPr>
      </w:pPr>
      <w:r w:rsidRPr="002104B0">
        <w:rPr>
          <w:rFonts w:ascii="Arial" w:eastAsia="Times New Roman" w:hAnsi="Arial" w:cs="Arial"/>
          <w:color w:val="333333"/>
          <w:lang w:val="en-US"/>
        </w:rPr>
        <w:t>(b)</w:t>
      </w:r>
      <w:r w:rsidR="00CD5B8B">
        <w:rPr>
          <w:rFonts w:ascii="Arial" w:eastAsia="Times New Roman" w:hAnsi="Arial" w:cs="Arial"/>
          <w:color w:val="333333"/>
          <w:lang w:val="en-US"/>
        </w:rPr>
        <w:t xml:space="preserve"> </w:t>
      </w:r>
      <w:r w:rsidRPr="002104B0">
        <w:rPr>
          <w:rFonts w:ascii="Arial" w:eastAsia="Times New Roman" w:hAnsi="Arial" w:cs="Arial"/>
          <w:color w:val="333333"/>
          <w:lang w:val="en-US"/>
        </w:rPr>
        <w:t xml:space="preserve">The SETA signs service level agreements with clear targets with the Department of Higher Education and Training on an annual basis to support occupationally directed </w:t>
      </w:r>
      <w:proofErr w:type="spellStart"/>
      <w:r w:rsidRPr="002104B0">
        <w:rPr>
          <w:rFonts w:ascii="Arial" w:eastAsia="Times New Roman" w:hAnsi="Arial" w:cs="Arial"/>
          <w:color w:val="333333"/>
          <w:lang w:val="en-US"/>
        </w:rPr>
        <w:t>programmes</w:t>
      </w:r>
      <w:proofErr w:type="spellEnd"/>
      <w:r w:rsidRPr="002104B0">
        <w:rPr>
          <w:rFonts w:ascii="Arial" w:eastAsia="Times New Roman" w:hAnsi="Arial" w:cs="Arial"/>
          <w:color w:val="333333"/>
          <w:lang w:val="en-US"/>
        </w:rPr>
        <w:t xml:space="preserve"> such as vocational qualifications. The targets for the following learning </w:t>
      </w:r>
      <w:proofErr w:type="spellStart"/>
      <w:r w:rsidRPr="002104B0">
        <w:rPr>
          <w:rFonts w:ascii="Arial" w:eastAsia="Times New Roman" w:hAnsi="Arial" w:cs="Arial"/>
          <w:color w:val="333333"/>
          <w:lang w:val="en-US"/>
        </w:rPr>
        <w:t>programmes</w:t>
      </w:r>
      <w:proofErr w:type="spellEnd"/>
      <w:r w:rsidRPr="002104B0">
        <w:rPr>
          <w:rFonts w:ascii="Arial" w:eastAsia="Times New Roman" w:hAnsi="Arial" w:cs="Arial"/>
          <w:color w:val="333333"/>
          <w:lang w:val="en-US"/>
        </w:rPr>
        <w:t xml:space="preserve"> have been agreed upon for the 2021/22 financial year with the SETA:</w:t>
      </w:r>
    </w:p>
    <w:p w:rsidR="00004F61" w:rsidRPr="002104B0" w:rsidRDefault="00004F61" w:rsidP="00004F61">
      <w:pPr>
        <w:shd w:val="clear" w:color="auto" w:fill="FFFFFF"/>
        <w:spacing w:after="135" w:line="360" w:lineRule="auto"/>
        <w:ind w:left="1170"/>
        <w:jc w:val="both"/>
        <w:rPr>
          <w:rFonts w:ascii="Arial" w:eastAsia="Times New Roman" w:hAnsi="Arial" w:cs="Arial"/>
          <w:color w:val="333333"/>
          <w:lang w:val="en-US"/>
        </w:rPr>
      </w:pPr>
      <w:r w:rsidRPr="002104B0">
        <w:rPr>
          <w:rFonts w:ascii="Arial" w:eastAsia="Times New Roman" w:hAnsi="Arial" w:cs="Arial"/>
          <w:color w:val="333333"/>
          <w:lang w:val="en-US"/>
        </w:rPr>
        <w:t>-   Bursaries for 263 learners;</w:t>
      </w:r>
    </w:p>
    <w:p w:rsidR="00004F61" w:rsidRPr="002104B0" w:rsidRDefault="00004F61" w:rsidP="00004F61">
      <w:pPr>
        <w:shd w:val="clear" w:color="auto" w:fill="FFFFFF"/>
        <w:spacing w:after="135" w:line="360" w:lineRule="auto"/>
        <w:ind w:left="1170"/>
        <w:jc w:val="both"/>
        <w:rPr>
          <w:rFonts w:ascii="Arial" w:eastAsia="Times New Roman" w:hAnsi="Arial" w:cs="Arial"/>
          <w:color w:val="333333"/>
          <w:lang w:val="en-US"/>
        </w:rPr>
      </w:pPr>
      <w:r w:rsidRPr="002104B0">
        <w:rPr>
          <w:rFonts w:ascii="Arial" w:eastAsia="Times New Roman" w:hAnsi="Arial" w:cs="Arial"/>
          <w:color w:val="333333"/>
          <w:lang w:val="en-US"/>
        </w:rPr>
        <w:t>-   Learnerships for 158 learners;</w:t>
      </w:r>
    </w:p>
    <w:p w:rsidR="00004F61" w:rsidRPr="002104B0" w:rsidRDefault="00004F61" w:rsidP="00004F61">
      <w:pPr>
        <w:shd w:val="clear" w:color="auto" w:fill="FFFFFF"/>
        <w:spacing w:after="135" w:line="360" w:lineRule="auto"/>
        <w:ind w:left="1170"/>
        <w:jc w:val="both"/>
        <w:rPr>
          <w:rFonts w:ascii="Arial" w:eastAsia="Times New Roman" w:hAnsi="Arial" w:cs="Arial"/>
          <w:color w:val="333333"/>
          <w:lang w:val="en-US"/>
        </w:rPr>
      </w:pPr>
      <w:r w:rsidRPr="002104B0">
        <w:rPr>
          <w:rFonts w:ascii="Arial" w:eastAsia="Times New Roman" w:hAnsi="Arial" w:cs="Arial"/>
          <w:color w:val="333333"/>
          <w:lang w:val="en-US"/>
        </w:rPr>
        <w:t xml:space="preserve">-   Skills </w:t>
      </w:r>
      <w:proofErr w:type="spellStart"/>
      <w:r w:rsidRPr="002104B0">
        <w:rPr>
          <w:rFonts w:ascii="Arial" w:eastAsia="Times New Roman" w:hAnsi="Arial" w:cs="Arial"/>
          <w:color w:val="333333"/>
          <w:lang w:val="en-US"/>
        </w:rPr>
        <w:t>programmes</w:t>
      </w:r>
      <w:proofErr w:type="spellEnd"/>
      <w:r w:rsidRPr="002104B0">
        <w:rPr>
          <w:rFonts w:ascii="Arial" w:eastAsia="Times New Roman" w:hAnsi="Arial" w:cs="Arial"/>
          <w:color w:val="333333"/>
          <w:lang w:val="en-US"/>
        </w:rPr>
        <w:t xml:space="preserve"> for 210 learners;</w:t>
      </w:r>
    </w:p>
    <w:p w:rsidR="00004F61" w:rsidRPr="002104B0" w:rsidRDefault="00004F61" w:rsidP="00004F61">
      <w:pPr>
        <w:shd w:val="clear" w:color="auto" w:fill="FFFFFF"/>
        <w:spacing w:after="135" w:line="360" w:lineRule="auto"/>
        <w:ind w:left="1170"/>
        <w:jc w:val="both"/>
        <w:rPr>
          <w:rFonts w:ascii="Arial" w:eastAsia="Times New Roman" w:hAnsi="Arial" w:cs="Arial"/>
          <w:color w:val="333333"/>
          <w:lang w:val="en-US"/>
        </w:rPr>
      </w:pPr>
      <w:r w:rsidRPr="002104B0">
        <w:rPr>
          <w:rFonts w:ascii="Arial" w:eastAsia="Times New Roman" w:hAnsi="Arial" w:cs="Arial"/>
          <w:color w:val="333333"/>
          <w:lang w:val="en-US"/>
        </w:rPr>
        <w:t>-   Work-integrated learning for 473 learners;</w:t>
      </w:r>
    </w:p>
    <w:p w:rsidR="00004F61" w:rsidRPr="002104B0" w:rsidRDefault="00004F61" w:rsidP="00004F61">
      <w:pPr>
        <w:shd w:val="clear" w:color="auto" w:fill="FFFFFF"/>
        <w:spacing w:after="135" w:line="360" w:lineRule="auto"/>
        <w:ind w:left="1170"/>
        <w:jc w:val="both"/>
        <w:rPr>
          <w:rFonts w:ascii="Arial" w:eastAsia="Times New Roman" w:hAnsi="Arial" w:cs="Arial"/>
          <w:color w:val="333333"/>
          <w:lang w:val="en-US"/>
        </w:rPr>
      </w:pPr>
      <w:r w:rsidRPr="002104B0">
        <w:rPr>
          <w:rFonts w:ascii="Arial" w:eastAsia="Times New Roman" w:hAnsi="Arial" w:cs="Arial"/>
          <w:color w:val="333333"/>
          <w:lang w:val="en-US"/>
        </w:rPr>
        <w:t xml:space="preserve">-   </w:t>
      </w:r>
      <w:proofErr w:type="spellStart"/>
      <w:r w:rsidRPr="002104B0">
        <w:rPr>
          <w:rFonts w:ascii="Arial" w:eastAsia="Times New Roman" w:hAnsi="Arial" w:cs="Arial"/>
          <w:color w:val="333333"/>
          <w:lang w:val="en-US"/>
        </w:rPr>
        <w:t>Artisanships</w:t>
      </w:r>
      <w:proofErr w:type="spellEnd"/>
      <w:r w:rsidRPr="002104B0">
        <w:rPr>
          <w:rFonts w:ascii="Arial" w:eastAsia="Times New Roman" w:hAnsi="Arial" w:cs="Arial"/>
          <w:color w:val="333333"/>
          <w:lang w:val="en-US"/>
        </w:rPr>
        <w:t xml:space="preserve"> for 261 learners; and</w:t>
      </w:r>
    </w:p>
    <w:p w:rsidR="00004F61" w:rsidRPr="002104B0" w:rsidRDefault="00004F61" w:rsidP="00004F61">
      <w:pPr>
        <w:shd w:val="clear" w:color="auto" w:fill="FFFFFF"/>
        <w:spacing w:after="135" w:line="360" w:lineRule="auto"/>
        <w:ind w:left="1170"/>
        <w:jc w:val="both"/>
        <w:rPr>
          <w:rFonts w:ascii="Arial" w:eastAsia="Times New Roman" w:hAnsi="Arial" w:cs="Arial"/>
          <w:color w:val="333333"/>
          <w:lang w:val="en-US"/>
        </w:rPr>
      </w:pPr>
      <w:r w:rsidRPr="002104B0">
        <w:rPr>
          <w:rFonts w:ascii="Arial" w:eastAsia="Times New Roman" w:hAnsi="Arial" w:cs="Arial"/>
          <w:color w:val="333333"/>
          <w:lang w:val="en-US"/>
        </w:rPr>
        <w:t>-   Internships for 173 learners.</w:t>
      </w:r>
    </w:p>
    <w:p w:rsidR="00004F61" w:rsidRPr="002104B0" w:rsidRDefault="00004F61" w:rsidP="00004F61">
      <w:pPr>
        <w:shd w:val="clear" w:color="auto" w:fill="FFFFFF"/>
        <w:spacing w:after="135" w:line="360" w:lineRule="auto"/>
        <w:ind w:left="810"/>
        <w:jc w:val="both"/>
        <w:rPr>
          <w:rFonts w:ascii="Arial" w:eastAsia="Times New Roman" w:hAnsi="Arial" w:cs="Arial"/>
          <w:color w:val="333333"/>
          <w:lang w:val="en-US"/>
        </w:rPr>
      </w:pPr>
      <w:r w:rsidRPr="002104B0">
        <w:rPr>
          <w:rFonts w:ascii="Arial" w:eastAsia="Times New Roman" w:hAnsi="Arial" w:cs="Arial"/>
          <w:color w:val="333333"/>
          <w:lang w:val="en-US"/>
        </w:rPr>
        <w:t>All these interventions are aimed at addressing the occupational shortages identified in the Sector Skills Plan.</w:t>
      </w:r>
    </w:p>
    <w:p w:rsidR="00004F61" w:rsidRPr="002104B0" w:rsidRDefault="00004F61" w:rsidP="00004F61">
      <w:pPr>
        <w:shd w:val="clear" w:color="auto" w:fill="FFFFFF"/>
        <w:spacing w:after="135" w:line="360" w:lineRule="auto"/>
        <w:ind w:left="810"/>
        <w:jc w:val="both"/>
        <w:rPr>
          <w:rFonts w:ascii="Arial" w:eastAsia="Times New Roman" w:hAnsi="Arial" w:cs="Arial"/>
          <w:color w:val="333333"/>
          <w:lang w:val="en-US"/>
        </w:rPr>
      </w:pPr>
      <w:r w:rsidRPr="002104B0">
        <w:rPr>
          <w:rFonts w:ascii="Arial" w:eastAsia="Times New Roman" w:hAnsi="Arial" w:cs="Arial"/>
          <w:color w:val="333333"/>
          <w:lang w:val="en-US"/>
        </w:rPr>
        <w:t>(c) The following achievements can be noted:</w:t>
      </w:r>
    </w:p>
    <w:p w:rsidR="00004F61" w:rsidRPr="002104B0" w:rsidRDefault="00004F61" w:rsidP="00004F61">
      <w:pPr>
        <w:shd w:val="clear" w:color="auto" w:fill="FFFFFF"/>
        <w:spacing w:after="135" w:line="360" w:lineRule="auto"/>
        <w:ind w:left="1170"/>
        <w:jc w:val="both"/>
        <w:rPr>
          <w:rFonts w:ascii="Arial" w:eastAsia="Times New Roman" w:hAnsi="Arial" w:cs="Arial"/>
          <w:color w:val="333333"/>
          <w:lang w:val="en-US"/>
        </w:rPr>
      </w:pPr>
      <w:r w:rsidRPr="002104B0">
        <w:rPr>
          <w:rFonts w:ascii="Arial" w:eastAsia="Times New Roman" w:hAnsi="Arial" w:cs="Arial"/>
          <w:color w:val="333333"/>
          <w:lang w:val="en-US"/>
        </w:rPr>
        <w:t>-   Number of workers completed Adult Education and Training               30</w:t>
      </w:r>
    </w:p>
    <w:p w:rsidR="00004F61" w:rsidRPr="002104B0" w:rsidRDefault="00004F61" w:rsidP="00004F61">
      <w:pPr>
        <w:shd w:val="clear" w:color="auto" w:fill="FFFFFF"/>
        <w:spacing w:after="135" w:line="360" w:lineRule="auto"/>
        <w:ind w:left="1170"/>
        <w:jc w:val="both"/>
        <w:rPr>
          <w:rFonts w:ascii="Arial" w:eastAsia="Times New Roman" w:hAnsi="Arial" w:cs="Arial"/>
          <w:color w:val="333333"/>
          <w:lang w:val="en-US"/>
        </w:rPr>
      </w:pPr>
      <w:r w:rsidRPr="002104B0">
        <w:rPr>
          <w:rFonts w:ascii="Arial" w:eastAsia="Times New Roman" w:hAnsi="Arial" w:cs="Arial"/>
          <w:color w:val="333333"/>
          <w:lang w:val="en-US"/>
        </w:rPr>
        <w:t>-   Number of university graduate placements completed                     </w:t>
      </w:r>
      <w:r>
        <w:rPr>
          <w:rFonts w:ascii="Arial" w:eastAsia="Times New Roman" w:hAnsi="Arial" w:cs="Arial"/>
          <w:color w:val="333333"/>
          <w:lang w:val="en-US"/>
        </w:rPr>
        <w:t xml:space="preserve">  </w:t>
      </w:r>
      <w:r w:rsidRPr="002104B0">
        <w:rPr>
          <w:rFonts w:ascii="Arial" w:eastAsia="Times New Roman" w:hAnsi="Arial" w:cs="Arial"/>
          <w:color w:val="333333"/>
          <w:lang w:val="en-US"/>
        </w:rPr>
        <w:t>  54</w:t>
      </w:r>
    </w:p>
    <w:p w:rsidR="00004F61" w:rsidRPr="002104B0" w:rsidRDefault="00004F61" w:rsidP="00004F61">
      <w:pPr>
        <w:shd w:val="clear" w:color="auto" w:fill="FFFFFF"/>
        <w:spacing w:after="135" w:line="360" w:lineRule="auto"/>
        <w:ind w:left="1170"/>
        <w:jc w:val="both"/>
        <w:rPr>
          <w:rFonts w:ascii="Arial" w:eastAsia="Times New Roman" w:hAnsi="Arial" w:cs="Arial"/>
          <w:color w:val="333333"/>
          <w:lang w:val="en-US"/>
        </w:rPr>
      </w:pPr>
      <w:r w:rsidRPr="002104B0">
        <w:rPr>
          <w:rFonts w:ascii="Arial" w:eastAsia="Times New Roman" w:hAnsi="Arial" w:cs="Arial"/>
          <w:color w:val="333333"/>
          <w:lang w:val="en-US"/>
        </w:rPr>
        <w:t>-   Number of TVET graduate placements completed                               330</w:t>
      </w:r>
    </w:p>
    <w:p w:rsidR="00004F61" w:rsidRPr="002104B0" w:rsidRDefault="00004F61" w:rsidP="00004F61">
      <w:pPr>
        <w:shd w:val="clear" w:color="auto" w:fill="FFFFFF"/>
        <w:spacing w:after="135" w:line="360" w:lineRule="auto"/>
        <w:ind w:left="1170"/>
        <w:jc w:val="both"/>
        <w:rPr>
          <w:rFonts w:ascii="Arial" w:eastAsia="Times New Roman" w:hAnsi="Arial" w:cs="Arial"/>
          <w:color w:val="333333"/>
          <w:lang w:val="en-US"/>
        </w:rPr>
      </w:pPr>
      <w:r w:rsidRPr="002104B0">
        <w:rPr>
          <w:rFonts w:ascii="Arial" w:eastAsia="Times New Roman" w:hAnsi="Arial" w:cs="Arial"/>
          <w:color w:val="333333"/>
          <w:lang w:val="en-US"/>
        </w:rPr>
        <w:t>-   Number of graduate internships completed                                          183</w:t>
      </w:r>
    </w:p>
    <w:p w:rsidR="00004F61" w:rsidRPr="002104B0" w:rsidRDefault="00004F61" w:rsidP="00004F61">
      <w:pPr>
        <w:shd w:val="clear" w:color="auto" w:fill="FFFFFF"/>
        <w:spacing w:after="135" w:line="360" w:lineRule="auto"/>
        <w:ind w:left="1170"/>
        <w:jc w:val="both"/>
        <w:rPr>
          <w:rFonts w:ascii="Arial" w:eastAsia="Times New Roman" w:hAnsi="Arial" w:cs="Arial"/>
          <w:color w:val="333333"/>
          <w:lang w:val="en-US"/>
        </w:rPr>
      </w:pPr>
      <w:r w:rsidRPr="002104B0">
        <w:rPr>
          <w:rFonts w:ascii="Arial" w:eastAsia="Times New Roman" w:hAnsi="Arial" w:cs="Arial"/>
          <w:color w:val="333333"/>
          <w:lang w:val="en-US"/>
        </w:rPr>
        <w:t xml:space="preserve">-   Number of learners Completed skills </w:t>
      </w:r>
      <w:proofErr w:type="spellStart"/>
      <w:r w:rsidRPr="002104B0">
        <w:rPr>
          <w:rFonts w:ascii="Arial" w:eastAsia="Times New Roman" w:hAnsi="Arial" w:cs="Arial"/>
          <w:color w:val="333333"/>
          <w:lang w:val="en-US"/>
        </w:rPr>
        <w:t>programmes</w:t>
      </w:r>
      <w:proofErr w:type="spellEnd"/>
      <w:r w:rsidRPr="002104B0">
        <w:rPr>
          <w:rFonts w:ascii="Arial" w:eastAsia="Times New Roman" w:hAnsi="Arial" w:cs="Arial"/>
          <w:color w:val="333333"/>
          <w:lang w:val="en-US"/>
        </w:rPr>
        <w:t>                               2 993</w:t>
      </w:r>
    </w:p>
    <w:p w:rsidR="00004F61" w:rsidRPr="002104B0" w:rsidRDefault="00004F61" w:rsidP="00004F61">
      <w:pPr>
        <w:shd w:val="clear" w:color="auto" w:fill="FFFFFF"/>
        <w:spacing w:after="135" w:line="360" w:lineRule="auto"/>
        <w:ind w:left="1170"/>
        <w:jc w:val="both"/>
        <w:rPr>
          <w:rFonts w:ascii="Arial" w:eastAsia="Times New Roman" w:hAnsi="Arial" w:cs="Arial"/>
          <w:color w:val="333333"/>
          <w:lang w:val="en-US"/>
        </w:rPr>
      </w:pPr>
      <w:r w:rsidRPr="002104B0">
        <w:rPr>
          <w:rFonts w:ascii="Arial" w:eastAsia="Times New Roman" w:hAnsi="Arial" w:cs="Arial"/>
          <w:color w:val="333333"/>
          <w:lang w:val="en-US"/>
        </w:rPr>
        <w:lastRenderedPageBreak/>
        <w:t>-   Number of learners completed learnerships                                         966</w:t>
      </w:r>
    </w:p>
    <w:p w:rsidR="00004F61" w:rsidRPr="002104B0" w:rsidRDefault="00004F61" w:rsidP="00004F61">
      <w:pPr>
        <w:shd w:val="clear" w:color="auto" w:fill="FFFFFF"/>
        <w:spacing w:after="135" w:line="360" w:lineRule="auto"/>
        <w:ind w:left="1170"/>
        <w:jc w:val="both"/>
        <w:rPr>
          <w:rFonts w:ascii="Arial" w:eastAsia="Times New Roman" w:hAnsi="Arial" w:cs="Arial"/>
          <w:color w:val="333333"/>
          <w:lang w:val="en-US"/>
        </w:rPr>
      </w:pPr>
      <w:r w:rsidRPr="002104B0">
        <w:rPr>
          <w:rFonts w:ascii="Arial" w:eastAsia="Times New Roman" w:hAnsi="Arial" w:cs="Arial"/>
          <w:color w:val="333333"/>
          <w:lang w:val="en-US"/>
        </w:rPr>
        <w:t>-   Number of learners who completed bursaries                                      127</w:t>
      </w:r>
    </w:p>
    <w:p w:rsidR="00004F61" w:rsidRPr="002104B0" w:rsidRDefault="00004F61" w:rsidP="00004F61">
      <w:pPr>
        <w:shd w:val="clear" w:color="auto" w:fill="FFFFFF"/>
        <w:spacing w:after="135" w:line="360" w:lineRule="auto"/>
        <w:ind w:left="720"/>
        <w:jc w:val="both"/>
        <w:rPr>
          <w:rFonts w:ascii="Arial" w:eastAsia="Times New Roman" w:hAnsi="Arial" w:cs="Arial"/>
          <w:color w:val="333333"/>
          <w:lang w:val="en-US"/>
        </w:rPr>
      </w:pPr>
      <w:r w:rsidRPr="002104B0">
        <w:rPr>
          <w:rFonts w:ascii="Arial" w:eastAsia="Times New Roman" w:hAnsi="Arial" w:cs="Arial"/>
          <w:color w:val="333333"/>
          <w:lang w:val="en-US"/>
        </w:rPr>
        <w:t>(d) (</w:t>
      </w:r>
      <w:proofErr w:type="spellStart"/>
      <w:r w:rsidRPr="002104B0">
        <w:rPr>
          <w:rFonts w:ascii="Arial" w:eastAsia="Times New Roman" w:hAnsi="Arial" w:cs="Arial"/>
          <w:color w:val="333333"/>
          <w:lang w:val="en-US"/>
        </w:rPr>
        <w:t>i</w:t>
      </w:r>
      <w:proofErr w:type="spellEnd"/>
      <w:r w:rsidRPr="002104B0">
        <w:rPr>
          <w:rFonts w:ascii="Arial" w:eastAsia="Times New Roman" w:hAnsi="Arial" w:cs="Arial"/>
          <w:color w:val="333333"/>
          <w:lang w:val="en-US"/>
        </w:rPr>
        <w:t xml:space="preserve">)   </w:t>
      </w:r>
      <w:proofErr w:type="spellStart"/>
      <w:r w:rsidRPr="002104B0">
        <w:rPr>
          <w:rFonts w:ascii="Arial" w:eastAsia="Times New Roman" w:hAnsi="Arial" w:cs="Arial"/>
          <w:color w:val="333333"/>
          <w:lang w:val="en-US"/>
        </w:rPr>
        <w:t>Programmes</w:t>
      </w:r>
      <w:proofErr w:type="spellEnd"/>
      <w:r w:rsidRPr="002104B0">
        <w:rPr>
          <w:rFonts w:ascii="Arial" w:eastAsia="Times New Roman" w:hAnsi="Arial" w:cs="Arial"/>
          <w:color w:val="333333"/>
          <w:lang w:val="en-US"/>
        </w:rPr>
        <w:t xml:space="preserve"> are delivered within a specific financial year that would have been agreed upon with the stakeholders or in line with the duration of the learning </w:t>
      </w:r>
      <w:proofErr w:type="spellStart"/>
      <w:r w:rsidRPr="002104B0">
        <w:rPr>
          <w:rFonts w:ascii="Arial" w:eastAsia="Times New Roman" w:hAnsi="Arial" w:cs="Arial"/>
          <w:color w:val="333333"/>
          <w:lang w:val="en-US"/>
        </w:rPr>
        <w:t>programmes</w:t>
      </w:r>
      <w:proofErr w:type="spellEnd"/>
      <w:r w:rsidRPr="002104B0">
        <w:rPr>
          <w:rFonts w:ascii="Arial" w:eastAsia="Times New Roman" w:hAnsi="Arial" w:cs="Arial"/>
          <w:color w:val="333333"/>
          <w:lang w:val="en-US"/>
        </w:rPr>
        <w:t>.</w:t>
      </w:r>
    </w:p>
    <w:p w:rsidR="00004F61" w:rsidRPr="002104B0" w:rsidRDefault="00004F61" w:rsidP="00004F61">
      <w:pPr>
        <w:shd w:val="clear" w:color="auto" w:fill="FFFFFF"/>
        <w:spacing w:after="135" w:line="360" w:lineRule="auto"/>
        <w:ind w:left="810"/>
        <w:jc w:val="both"/>
        <w:rPr>
          <w:rFonts w:ascii="Arial" w:eastAsia="Times New Roman" w:hAnsi="Arial" w:cs="Arial"/>
          <w:color w:val="333333"/>
          <w:lang w:val="en-US"/>
        </w:rPr>
      </w:pPr>
      <w:r w:rsidRPr="002104B0">
        <w:rPr>
          <w:rFonts w:ascii="Arial" w:eastAsia="Times New Roman" w:hAnsi="Arial" w:cs="Arial"/>
          <w:color w:val="333333"/>
          <w:lang w:val="en-US"/>
        </w:rPr>
        <w:t>      (ii)  Learners are placed in different establishments operating within the nine provinces' subsector for training and workplace exposure.</w:t>
      </w:r>
    </w:p>
    <w:p w:rsidR="00004F61" w:rsidRPr="002104B0" w:rsidRDefault="00004F61" w:rsidP="00004F61">
      <w:pPr>
        <w:shd w:val="clear" w:color="auto" w:fill="FFFFFF"/>
        <w:spacing w:after="135" w:line="360" w:lineRule="auto"/>
        <w:ind w:left="810"/>
        <w:jc w:val="both"/>
        <w:rPr>
          <w:rFonts w:ascii="Arial" w:eastAsia="Times New Roman" w:hAnsi="Arial" w:cs="Arial"/>
          <w:color w:val="333333"/>
          <w:lang w:val="en-US"/>
        </w:rPr>
      </w:pPr>
      <w:r w:rsidRPr="002104B0">
        <w:rPr>
          <w:rFonts w:ascii="Arial" w:eastAsia="Times New Roman" w:hAnsi="Arial" w:cs="Arial"/>
          <w:color w:val="333333"/>
          <w:lang w:val="en-US"/>
        </w:rPr>
        <w:t>      (iii)   CATHSSETA </w:t>
      </w:r>
      <w:proofErr w:type="spellStart"/>
      <w:r w:rsidRPr="002104B0">
        <w:rPr>
          <w:rFonts w:ascii="Arial" w:eastAsia="Times New Roman" w:hAnsi="Arial" w:cs="Arial"/>
          <w:color w:val="333333"/>
          <w:lang w:val="en-US"/>
        </w:rPr>
        <w:t>programmes</w:t>
      </w:r>
      <w:proofErr w:type="spellEnd"/>
      <w:r w:rsidRPr="002104B0">
        <w:rPr>
          <w:rFonts w:ascii="Arial" w:eastAsia="Times New Roman" w:hAnsi="Arial" w:cs="Arial"/>
          <w:color w:val="333333"/>
          <w:lang w:val="en-US"/>
        </w:rPr>
        <w:t xml:space="preserve"> are attended by both employed and unemployed learners. CATHSSETA also supports </w:t>
      </w:r>
      <w:proofErr w:type="spellStart"/>
      <w:r w:rsidRPr="002104B0">
        <w:rPr>
          <w:rFonts w:ascii="Arial" w:eastAsia="Times New Roman" w:hAnsi="Arial" w:cs="Arial"/>
          <w:color w:val="333333"/>
          <w:lang w:val="en-US"/>
        </w:rPr>
        <w:t>labour</w:t>
      </w:r>
      <w:proofErr w:type="spellEnd"/>
      <w:r w:rsidRPr="002104B0">
        <w:rPr>
          <w:rFonts w:ascii="Arial" w:eastAsia="Times New Roman" w:hAnsi="Arial" w:cs="Arial"/>
          <w:color w:val="333333"/>
          <w:lang w:val="en-US"/>
        </w:rPr>
        <w:t xml:space="preserve"> unions, NGOs, Cooperatives, SMMEs and disabled people. </w:t>
      </w:r>
    </w:p>
    <w:p w:rsidR="00004F61" w:rsidRPr="002104B0" w:rsidRDefault="00004F61" w:rsidP="00004F61">
      <w:pPr>
        <w:shd w:val="clear" w:color="auto" w:fill="FFFFFF"/>
        <w:spacing w:after="135" w:line="360" w:lineRule="auto"/>
        <w:ind w:left="810"/>
        <w:jc w:val="both"/>
        <w:rPr>
          <w:rFonts w:ascii="Arial" w:eastAsia="Times New Roman" w:hAnsi="Arial" w:cs="Arial"/>
          <w:color w:val="333333"/>
          <w:lang w:val="en-US"/>
        </w:rPr>
      </w:pPr>
      <w:r w:rsidRPr="002104B0">
        <w:rPr>
          <w:rFonts w:ascii="Arial" w:eastAsia="Times New Roman" w:hAnsi="Arial" w:cs="Arial"/>
          <w:color w:val="333333"/>
          <w:lang w:val="en-US"/>
        </w:rPr>
        <w:t>      (iv)  Increasing access to high quality, relevant education, training and skills development opportunities.</w:t>
      </w:r>
    </w:p>
    <w:p w:rsidR="00004F61" w:rsidRPr="002104B0" w:rsidRDefault="00004F61" w:rsidP="00004F61">
      <w:pPr>
        <w:shd w:val="clear" w:color="auto" w:fill="FFFFFF"/>
        <w:spacing w:after="135" w:line="360" w:lineRule="auto"/>
        <w:ind w:left="810"/>
        <w:jc w:val="both"/>
        <w:rPr>
          <w:rFonts w:ascii="Arial" w:eastAsia="Times New Roman" w:hAnsi="Arial" w:cs="Arial"/>
          <w:color w:val="333333"/>
          <w:lang w:val="en-US"/>
        </w:rPr>
      </w:pPr>
      <w:r w:rsidRPr="002104B0">
        <w:rPr>
          <w:rFonts w:ascii="Arial" w:eastAsia="Times New Roman" w:hAnsi="Arial" w:cs="Arial"/>
          <w:color w:val="333333"/>
          <w:lang w:val="en-US"/>
        </w:rPr>
        <w:t>(e) </w:t>
      </w:r>
      <w:bookmarkStart w:id="0" w:name="_GoBack"/>
      <w:bookmarkEnd w:id="0"/>
      <w:r w:rsidRPr="002104B0">
        <w:rPr>
          <w:rFonts w:ascii="Arial" w:eastAsia="Times New Roman" w:hAnsi="Arial" w:cs="Arial"/>
          <w:color w:val="333333"/>
          <w:lang w:val="en-US"/>
        </w:rPr>
        <w:t>CATHSSETA conducts induction and project monitoring and evaluation visits at least once during the lifespan of a project. The SETA uses monthly project reports and meetings as tools to monitor project progress. The SETA is currently conducting a tracking study to trace where the learners that were trained previously by the SETA are to check the impact of training provided to them</w:t>
      </w:r>
    </w:p>
    <w:p w:rsidR="00480CEC" w:rsidRDefault="00480CEC" w:rsidP="00480CEC">
      <w:pPr>
        <w:spacing w:before="100" w:beforeAutospacing="1" w:after="100" w:afterAutospacing="1" w:line="360" w:lineRule="auto"/>
        <w:jc w:val="both"/>
        <w:rPr>
          <w:rFonts w:ascii="Arial" w:hAnsi="Arial" w:cs="Arial"/>
          <w:b/>
        </w:rPr>
      </w:pPr>
    </w:p>
    <w:p w:rsidR="00BD00C9" w:rsidRPr="00BD00C9" w:rsidRDefault="00BD00C9" w:rsidP="00247234">
      <w:pPr>
        <w:spacing w:before="240" w:after="160" w:line="259" w:lineRule="auto"/>
        <w:jc w:val="center"/>
        <w:rPr>
          <w:rFonts w:ascii="Arial" w:hAnsi="Arial" w:cs="Arial"/>
        </w:rPr>
      </w:pPr>
    </w:p>
    <w:sectPr w:rsidR="00BD00C9" w:rsidRPr="00BD00C9"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C3A3244"/>
    <w:multiLevelType w:val="hybridMultilevel"/>
    <w:tmpl w:val="AE06BB24"/>
    <w:lvl w:ilvl="0" w:tplc="91B2F0F0">
      <w:start w:val="1"/>
      <w:numFmt w:val="lowerLetter"/>
      <w:lvlText w:val="(%1)"/>
      <w:lvlJc w:val="left"/>
      <w:pPr>
        <w:ind w:left="844" w:hanging="394"/>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D31371A"/>
    <w:multiLevelType w:val="hybridMultilevel"/>
    <w:tmpl w:val="4754DF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E6B408C"/>
    <w:multiLevelType w:val="multilevel"/>
    <w:tmpl w:val="E18A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8">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0D65AEA"/>
    <w:multiLevelType w:val="multilevel"/>
    <w:tmpl w:val="1152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3">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5">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7">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9">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0B71E28"/>
    <w:multiLevelType w:val="multilevel"/>
    <w:tmpl w:val="4096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5">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4E6E2173"/>
    <w:multiLevelType w:val="multilevel"/>
    <w:tmpl w:val="E018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30">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33">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4">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42">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4">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45">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7">
    <w:nsid w:val="7A0E3ED6"/>
    <w:multiLevelType w:val="hybridMultilevel"/>
    <w:tmpl w:val="EF88BF12"/>
    <w:lvl w:ilvl="0" w:tplc="D030460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8">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9"/>
  </w:num>
  <w:num w:numId="3">
    <w:abstractNumId w:val="35"/>
  </w:num>
  <w:num w:numId="4">
    <w:abstractNumId w:val="5"/>
  </w:num>
  <w:num w:numId="5">
    <w:abstractNumId w:val="44"/>
  </w:num>
  <w:num w:numId="6">
    <w:abstractNumId w:val="32"/>
  </w:num>
  <w:num w:numId="7">
    <w:abstractNumId w:val="41"/>
  </w:num>
  <w:num w:numId="8">
    <w:abstractNumId w:val="29"/>
  </w:num>
  <w:num w:numId="9">
    <w:abstractNumId w:val="43"/>
  </w:num>
  <w:num w:numId="10">
    <w:abstractNumId w:val="16"/>
  </w:num>
  <w:num w:numId="11">
    <w:abstractNumId w:val="20"/>
  </w:num>
  <w:num w:numId="12">
    <w:abstractNumId w:val="1"/>
  </w:num>
  <w:num w:numId="13">
    <w:abstractNumId w:val="25"/>
  </w:num>
  <w:num w:numId="14">
    <w:abstractNumId w:val="40"/>
  </w:num>
  <w:num w:numId="15">
    <w:abstractNumId w:val="11"/>
  </w:num>
  <w:num w:numId="16">
    <w:abstractNumId w:val="46"/>
  </w:num>
  <w:num w:numId="17">
    <w:abstractNumId w:val="39"/>
  </w:num>
  <w:num w:numId="18">
    <w:abstractNumId w:val="48"/>
  </w:num>
  <w:num w:numId="19">
    <w:abstractNumId w:val="13"/>
  </w:num>
  <w:num w:numId="20">
    <w:abstractNumId w:val="22"/>
  </w:num>
  <w:num w:numId="21">
    <w:abstractNumId w:val="15"/>
  </w:num>
  <w:num w:numId="22">
    <w:abstractNumId w:val="18"/>
  </w:num>
  <w:num w:numId="23">
    <w:abstractNumId w:val="26"/>
  </w:num>
  <w:num w:numId="24">
    <w:abstractNumId w:val="33"/>
  </w:num>
  <w:num w:numId="25">
    <w:abstractNumId w:val="45"/>
  </w:num>
  <w:num w:numId="26">
    <w:abstractNumId w:val="23"/>
  </w:num>
  <w:num w:numId="27">
    <w:abstractNumId w:val="8"/>
  </w:num>
  <w:num w:numId="28">
    <w:abstractNumId w:val="38"/>
  </w:num>
  <w:num w:numId="29">
    <w:abstractNumId w:val="42"/>
  </w:num>
  <w:num w:numId="30">
    <w:abstractNumId w:val="34"/>
  </w:num>
  <w:num w:numId="31">
    <w:abstractNumId w:val="9"/>
  </w:num>
  <w:num w:numId="32">
    <w:abstractNumId w:val="12"/>
  </w:num>
  <w:num w:numId="33">
    <w:abstractNumId w:val="31"/>
  </w:num>
  <w:num w:numId="34">
    <w:abstractNumId w:val="7"/>
  </w:num>
  <w:num w:numId="35">
    <w:abstractNumId w:val="17"/>
  </w:num>
  <w:num w:numId="36">
    <w:abstractNumId w:val="14"/>
  </w:num>
  <w:num w:numId="37">
    <w:abstractNumId w:val="24"/>
  </w:num>
  <w:num w:numId="38">
    <w:abstractNumId w:val="27"/>
  </w:num>
  <w:num w:numId="39">
    <w:abstractNumId w:val="6"/>
  </w:num>
  <w:num w:numId="40">
    <w:abstractNumId w:val="37"/>
  </w:num>
  <w:num w:numId="41">
    <w:abstractNumId w:val="36"/>
  </w:num>
  <w:num w:numId="42">
    <w:abstractNumId w:val="30"/>
  </w:num>
  <w:num w:numId="43">
    <w:abstractNumId w:val="19"/>
  </w:num>
  <w:num w:numId="44">
    <w:abstractNumId w:val="28"/>
  </w:num>
  <w:num w:numId="45">
    <w:abstractNumId w:val="47"/>
  </w:num>
  <w:num w:numId="46">
    <w:abstractNumId w:val="4"/>
  </w:num>
  <w:num w:numId="47">
    <w:abstractNumId w:val="10"/>
  </w:num>
  <w:num w:numId="48">
    <w:abstractNumId w:val="3"/>
  </w:num>
  <w:num w:numId="49">
    <w:abstractNumId w:val="21"/>
  </w:num>
  <w:num w:numId="50">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4F61"/>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4B9A"/>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29C1"/>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A6B"/>
    <w:rsid w:val="00247234"/>
    <w:rsid w:val="00247CDD"/>
    <w:rsid w:val="00250110"/>
    <w:rsid w:val="0025309B"/>
    <w:rsid w:val="00253A84"/>
    <w:rsid w:val="0025524E"/>
    <w:rsid w:val="002556A8"/>
    <w:rsid w:val="00256324"/>
    <w:rsid w:val="00261E5D"/>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0CEC"/>
    <w:rsid w:val="004823DC"/>
    <w:rsid w:val="004831BE"/>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D3D01"/>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1B55"/>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D5B8B"/>
    <w:rsid w:val="00CE2E43"/>
    <w:rsid w:val="00CE2F6D"/>
    <w:rsid w:val="00CE323E"/>
    <w:rsid w:val="00CE399B"/>
    <w:rsid w:val="00CE5731"/>
    <w:rsid w:val="00CF0B4E"/>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06B1"/>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Strong">
    <w:name w:val="Strong"/>
    <w:basedOn w:val="DefaultParagraphFont"/>
    <w:uiPriority w:val="22"/>
    <w:qFormat/>
    <w:locked/>
    <w:rsid w:val="00247234"/>
    <w:rPr>
      <w:b/>
      <w:bC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7BF05-599E-4DEE-A633-B970A41B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2021-06-23T15:17:00Z</dcterms:created>
  <dcterms:modified xsi:type="dcterms:W3CDTF">2021-06-23T15:17:00Z</dcterms:modified>
</cp:coreProperties>
</file>