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38227B"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5061DD" w:rsidP="005061DD">
      <w:pPr>
        <w:tabs>
          <w:tab w:val="left" w:pos="2330"/>
          <w:tab w:val="center" w:pos="5043"/>
        </w:tabs>
        <w:rPr>
          <w:rFonts w:ascii="Arial" w:hAnsi="Arial" w:cs="Arial"/>
          <w:b/>
          <w:bCs/>
          <w:color w:val="4F6228"/>
          <w:sz w:val="22"/>
          <w:szCs w:val="22"/>
          <w:lang w:val="en-ZA" w:eastAsia="en-ZA"/>
        </w:rPr>
      </w:pPr>
      <w:r>
        <w:rPr>
          <w:rFonts w:ascii="Arial" w:hAnsi="Arial" w:cs="Arial"/>
          <w:b/>
          <w:bCs/>
          <w:color w:val="4F6228"/>
          <w:sz w:val="22"/>
          <w:szCs w:val="22"/>
          <w:lang w:val="en-ZA" w:eastAsia="en-ZA"/>
        </w:rPr>
        <w:tab/>
      </w:r>
      <w:r>
        <w:rPr>
          <w:rFonts w:ascii="Arial" w:hAnsi="Arial" w:cs="Arial"/>
          <w:b/>
          <w:bCs/>
          <w:color w:val="4F6228"/>
          <w:sz w:val="22"/>
          <w:szCs w:val="22"/>
          <w:lang w:val="en-ZA" w:eastAsia="en-ZA"/>
        </w:rPr>
        <w:tab/>
      </w:r>
      <w:r w:rsidR="00B177C5"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D57578">
        <w:rPr>
          <w:b/>
          <w:sz w:val="24"/>
          <w:szCs w:val="24"/>
        </w:rPr>
        <w:t>1</w:t>
      </w:r>
      <w:r w:rsidR="00795A52">
        <w:rPr>
          <w:b/>
          <w:sz w:val="24"/>
          <w:szCs w:val="24"/>
        </w:rPr>
        <w:t>6</w:t>
      </w:r>
      <w:r w:rsidR="00EE6E85">
        <w:rPr>
          <w:b/>
          <w:sz w:val="24"/>
          <w:szCs w:val="24"/>
        </w:rPr>
        <w:t>83</w:t>
      </w:r>
    </w:p>
    <w:p w:rsidR="0086200D" w:rsidRPr="0055709D" w:rsidRDefault="0086200D"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795A52">
        <w:rPr>
          <w:b/>
          <w:sz w:val="24"/>
          <w:szCs w:val="24"/>
        </w:rPr>
        <w:t>2</w:t>
      </w:r>
      <w:r w:rsidR="004F48A2">
        <w:rPr>
          <w:b/>
          <w:sz w:val="24"/>
          <w:szCs w:val="24"/>
        </w:rPr>
        <w:t>9</w:t>
      </w:r>
      <w:r w:rsidR="00795A52">
        <w:rPr>
          <w:b/>
          <w:sz w:val="24"/>
          <w:szCs w:val="24"/>
        </w:rPr>
        <w:t xml:space="preserve"> </w:t>
      </w:r>
      <w:r w:rsidR="00CC0D5B">
        <w:rPr>
          <w:b/>
          <w:sz w:val="24"/>
          <w:szCs w:val="24"/>
        </w:rPr>
        <w:t xml:space="preserve">NOVEMBER </w:t>
      </w:r>
      <w:r w:rsidR="00471437">
        <w:rPr>
          <w:b/>
          <w:sz w:val="24"/>
          <w:szCs w:val="24"/>
        </w:rPr>
        <w:t>2019</w:t>
      </w:r>
    </w:p>
    <w:p w:rsidR="00B177C5" w:rsidRDefault="00B177C5" w:rsidP="00B177C5">
      <w:pPr>
        <w:rPr>
          <w:b/>
          <w:sz w:val="24"/>
          <w:szCs w:val="24"/>
        </w:rPr>
      </w:pPr>
    </w:p>
    <w:p w:rsidR="00EE6E85" w:rsidRPr="00BB41F2" w:rsidRDefault="00EE6E85" w:rsidP="00EE6E85">
      <w:pPr>
        <w:spacing w:before="100" w:beforeAutospacing="1" w:after="100" w:afterAutospacing="1"/>
        <w:ind w:left="720" w:hanging="720"/>
        <w:jc w:val="both"/>
        <w:rPr>
          <w:b/>
          <w:sz w:val="24"/>
          <w:szCs w:val="24"/>
        </w:rPr>
      </w:pPr>
      <w:r w:rsidRPr="00BB41F2">
        <w:rPr>
          <w:b/>
          <w:sz w:val="24"/>
          <w:szCs w:val="24"/>
        </w:rPr>
        <w:t>Mr M L Shelembe (DA) to ask the Minister of Human Settlements, Water and Sanitation</w:t>
      </w:r>
      <w:r>
        <w:rPr>
          <w:b/>
          <w:sz w:val="24"/>
          <w:szCs w:val="24"/>
        </w:rPr>
        <w:fldChar w:fldCharType="begin"/>
      </w:r>
      <w:r>
        <w:instrText xml:space="preserve"> XE "</w:instrText>
      </w:r>
      <w:r w:rsidRPr="00DC26FF">
        <w:rPr>
          <w:b/>
          <w:sz w:val="24"/>
          <w:szCs w:val="24"/>
        </w:rPr>
        <w:instrText>Human Settlements, Water and Sanitation</w:instrText>
      </w:r>
      <w:r>
        <w:instrText xml:space="preserve">" </w:instrText>
      </w:r>
      <w:r>
        <w:rPr>
          <w:b/>
          <w:sz w:val="24"/>
          <w:szCs w:val="24"/>
        </w:rPr>
        <w:fldChar w:fldCharType="end"/>
      </w:r>
      <w:r w:rsidRPr="00BB41F2">
        <w:rPr>
          <w:b/>
          <w:sz w:val="24"/>
          <w:szCs w:val="24"/>
        </w:rPr>
        <w:t xml:space="preserve">: </w:t>
      </w:r>
    </w:p>
    <w:p w:rsidR="00EE6E85" w:rsidRPr="00BB41F2" w:rsidRDefault="00EE6E85" w:rsidP="00442FC5">
      <w:pPr>
        <w:spacing w:line="288" w:lineRule="auto"/>
        <w:ind w:left="720" w:hanging="720"/>
        <w:jc w:val="both"/>
        <w:rPr>
          <w:sz w:val="24"/>
          <w:szCs w:val="24"/>
        </w:rPr>
      </w:pPr>
      <w:r w:rsidRPr="00BB41F2">
        <w:rPr>
          <w:sz w:val="24"/>
          <w:szCs w:val="24"/>
        </w:rPr>
        <w:t>(1)</w:t>
      </w:r>
      <w:r w:rsidRPr="00BB41F2">
        <w:rPr>
          <w:sz w:val="24"/>
          <w:szCs w:val="24"/>
        </w:rPr>
        <w:tab/>
        <w:t>Whether, with reference to her reply to question 767 on 23 September 2019 wherein she stated that the matter of the delays and challenges in the Military Veterans programme will be on top of the agenda of the MinMec, each provincial Department of Human Settlements ha</w:t>
      </w:r>
      <w:r>
        <w:rPr>
          <w:sz w:val="24"/>
          <w:szCs w:val="24"/>
        </w:rPr>
        <w:t>s accounted for funds not utilis</w:t>
      </w:r>
      <w:r w:rsidRPr="00BB41F2">
        <w:rPr>
          <w:sz w:val="24"/>
          <w:szCs w:val="24"/>
        </w:rPr>
        <w:t>ed for housing for military veterans in the 2018-19 financial year; if not, why not; if so, what are the relevant details;</w:t>
      </w:r>
    </w:p>
    <w:p w:rsidR="00EE6E85" w:rsidRPr="00BB41F2" w:rsidRDefault="00EE6E85" w:rsidP="00442FC5">
      <w:pPr>
        <w:spacing w:line="288" w:lineRule="auto"/>
        <w:jc w:val="both"/>
        <w:rPr>
          <w:sz w:val="24"/>
          <w:szCs w:val="24"/>
        </w:rPr>
      </w:pPr>
      <w:r w:rsidRPr="00BB41F2">
        <w:rPr>
          <w:sz w:val="24"/>
          <w:szCs w:val="24"/>
        </w:rPr>
        <w:t>(2)</w:t>
      </w:r>
      <w:r w:rsidRPr="00BB41F2">
        <w:rPr>
          <w:sz w:val="24"/>
          <w:szCs w:val="24"/>
        </w:rPr>
        <w:tab/>
        <w:t>what happened to the funds that were not expended at the end of the 2018-19 financial year?</w:t>
      </w:r>
      <w:r w:rsidRPr="00BB41F2">
        <w:rPr>
          <w:sz w:val="24"/>
          <w:szCs w:val="24"/>
        </w:rPr>
        <w:tab/>
      </w:r>
      <w:r w:rsidRPr="00BB41F2">
        <w:rPr>
          <w:sz w:val="24"/>
          <w:szCs w:val="24"/>
        </w:rPr>
        <w:tab/>
      </w:r>
      <w:r w:rsidRPr="00BB41F2">
        <w:rPr>
          <w:sz w:val="24"/>
          <w:szCs w:val="24"/>
        </w:rPr>
        <w:tab/>
      </w:r>
      <w:r w:rsidRPr="00BB41F2">
        <w:rPr>
          <w:sz w:val="24"/>
          <w:szCs w:val="24"/>
        </w:rPr>
        <w:tab/>
      </w:r>
      <w:r w:rsidRPr="00BB41F2">
        <w:rPr>
          <w:sz w:val="24"/>
          <w:szCs w:val="24"/>
        </w:rPr>
        <w:tab/>
      </w:r>
      <w:r w:rsidRPr="00BB41F2">
        <w:rPr>
          <w:sz w:val="24"/>
          <w:szCs w:val="24"/>
        </w:rPr>
        <w:tab/>
      </w:r>
      <w:r w:rsidRPr="00BB41F2">
        <w:rPr>
          <w:sz w:val="24"/>
          <w:szCs w:val="24"/>
        </w:rPr>
        <w:tab/>
      </w:r>
      <w:r w:rsidRPr="00BB41F2">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B41F2">
        <w:rPr>
          <w:lang w:val="en-US"/>
        </w:rPr>
        <w:t>NW3078E</w:t>
      </w:r>
    </w:p>
    <w:p w:rsidR="00080A5A" w:rsidRPr="00645282" w:rsidRDefault="00080A5A" w:rsidP="00442FC5">
      <w:pPr>
        <w:spacing w:line="288" w:lineRule="auto"/>
        <w:ind w:left="720" w:hanging="720"/>
        <w:jc w:val="both"/>
      </w:pPr>
      <w:r w:rsidRPr="00277FF9">
        <w:rPr>
          <w:sz w:val="24"/>
          <w:szCs w:val="24"/>
        </w:rPr>
        <w:tab/>
      </w:r>
      <w:r w:rsidRPr="00277FF9">
        <w:rPr>
          <w:sz w:val="24"/>
          <w:szCs w:val="24"/>
        </w:rPr>
        <w:tab/>
      </w:r>
      <w:r w:rsidRPr="00277FF9">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A13DD" w:rsidRDefault="00EB6AA1" w:rsidP="00442FC5">
      <w:pPr>
        <w:spacing w:line="288" w:lineRule="auto"/>
        <w:jc w:val="both"/>
        <w:rPr>
          <w:b/>
          <w:sz w:val="24"/>
          <w:szCs w:val="24"/>
        </w:rPr>
      </w:pPr>
      <w:r w:rsidRPr="00832AD2">
        <w:rPr>
          <w:b/>
          <w:sz w:val="24"/>
          <w:szCs w:val="24"/>
        </w:rPr>
        <w:t>REPLY:</w:t>
      </w:r>
    </w:p>
    <w:p w:rsidR="00442FC5" w:rsidRPr="00442FC5" w:rsidRDefault="00442FC5" w:rsidP="00442FC5">
      <w:pPr>
        <w:pStyle w:val="ListParagraph"/>
        <w:spacing w:line="288" w:lineRule="auto"/>
        <w:ind w:hanging="720"/>
        <w:jc w:val="both"/>
        <w:outlineLvl w:val="0"/>
      </w:pPr>
      <w:r>
        <w:rPr>
          <w:rFonts w:ascii="Arial" w:hAnsi="Arial" w:cs="Arial"/>
          <w:sz w:val="22"/>
          <w:szCs w:val="22"/>
        </w:rPr>
        <w:t>(1)</w:t>
      </w:r>
      <w:r>
        <w:rPr>
          <w:rFonts w:ascii="Arial" w:hAnsi="Arial" w:cs="Arial"/>
          <w:sz w:val="22"/>
          <w:szCs w:val="22"/>
        </w:rPr>
        <w:tab/>
      </w:r>
      <w:r w:rsidRPr="00442FC5">
        <w:t xml:space="preserve">Consistent with </w:t>
      </w:r>
      <w:r>
        <w:t xml:space="preserve">my </w:t>
      </w:r>
      <w:r w:rsidRPr="00442FC5">
        <w:t>reply to Question 767, the Military Veterans Housing Programme (MVHP) is a prominent feature on the agenda of MINMEC, w</w:t>
      </w:r>
      <w:r>
        <w:t xml:space="preserve">here </w:t>
      </w:r>
      <w:r w:rsidRPr="00442FC5">
        <w:t>each province</w:t>
      </w:r>
      <w:r>
        <w:t xml:space="preserve"> </w:t>
      </w:r>
      <w:r w:rsidRPr="00442FC5">
        <w:t>account</w:t>
      </w:r>
      <w:r>
        <w:t>s</w:t>
      </w:r>
      <w:r w:rsidRPr="00442FC5">
        <w:t xml:space="preserve"> for financial and non-financial performance of the Medium-Term Strategic Framework delivery objectives</w:t>
      </w:r>
      <w:r>
        <w:t xml:space="preserve"> of the programme</w:t>
      </w:r>
      <w:r w:rsidRPr="00442FC5">
        <w:t>.</w:t>
      </w:r>
    </w:p>
    <w:p w:rsidR="00442FC5" w:rsidRPr="00442FC5" w:rsidRDefault="00442FC5" w:rsidP="00442FC5">
      <w:pPr>
        <w:pStyle w:val="ListParagraph"/>
        <w:spacing w:line="288" w:lineRule="auto"/>
        <w:ind w:left="0"/>
        <w:jc w:val="both"/>
        <w:outlineLvl w:val="0"/>
      </w:pPr>
    </w:p>
    <w:p w:rsidR="00442FC5" w:rsidRPr="00442FC5" w:rsidRDefault="00442FC5" w:rsidP="00442FC5">
      <w:pPr>
        <w:pStyle w:val="ListParagraph"/>
        <w:spacing w:line="288" w:lineRule="auto"/>
        <w:ind w:hanging="720"/>
        <w:jc w:val="both"/>
        <w:outlineLvl w:val="0"/>
        <w:rPr>
          <w:lang w:val="en-ZA"/>
        </w:rPr>
      </w:pPr>
      <w:r w:rsidRPr="00442FC5">
        <w:t>(2)</w:t>
      </w:r>
      <w:r w:rsidRPr="00442FC5">
        <w:tab/>
      </w:r>
      <w:r w:rsidRPr="00442FC5">
        <w:rPr>
          <w:lang w:val="en-ZA"/>
        </w:rPr>
        <w:t xml:space="preserve">It should be noted that the Military Veterans Housing Programme is funded from the Human Settlements Development Grant (HSDG). The funding that was not expended on houses for Military Veterans in the 2018/2019 financial year did not revert to the national fiscus as the same was reassigned to deliver other equally important human settlements opportunities such as serviced stands, affordable rental housing, the upgrading of informal settlements and so forth. Moreover, the Department ensured that the units which were not delivered but budgeted for in 2018/2019 were carried over to the 2019/20 financial year. </w:t>
      </w:r>
    </w:p>
    <w:p w:rsidR="00442FC5" w:rsidRPr="004F48A2" w:rsidRDefault="00442FC5" w:rsidP="00442FC5">
      <w:pPr>
        <w:spacing w:line="288" w:lineRule="auto"/>
        <w:jc w:val="both"/>
        <w:rPr>
          <w:szCs w:val="24"/>
          <w:lang w:val="en-US"/>
        </w:rPr>
      </w:pPr>
    </w:p>
    <w:p w:rsidR="00371AFD" w:rsidRPr="004A0F77" w:rsidRDefault="00371AFD" w:rsidP="00442FC5">
      <w:pPr>
        <w:spacing w:line="288" w:lineRule="auto"/>
        <w:ind w:left="720" w:hanging="720"/>
        <w:jc w:val="both"/>
        <w:rPr>
          <w:b/>
          <w:sz w:val="24"/>
          <w:szCs w:val="24"/>
        </w:rPr>
      </w:pPr>
    </w:p>
    <w:p w:rsidR="004A0F77" w:rsidRDefault="004A0F77" w:rsidP="005B088E">
      <w:pPr>
        <w:tabs>
          <w:tab w:val="left" w:pos="1980"/>
        </w:tabs>
        <w:spacing w:line="288" w:lineRule="auto"/>
        <w:ind w:left="720" w:hanging="720"/>
        <w:jc w:val="both"/>
        <w:rPr>
          <w:b/>
          <w:sz w:val="24"/>
          <w:szCs w:val="24"/>
        </w:rPr>
      </w:pPr>
      <w:r>
        <w:rPr>
          <w:b/>
          <w:sz w:val="24"/>
          <w:szCs w:val="24"/>
        </w:rPr>
        <w:lastRenderedPageBreak/>
        <w:tab/>
      </w:r>
      <w:r w:rsidR="005B088E">
        <w:rPr>
          <w:b/>
          <w:sz w:val="24"/>
          <w:szCs w:val="24"/>
        </w:rPr>
        <w:tab/>
      </w:r>
    </w:p>
    <w:sectPr w:rsidR="004A0F77"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157" w:rsidRDefault="00A97157" w:rsidP="00054FEC">
      <w:r>
        <w:separator/>
      </w:r>
    </w:p>
  </w:endnote>
  <w:endnote w:type="continuationSeparator" w:id="0">
    <w:p w:rsidR="00A97157" w:rsidRDefault="00A97157"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157" w:rsidRDefault="00A97157" w:rsidP="00054FEC">
      <w:r>
        <w:separator/>
      </w:r>
    </w:p>
  </w:footnote>
  <w:footnote w:type="continuationSeparator" w:id="0">
    <w:p w:rsidR="00A97157" w:rsidRDefault="00A97157"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2F7803">
      <w:t xml:space="preserve"> 1</w:t>
    </w:r>
    <w:r w:rsidR="00795A52">
      <w:t>6</w:t>
    </w:r>
    <w:r w:rsidR="00AF0A67">
      <w:t>8</w:t>
    </w:r>
    <w:r w:rsidR="00EE6E85">
      <w:t>3</w:t>
    </w:r>
    <w:r w:rsidR="00175E86">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D664AF"/>
    <w:multiLevelType w:val="hybridMultilevel"/>
    <w:tmpl w:val="83C482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3"/>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230"/>
    <w:rsid w:val="0005651C"/>
    <w:rsid w:val="00060D86"/>
    <w:rsid w:val="00061B5C"/>
    <w:rsid w:val="00062096"/>
    <w:rsid w:val="00063A5F"/>
    <w:rsid w:val="00080A5A"/>
    <w:rsid w:val="00084A46"/>
    <w:rsid w:val="00085A2A"/>
    <w:rsid w:val="000874C5"/>
    <w:rsid w:val="000968AC"/>
    <w:rsid w:val="000B2098"/>
    <w:rsid w:val="000B4AC5"/>
    <w:rsid w:val="000B7B22"/>
    <w:rsid w:val="000C37CD"/>
    <w:rsid w:val="000C7AFC"/>
    <w:rsid w:val="000D5E18"/>
    <w:rsid w:val="000E0847"/>
    <w:rsid w:val="000E238C"/>
    <w:rsid w:val="000E244D"/>
    <w:rsid w:val="000E3FFE"/>
    <w:rsid w:val="000F4B3A"/>
    <w:rsid w:val="000F7154"/>
    <w:rsid w:val="001005E9"/>
    <w:rsid w:val="00100A49"/>
    <w:rsid w:val="00105052"/>
    <w:rsid w:val="00113198"/>
    <w:rsid w:val="0012375B"/>
    <w:rsid w:val="00131BFD"/>
    <w:rsid w:val="00134648"/>
    <w:rsid w:val="001355B6"/>
    <w:rsid w:val="00136BB1"/>
    <w:rsid w:val="00142C4F"/>
    <w:rsid w:val="00143801"/>
    <w:rsid w:val="001440D5"/>
    <w:rsid w:val="0016061A"/>
    <w:rsid w:val="00175E86"/>
    <w:rsid w:val="00183267"/>
    <w:rsid w:val="00185C4D"/>
    <w:rsid w:val="00185C4E"/>
    <w:rsid w:val="0019692B"/>
    <w:rsid w:val="001A1C58"/>
    <w:rsid w:val="001A37B9"/>
    <w:rsid w:val="001A5AA9"/>
    <w:rsid w:val="001B2B5D"/>
    <w:rsid w:val="001B46D4"/>
    <w:rsid w:val="001C1CC8"/>
    <w:rsid w:val="001C51E0"/>
    <w:rsid w:val="001C6CDB"/>
    <w:rsid w:val="001D4562"/>
    <w:rsid w:val="001D6619"/>
    <w:rsid w:val="001E0319"/>
    <w:rsid w:val="001E1A97"/>
    <w:rsid w:val="001E587F"/>
    <w:rsid w:val="001E77A7"/>
    <w:rsid w:val="001F17FC"/>
    <w:rsid w:val="001F31E6"/>
    <w:rsid w:val="002028D8"/>
    <w:rsid w:val="00203262"/>
    <w:rsid w:val="002064F4"/>
    <w:rsid w:val="00211743"/>
    <w:rsid w:val="0021284D"/>
    <w:rsid w:val="002174E7"/>
    <w:rsid w:val="00221ABD"/>
    <w:rsid w:val="00221CAF"/>
    <w:rsid w:val="0023124F"/>
    <w:rsid w:val="002316D0"/>
    <w:rsid w:val="002418D7"/>
    <w:rsid w:val="00244322"/>
    <w:rsid w:val="00245CEE"/>
    <w:rsid w:val="002565C1"/>
    <w:rsid w:val="00257C83"/>
    <w:rsid w:val="002620BC"/>
    <w:rsid w:val="0027155D"/>
    <w:rsid w:val="002729E5"/>
    <w:rsid w:val="00273F15"/>
    <w:rsid w:val="00285760"/>
    <w:rsid w:val="002901FA"/>
    <w:rsid w:val="002922CE"/>
    <w:rsid w:val="002962EB"/>
    <w:rsid w:val="0029651C"/>
    <w:rsid w:val="00297F06"/>
    <w:rsid w:val="002A580A"/>
    <w:rsid w:val="002B7025"/>
    <w:rsid w:val="002B7A01"/>
    <w:rsid w:val="002D050D"/>
    <w:rsid w:val="002D2A12"/>
    <w:rsid w:val="002D3BB8"/>
    <w:rsid w:val="002E06FA"/>
    <w:rsid w:val="002E39B0"/>
    <w:rsid w:val="002E429C"/>
    <w:rsid w:val="002F729C"/>
    <w:rsid w:val="002F7803"/>
    <w:rsid w:val="002F7976"/>
    <w:rsid w:val="003203A5"/>
    <w:rsid w:val="003225B0"/>
    <w:rsid w:val="003234F5"/>
    <w:rsid w:val="00323C61"/>
    <w:rsid w:val="00326ADE"/>
    <w:rsid w:val="00332EDA"/>
    <w:rsid w:val="00333798"/>
    <w:rsid w:val="00345772"/>
    <w:rsid w:val="003500A3"/>
    <w:rsid w:val="00351776"/>
    <w:rsid w:val="00360151"/>
    <w:rsid w:val="003639EF"/>
    <w:rsid w:val="003658A1"/>
    <w:rsid w:val="00371AFD"/>
    <w:rsid w:val="0038227B"/>
    <w:rsid w:val="00386EBC"/>
    <w:rsid w:val="00391B22"/>
    <w:rsid w:val="00392A4A"/>
    <w:rsid w:val="00397799"/>
    <w:rsid w:val="003A0C97"/>
    <w:rsid w:val="003A48E1"/>
    <w:rsid w:val="003B7EF6"/>
    <w:rsid w:val="003C60BB"/>
    <w:rsid w:val="003D1E57"/>
    <w:rsid w:val="003F3285"/>
    <w:rsid w:val="003F3D4B"/>
    <w:rsid w:val="003F40BD"/>
    <w:rsid w:val="003F4CED"/>
    <w:rsid w:val="003F5497"/>
    <w:rsid w:val="00400487"/>
    <w:rsid w:val="00400A38"/>
    <w:rsid w:val="0040215C"/>
    <w:rsid w:val="00402533"/>
    <w:rsid w:val="00405D7A"/>
    <w:rsid w:val="00411841"/>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2FC5"/>
    <w:rsid w:val="0044715C"/>
    <w:rsid w:val="00453E58"/>
    <w:rsid w:val="0045581B"/>
    <w:rsid w:val="00457E66"/>
    <w:rsid w:val="00461532"/>
    <w:rsid w:val="004622F2"/>
    <w:rsid w:val="00466A67"/>
    <w:rsid w:val="00471437"/>
    <w:rsid w:val="00472722"/>
    <w:rsid w:val="00481F38"/>
    <w:rsid w:val="004847E1"/>
    <w:rsid w:val="004A0F77"/>
    <w:rsid w:val="004A13DD"/>
    <w:rsid w:val="004A27DE"/>
    <w:rsid w:val="004A7396"/>
    <w:rsid w:val="004B54E9"/>
    <w:rsid w:val="004C34F2"/>
    <w:rsid w:val="004C7102"/>
    <w:rsid w:val="004E1009"/>
    <w:rsid w:val="004E69A7"/>
    <w:rsid w:val="004E7504"/>
    <w:rsid w:val="004F48A2"/>
    <w:rsid w:val="004F5117"/>
    <w:rsid w:val="005061DD"/>
    <w:rsid w:val="00506A53"/>
    <w:rsid w:val="00511D74"/>
    <w:rsid w:val="00513641"/>
    <w:rsid w:val="00513FB0"/>
    <w:rsid w:val="0051632D"/>
    <w:rsid w:val="005178B4"/>
    <w:rsid w:val="0052258E"/>
    <w:rsid w:val="005234F9"/>
    <w:rsid w:val="00526E7D"/>
    <w:rsid w:val="005318F8"/>
    <w:rsid w:val="00533718"/>
    <w:rsid w:val="00543861"/>
    <w:rsid w:val="005440D3"/>
    <w:rsid w:val="00545BA0"/>
    <w:rsid w:val="0055709D"/>
    <w:rsid w:val="00560363"/>
    <w:rsid w:val="00566589"/>
    <w:rsid w:val="00570338"/>
    <w:rsid w:val="005704CF"/>
    <w:rsid w:val="00570911"/>
    <w:rsid w:val="0057143F"/>
    <w:rsid w:val="00577200"/>
    <w:rsid w:val="00580B62"/>
    <w:rsid w:val="0058155B"/>
    <w:rsid w:val="00585030"/>
    <w:rsid w:val="0059567A"/>
    <w:rsid w:val="005A0373"/>
    <w:rsid w:val="005A09D3"/>
    <w:rsid w:val="005A257C"/>
    <w:rsid w:val="005A3561"/>
    <w:rsid w:val="005A56A1"/>
    <w:rsid w:val="005A715D"/>
    <w:rsid w:val="005B088E"/>
    <w:rsid w:val="005B2811"/>
    <w:rsid w:val="005B5D50"/>
    <w:rsid w:val="005B77A4"/>
    <w:rsid w:val="005C71CA"/>
    <w:rsid w:val="005D1F3D"/>
    <w:rsid w:val="005D69D1"/>
    <w:rsid w:val="005E581F"/>
    <w:rsid w:val="005E69AF"/>
    <w:rsid w:val="005F4728"/>
    <w:rsid w:val="00600BD5"/>
    <w:rsid w:val="006043CA"/>
    <w:rsid w:val="0061173D"/>
    <w:rsid w:val="00614C11"/>
    <w:rsid w:val="00621979"/>
    <w:rsid w:val="00622769"/>
    <w:rsid w:val="006315F4"/>
    <w:rsid w:val="00634815"/>
    <w:rsid w:val="00636C07"/>
    <w:rsid w:val="00643247"/>
    <w:rsid w:val="0064604A"/>
    <w:rsid w:val="00647AFF"/>
    <w:rsid w:val="00650769"/>
    <w:rsid w:val="0065307F"/>
    <w:rsid w:val="006559CC"/>
    <w:rsid w:val="00657215"/>
    <w:rsid w:val="00657FAD"/>
    <w:rsid w:val="0066568F"/>
    <w:rsid w:val="00676ABA"/>
    <w:rsid w:val="00680AEA"/>
    <w:rsid w:val="00685369"/>
    <w:rsid w:val="006862AD"/>
    <w:rsid w:val="006932BB"/>
    <w:rsid w:val="00696206"/>
    <w:rsid w:val="00697C4D"/>
    <w:rsid w:val="006A3A9B"/>
    <w:rsid w:val="006A50C0"/>
    <w:rsid w:val="006A757A"/>
    <w:rsid w:val="006B057C"/>
    <w:rsid w:val="006B1158"/>
    <w:rsid w:val="006B7DDE"/>
    <w:rsid w:val="006C4112"/>
    <w:rsid w:val="006C7F54"/>
    <w:rsid w:val="006D2C99"/>
    <w:rsid w:val="006D4535"/>
    <w:rsid w:val="006D564E"/>
    <w:rsid w:val="006D638D"/>
    <w:rsid w:val="006E1517"/>
    <w:rsid w:val="006F111A"/>
    <w:rsid w:val="006F35CD"/>
    <w:rsid w:val="006F4B1B"/>
    <w:rsid w:val="006F64F8"/>
    <w:rsid w:val="006F78BD"/>
    <w:rsid w:val="00704183"/>
    <w:rsid w:val="00715278"/>
    <w:rsid w:val="00715D95"/>
    <w:rsid w:val="00722FEC"/>
    <w:rsid w:val="00723349"/>
    <w:rsid w:val="007241DD"/>
    <w:rsid w:val="00731E1C"/>
    <w:rsid w:val="007325DE"/>
    <w:rsid w:val="00735EE9"/>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95A52"/>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E57C8"/>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200D"/>
    <w:rsid w:val="00862AC6"/>
    <w:rsid w:val="00865572"/>
    <w:rsid w:val="008709EB"/>
    <w:rsid w:val="0087209D"/>
    <w:rsid w:val="00873BDC"/>
    <w:rsid w:val="00874EAB"/>
    <w:rsid w:val="008773D7"/>
    <w:rsid w:val="008843D5"/>
    <w:rsid w:val="00895D3F"/>
    <w:rsid w:val="00895F87"/>
    <w:rsid w:val="008A4484"/>
    <w:rsid w:val="008B0CDF"/>
    <w:rsid w:val="008B0E18"/>
    <w:rsid w:val="008B2848"/>
    <w:rsid w:val="008C11CE"/>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4EAF"/>
    <w:rsid w:val="00927BDA"/>
    <w:rsid w:val="009306E0"/>
    <w:rsid w:val="00931E14"/>
    <w:rsid w:val="00933DC0"/>
    <w:rsid w:val="009358D8"/>
    <w:rsid w:val="009407DD"/>
    <w:rsid w:val="00954574"/>
    <w:rsid w:val="009604A6"/>
    <w:rsid w:val="00967EE8"/>
    <w:rsid w:val="00972777"/>
    <w:rsid w:val="00974D24"/>
    <w:rsid w:val="00984A0C"/>
    <w:rsid w:val="00984BF1"/>
    <w:rsid w:val="00991B77"/>
    <w:rsid w:val="00991C6C"/>
    <w:rsid w:val="009924B5"/>
    <w:rsid w:val="009A102B"/>
    <w:rsid w:val="009A5247"/>
    <w:rsid w:val="009B6ACC"/>
    <w:rsid w:val="009B6B68"/>
    <w:rsid w:val="009C04C3"/>
    <w:rsid w:val="009C6091"/>
    <w:rsid w:val="009D5DC1"/>
    <w:rsid w:val="009E4722"/>
    <w:rsid w:val="009F104A"/>
    <w:rsid w:val="009F18D7"/>
    <w:rsid w:val="009F37D0"/>
    <w:rsid w:val="009F41D7"/>
    <w:rsid w:val="009F5B5D"/>
    <w:rsid w:val="00A07114"/>
    <w:rsid w:val="00A10986"/>
    <w:rsid w:val="00A11359"/>
    <w:rsid w:val="00A36D94"/>
    <w:rsid w:val="00A378F3"/>
    <w:rsid w:val="00A45652"/>
    <w:rsid w:val="00A52004"/>
    <w:rsid w:val="00A52A76"/>
    <w:rsid w:val="00A5613F"/>
    <w:rsid w:val="00A60EEE"/>
    <w:rsid w:val="00A64598"/>
    <w:rsid w:val="00A645C2"/>
    <w:rsid w:val="00A738F3"/>
    <w:rsid w:val="00A73A8F"/>
    <w:rsid w:val="00A749B6"/>
    <w:rsid w:val="00A76A9C"/>
    <w:rsid w:val="00A76D64"/>
    <w:rsid w:val="00A830EA"/>
    <w:rsid w:val="00A90AF6"/>
    <w:rsid w:val="00A9168E"/>
    <w:rsid w:val="00A96DD0"/>
    <w:rsid w:val="00A97157"/>
    <w:rsid w:val="00AA08FD"/>
    <w:rsid w:val="00AA1B87"/>
    <w:rsid w:val="00AA2897"/>
    <w:rsid w:val="00AB3C96"/>
    <w:rsid w:val="00AC0B56"/>
    <w:rsid w:val="00AC34CC"/>
    <w:rsid w:val="00AC5723"/>
    <w:rsid w:val="00AC69A5"/>
    <w:rsid w:val="00AE05EB"/>
    <w:rsid w:val="00AE0DBB"/>
    <w:rsid w:val="00AE1377"/>
    <w:rsid w:val="00AE5063"/>
    <w:rsid w:val="00AE6436"/>
    <w:rsid w:val="00AF0A67"/>
    <w:rsid w:val="00AF266B"/>
    <w:rsid w:val="00B07295"/>
    <w:rsid w:val="00B11A62"/>
    <w:rsid w:val="00B165B3"/>
    <w:rsid w:val="00B165F7"/>
    <w:rsid w:val="00B177C5"/>
    <w:rsid w:val="00B17FB7"/>
    <w:rsid w:val="00B24178"/>
    <w:rsid w:val="00B24802"/>
    <w:rsid w:val="00B253A0"/>
    <w:rsid w:val="00B301A9"/>
    <w:rsid w:val="00B334A0"/>
    <w:rsid w:val="00B3353C"/>
    <w:rsid w:val="00B346B6"/>
    <w:rsid w:val="00B34C3E"/>
    <w:rsid w:val="00B34EA1"/>
    <w:rsid w:val="00B35035"/>
    <w:rsid w:val="00B35967"/>
    <w:rsid w:val="00B41BED"/>
    <w:rsid w:val="00B43005"/>
    <w:rsid w:val="00B473D5"/>
    <w:rsid w:val="00B52604"/>
    <w:rsid w:val="00B55E3F"/>
    <w:rsid w:val="00B57E32"/>
    <w:rsid w:val="00B605C1"/>
    <w:rsid w:val="00B62DD3"/>
    <w:rsid w:val="00B653F5"/>
    <w:rsid w:val="00B70C89"/>
    <w:rsid w:val="00B70FF0"/>
    <w:rsid w:val="00B72DD5"/>
    <w:rsid w:val="00B86677"/>
    <w:rsid w:val="00B969FE"/>
    <w:rsid w:val="00BA1CD4"/>
    <w:rsid w:val="00BA1D02"/>
    <w:rsid w:val="00BB13D8"/>
    <w:rsid w:val="00BC2B00"/>
    <w:rsid w:val="00BC7268"/>
    <w:rsid w:val="00BD39FB"/>
    <w:rsid w:val="00BE2758"/>
    <w:rsid w:val="00BE35AA"/>
    <w:rsid w:val="00BE6E3F"/>
    <w:rsid w:val="00BF3EE7"/>
    <w:rsid w:val="00BF78F1"/>
    <w:rsid w:val="00C0359C"/>
    <w:rsid w:val="00C103F1"/>
    <w:rsid w:val="00C21B68"/>
    <w:rsid w:val="00C24092"/>
    <w:rsid w:val="00C26F5E"/>
    <w:rsid w:val="00C307AC"/>
    <w:rsid w:val="00C339A4"/>
    <w:rsid w:val="00C34739"/>
    <w:rsid w:val="00C34FD1"/>
    <w:rsid w:val="00C373B4"/>
    <w:rsid w:val="00C40585"/>
    <w:rsid w:val="00C416F1"/>
    <w:rsid w:val="00C42767"/>
    <w:rsid w:val="00C45207"/>
    <w:rsid w:val="00C527FC"/>
    <w:rsid w:val="00C52AA3"/>
    <w:rsid w:val="00C574C8"/>
    <w:rsid w:val="00C576FE"/>
    <w:rsid w:val="00C57AC2"/>
    <w:rsid w:val="00C72BD9"/>
    <w:rsid w:val="00C74E11"/>
    <w:rsid w:val="00C86B1F"/>
    <w:rsid w:val="00C927F2"/>
    <w:rsid w:val="00C960DE"/>
    <w:rsid w:val="00CA1F73"/>
    <w:rsid w:val="00CA6FA2"/>
    <w:rsid w:val="00CB24C2"/>
    <w:rsid w:val="00CC085E"/>
    <w:rsid w:val="00CC0D5B"/>
    <w:rsid w:val="00CD26AC"/>
    <w:rsid w:val="00CE087F"/>
    <w:rsid w:val="00CE366B"/>
    <w:rsid w:val="00CF1C13"/>
    <w:rsid w:val="00CF71B4"/>
    <w:rsid w:val="00D0442A"/>
    <w:rsid w:val="00D04703"/>
    <w:rsid w:val="00D0696F"/>
    <w:rsid w:val="00D108BD"/>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57578"/>
    <w:rsid w:val="00D61B85"/>
    <w:rsid w:val="00D64506"/>
    <w:rsid w:val="00D6500F"/>
    <w:rsid w:val="00D70A77"/>
    <w:rsid w:val="00D732DF"/>
    <w:rsid w:val="00D74382"/>
    <w:rsid w:val="00D74D2F"/>
    <w:rsid w:val="00D75252"/>
    <w:rsid w:val="00D76FA4"/>
    <w:rsid w:val="00D7725A"/>
    <w:rsid w:val="00D849FF"/>
    <w:rsid w:val="00D85F0C"/>
    <w:rsid w:val="00D91F9D"/>
    <w:rsid w:val="00D95BCE"/>
    <w:rsid w:val="00DA0BDC"/>
    <w:rsid w:val="00DA3A7C"/>
    <w:rsid w:val="00DA3D22"/>
    <w:rsid w:val="00DA578C"/>
    <w:rsid w:val="00DA66E5"/>
    <w:rsid w:val="00DB59D7"/>
    <w:rsid w:val="00DB75E0"/>
    <w:rsid w:val="00DC28F1"/>
    <w:rsid w:val="00DC5DF3"/>
    <w:rsid w:val="00DC64FC"/>
    <w:rsid w:val="00DD185C"/>
    <w:rsid w:val="00DD54E8"/>
    <w:rsid w:val="00DD7501"/>
    <w:rsid w:val="00DE6494"/>
    <w:rsid w:val="00DF24A7"/>
    <w:rsid w:val="00DF5820"/>
    <w:rsid w:val="00DF79D0"/>
    <w:rsid w:val="00E01572"/>
    <w:rsid w:val="00E01F6C"/>
    <w:rsid w:val="00E03388"/>
    <w:rsid w:val="00E04476"/>
    <w:rsid w:val="00E05515"/>
    <w:rsid w:val="00E05BE2"/>
    <w:rsid w:val="00E06306"/>
    <w:rsid w:val="00E13A36"/>
    <w:rsid w:val="00E154EB"/>
    <w:rsid w:val="00E161DB"/>
    <w:rsid w:val="00E17DD6"/>
    <w:rsid w:val="00E2469A"/>
    <w:rsid w:val="00E279CB"/>
    <w:rsid w:val="00E316E8"/>
    <w:rsid w:val="00E32382"/>
    <w:rsid w:val="00E40762"/>
    <w:rsid w:val="00E604FF"/>
    <w:rsid w:val="00E65C78"/>
    <w:rsid w:val="00E65E8A"/>
    <w:rsid w:val="00E66C68"/>
    <w:rsid w:val="00E67E28"/>
    <w:rsid w:val="00E70990"/>
    <w:rsid w:val="00E71C7C"/>
    <w:rsid w:val="00E76256"/>
    <w:rsid w:val="00E843C3"/>
    <w:rsid w:val="00E84932"/>
    <w:rsid w:val="00E916B8"/>
    <w:rsid w:val="00E92727"/>
    <w:rsid w:val="00E971FE"/>
    <w:rsid w:val="00EA705A"/>
    <w:rsid w:val="00EB6AA1"/>
    <w:rsid w:val="00EC171E"/>
    <w:rsid w:val="00EC1A90"/>
    <w:rsid w:val="00EC5D81"/>
    <w:rsid w:val="00EC6A09"/>
    <w:rsid w:val="00ED344E"/>
    <w:rsid w:val="00ED75E3"/>
    <w:rsid w:val="00EE300B"/>
    <w:rsid w:val="00EE37B5"/>
    <w:rsid w:val="00EE5A15"/>
    <w:rsid w:val="00EE6E85"/>
    <w:rsid w:val="00EF107C"/>
    <w:rsid w:val="00EF2319"/>
    <w:rsid w:val="00EF5DC1"/>
    <w:rsid w:val="00EF66D4"/>
    <w:rsid w:val="00EF7055"/>
    <w:rsid w:val="00F000D2"/>
    <w:rsid w:val="00F17697"/>
    <w:rsid w:val="00F3479A"/>
    <w:rsid w:val="00F35583"/>
    <w:rsid w:val="00F363E4"/>
    <w:rsid w:val="00F3695E"/>
    <w:rsid w:val="00F374AD"/>
    <w:rsid w:val="00F41641"/>
    <w:rsid w:val="00F434FC"/>
    <w:rsid w:val="00F4658B"/>
    <w:rsid w:val="00F51113"/>
    <w:rsid w:val="00F54821"/>
    <w:rsid w:val="00F60C74"/>
    <w:rsid w:val="00F61C46"/>
    <w:rsid w:val="00F61D4C"/>
    <w:rsid w:val="00F720D5"/>
    <w:rsid w:val="00F7539A"/>
    <w:rsid w:val="00F75EB0"/>
    <w:rsid w:val="00F93680"/>
    <w:rsid w:val="00FA0083"/>
    <w:rsid w:val="00FA12D4"/>
    <w:rsid w:val="00FA14B9"/>
    <w:rsid w:val="00FA2404"/>
    <w:rsid w:val="00FA4693"/>
    <w:rsid w:val="00FA759C"/>
    <w:rsid w:val="00FB0AF3"/>
    <w:rsid w:val="00FB1940"/>
    <w:rsid w:val="00FC3417"/>
    <w:rsid w:val="00FC40D3"/>
    <w:rsid w:val="00FC4CE9"/>
    <w:rsid w:val="00FC5855"/>
    <w:rsid w:val="00FC7327"/>
    <w:rsid w:val="00FD48CB"/>
    <w:rsid w:val="00FE5985"/>
    <w:rsid w:val="00FF1E62"/>
    <w:rsid w:val="00FF2523"/>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e24kjd">
    <w:name w:val="e24kjd"/>
    <w:rsid w:val="00676ABA"/>
  </w:style>
  <w:style w:type="character" w:styleId="Emphasis">
    <w:name w:val="Emphasis"/>
    <w:uiPriority w:val="20"/>
    <w:qFormat/>
    <w:rsid w:val="00795A52"/>
    <w:rPr>
      <w:rFonts w:cs="Times New Roman"/>
      <w:i/>
      <w:iCs/>
    </w:rPr>
  </w:style>
  <w:style w:type="paragraph" w:customStyle="1" w:styleId="gmail-msolistparagraph">
    <w:name w:val="gmail-msolistparagraph"/>
    <w:basedOn w:val="Normal"/>
    <w:uiPriority w:val="99"/>
    <w:rsid w:val="004F48A2"/>
    <w:pPr>
      <w:spacing w:before="100" w:beforeAutospacing="1" w:after="100" w:afterAutospacing="1"/>
    </w:pPr>
    <w:rPr>
      <w:rFonts w:ascii="Calibri" w:eastAsia="Calibri" w:hAnsi="Calibri" w:cs="Calibri"/>
      <w:sz w:val="22"/>
      <w:szCs w:val="22"/>
      <w:lang w:val="en-ZA" w:eastAsia="en-ZA"/>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2019-07-09T14:47:00Z</cp:lastPrinted>
  <dcterms:created xsi:type="dcterms:W3CDTF">2020-01-20T11:10:00Z</dcterms:created>
  <dcterms:modified xsi:type="dcterms:W3CDTF">2020-01-20T11:10:00Z</dcterms:modified>
</cp:coreProperties>
</file>