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BE30EE" w:rsidRPr="00B23134" w:rsidRDefault="00BE30EE" w:rsidP="00BE30EE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B23134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00177</w:t>
      </w:r>
    </w:p>
    <w:p w:rsidR="00BE30EE" w:rsidRPr="00B23134" w:rsidRDefault="00BE30EE" w:rsidP="00BE30EE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B23134">
        <w:rPr>
          <w:rFonts w:ascii="Arial" w:hAnsi="Arial" w:cs="Arial"/>
          <w:b/>
        </w:rPr>
        <w:t>NATIONAL ASSEMBLY</w:t>
      </w:r>
    </w:p>
    <w:p w:rsidR="00BE30EE" w:rsidRPr="00B23134" w:rsidRDefault="00BE30EE" w:rsidP="00BE30E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E30EE" w:rsidRPr="00B23134" w:rsidRDefault="00BE30EE" w:rsidP="00BE30E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23134">
        <w:rPr>
          <w:rFonts w:ascii="Arial" w:hAnsi="Arial" w:cs="Arial"/>
          <w:b/>
          <w:u w:val="single"/>
        </w:rPr>
        <w:t>FOR WRITTEN REPLY</w:t>
      </w:r>
    </w:p>
    <w:p w:rsidR="00BE30EE" w:rsidRPr="00B23134" w:rsidRDefault="00BE30EE" w:rsidP="00BE30E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E30EE" w:rsidRPr="00B23134" w:rsidRDefault="00BE30EE" w:rsidP="00BE30E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23134">
        <w:rPr>
          <w:rFonts w:ascii="Arial" w:hAnsi="Arial" w:cs="Arial"/>
          <w:b/>
          <w:u w:val="single"/>
        </w:rPr>
        <w:t>QUESTION 1675</w:t>
      </w:r>
    </w:p>
    <w:p w:rsidR="00BE30EE" w:rsidRPr="00B23134" w:rsidRDefault="00BE30EE" w:rsidP="00BE30E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E30EE" w:rsidRPr="00B23134" w:rsidRDefault="00BE30EE" w:rsidP="00BE30EE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B23134">
        <w:rPr>
          <w:rFonts w:ascii="Arial" w:hAnsi="Arial" w:cs="Arial"/>
          <w:b/>
          <w:u w:val="single"/>
        </w:rPr>
        <w:t>DATE OF PUBLICATION IN INTERNAL QUESTION PAPER: 9 JUNE 2017</w:t>
      </w:r>
    </w:p>
    <w:p w:rsidR="00BE30EE" w:rsidRPr="00B23134" w:rsidRDefault="00BE30EE" w:rsidP="00BE30EE">
      <w:pPr>
        <w:jc w:val="center"/>
        <w:rPr>
          <w:rFonts w:ascii="Arial" w:hAnsi="Arial" w:cs="Arial"/>
          <w:b/>
          <w:u w:val="single"/>
        </w:rPr>
      </w:pPr>
      <w:r w:rsidRPr="00B23134">
        <w:rPr>
          <w:rFonts w:ascii="Arial" w:hAnsi="Arial" w:cs="Arial"/>
          <w:b/>
          <w:u w:val="single"/>
        </w:rPr>
        <w:t>(INTERNAL QUESTION PAPER NO 21- 2017)</w:t>
      </w:r>
    </w:p>
    <w:p w:rsidR="00BE30EE" w:rsidRPr="00B23134" w:rsidRDefault="00BE30EE" w:rsidP="00BE30EE">
      <w:pPr>
        <w:jc w:val="center"/>
        <w:rPr>
          <w:rFonts w:ascii="Arial" w:hAnsi="Arial" w:cs="Arial"/>
          <w:b/>
          <w:u w:val="single"/>
        </w:rPr>
      </w:pPr>
    </w:p>
    <w:p w:rsidR="00BE30EE" w:rsidRPr="00B23134" w:rsidRDefault="00BE30EE" w:rsidP="00BE30EE">
      <w:pPr>
        <w:pStyle w:val="Default"/>
        <w:rPr>
          <w:rFonts w:ascii="Arial" w:hAnsi="Arial" w:cs="Arial"/>
          <w:b/>
          <w:bCs/>
        </w:rPr>
      </w:pPr>
      <w:r w:rsidRPr="00B23134">
        <w:rPr>
          <w:rFonts w:ascii="Arial" w:hAnsi="Arial" w:cs="Arial"/>
          <w:b/>
          <w:bCs/>
        </w:rPr>
        <w:t xml:space="preserve">1675. Mr T J </w:t>
      </w:r>
      <w:proofErr w:type="spellStart"/>
      <w:r w:rsidRPr="00B23134">
        <w:rPr>
          <w:rFonts w:ascii="Arial" w:hAnsi="Arial" w:cs="Arial"/>
          <w:b/>
          <w:bCs/>
        </w:rPr>
        <w:t>Brauteseth</w:t>
      </w:r>
      <w:proofErr w:type="spellEnd"/>
      <w:r w:rsidRPr="00B23134">
        <w:rPr>
          <w:rFonts w:ascii="Arial" w:hAnsi="Arial" w:cs="Arial"/>
          <w:b/>
          <w:bCs/>
        </w:rPr>
        <w:t xml:space="preserve"> (DA) to ask the Minister of Police: </w:t>
      </w:r>
    </w:p>
    <w:p w:rsidR="00BE30EE" w:rsidRPr="00B23134" w:rsidRDefault="00BE30EE" w:rsidP="00BE30EE">
      <w:pPr>
        <w:pStyle w:val="Default"/>
        <w:rPr>
          <w:rFonts w:ascii="Arial" w:hAnsi="Arial" w:cs="Arial"/>
        </w:rPr>
      </w:pPr>
    </w:p>
    <w:p w:rsidR="00BE30EE" w:rsidRPr="00B23134" w:rsidRDefault="00BE30EE" w:rsidP="00BE30EE">
      <w:pPr>
        <w:jc w:val="both"/>
        <w:rPr>
          <w:rFonts w:ascii="Arial" w:hAnsi="Arial" w:cs="Arial"/>
        </w:rPr>
      </w:pPr>
      <w:r w:rsidRPr="00B23134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B23134">
        <w:rPr>
          <w:rFonts w:ascii="Arial" w:hAnsi="Arial" w:cs="Arial"/>
        </w:rPr>
        <w:t>i</w:t>
      </w:r>
      <w:proofErr w:type="spellEnd"/>
      <w:r w:rsidRPr="00B23134">
        <w:rPr>
          <w:rFonts w:ascii="Arial" w:hAnsi="Arial" w:cs="Arial"/>
        </w:rPr>
        <w:t xml:space="preserve">) </w:t>
      </w:r>
      <w:proofErr w:type="spellStart"/>
      <w:r w:rsidRPr="00B23134">
        <w:rPr>
          <w:rFonts w:ascii="Arial" w:hAnsi="Arial" w:cs="Arial"/>
        </w:rPr>
        <w:t>Protea</w:t>
      </w:r>
      <w:proofErr w:type="spellEnd"/>
      <w:r w:rsidRPr="00B23134">
        <w:rPr>
          <w:rFonts w:ascii="Arial" w:hAnsi="Arial" w:cs="Arial"/>
        </w:rPr>
        <w:t xml:space="preserve"> Glen, (ii) </w:t>
      </w:r>
      <w:proofErr w:type="spellStart"/>
      <w:r w:rsidRPr="00B23134">
        <w:rPr>
          <w:rFonts w:ascii="Arial" w:hAnsi="Arial" w:cs="Arial"/>
        </w:rPr>
        <w:t>Edenvale</w:t>
      </w:r>
      <w:proofErr w:type="spellEnd"/>
      <w:r w:rsidRPr="00B23134">
        <w:rPr>
          <w:rFonts w:ascii="Arial" w:hAnsi="Arial" w:cs="Arial"/>
        </w:rPr>
        <w:t xml:space="preserve">, (iii) </w:t>
      </w:r>
      <w:proofErr w:type="spellStart"/>
      <w:r w:rsidRPr="00B23134">
        <w:rPr>
          <w:rFonts w:ascii="Arial" w:hAnsi="Arial" w:cs="Arial"/>
        </w:rPr>
        <w:t>Eersterust</w:t>
      </w:r>
      <w:proofErr w:type="spellEnd"/>
      <w:r w:rsidRPr="00B23134">
        <w:rPr>
          <w:rFonts w:ascii="Arial" w:hAnsi="Arial" w:cs="Arial"/>
        </w:rPr>
        <w:t xml:space="preserve">, </w:t>
      </w:r>
      <w:proofErr w:type="gramStart"/>
      <w:r w:rsidRPr="00B23134">
        <w:rPr>
          <w:rFonts w:ascii="Arial" w:hAnsi="Arial" w:cs="Arial"/>
        </w:rPr>
        <w:t xml:space="preserve">(iv) </w:t>
      </w:r>
      <w:proofErr w:type="spellStart"/>
      <w:r w:rsidRPr="00B23134">
        <w:rPr>
          <w:rFonts w:ascii="Arial" w:hAnsi="Arial" w:cs="Arial"/>
        </w:rPr>
        <w:t>Boipatong</w:t>
      </w:r>
      <w:proofErr w:type="spellEnd"/>
      <w:proofErr w:type="gramEnd"/>
      <w:r w:rsidRPr="00B23134">
        <w:rPr>
          <w:rFonts w:ascii="Arial" w:hAnsi="Arial" w:cs="Arial"/>
        </w:rPr>
        <w:t xml:space="preserve">, (v) </w:t>
      </w:r>
      <w:proofErr w:type="spellStart"/>
      <w:r w:rsidRPr="00B23134">
        <w:rPr>
          <w:rFonts w:ascii="Arial" w:hAnsi="Arial" w:cs="Arial"/>
        </w:rPr>
        <w:t>Vosloosrus</w:t>
      </w:r>
      <w:proofErr w:type="spellEnd"/>
      <w:r w:rsidRPr="00B23134">
        <w:rPr>
          <w:rFonts w:ascii="Arial" w:hAnsi="Arial" w:cs="Arial"/>
        </w:rPr>
        <w:t xml:space="preserve">, (vi) Primrose, (vii) </w:t>
      </w:r>
      <w:proofErr w:type="spellStart"/>
      <w:r w:rsidRPr="00B23134">
        <w:rPr>
          <w:rFonts w:ascii="Arial" w:hAnsi="Arial" w:cs="Arial"/>
        </w:rPr>
        <w:t>Diepkloof</w:t>
      </w:r>
      <w:proofErr w:type="spellEnd"/>
      <w:r w:rsidRPr="00B23134">
        <w:rPr>
          <w:rFonts w:ascii="Arial" w:hAnsi="Arial" w:cs="Arial"/>
        </w:rPr>
        <w:t xml:space="preserve"> and (viii) Silverton police stations in Gauteng in each of the past 10 financial years? </w:t>
      </w:r>
    </w:p>
    <w:p w:rsidR="00BE30EE" w:rsidRPr="00B23134" w:rsidRDefault="00BE30EE" w:rsidP="00BE30EE">
      <w:pPr>
        <w:jc w:val="right"/>
        <w:rPr>
          <w:rFonts w:ascii="Arial" w:hAnsi="Arial" w:cs="Arial"/>
        </w:rPr>
      </w:pPr>
      <w:r w:rsidRPr="00B23134">
        <w:rPr>
          <w:rFonts w:ascii="Arial" w:hAnsi="Arial" w:cs="Arial"/>
        </w:rPr>
        <w:t>NW1881E</w:t>
      </w:r>
    </w:p>
    <w:p w:rsidR="00BE30EE" w:rsidRDefault="00BE30EE" w:rsidP="00BE30EE">
      <w:pPr>
        <w:rPr>
          <w:rFonts w:ascii="Arial" w:hAnsi="Arial" w:cs="Arial"/>
          <w:b/>
        </w:rPr>
      </w:pPr>
      <w:r w:rsidRPr="00B23134">
        <w:rPr>
          <w:rFonts w:ascii="Arial" w:hAnsi="Arial" w:cs="Arial"/>
          <w:b/>
        </w:rPr>
        <w:t>REPLY:</w:t>
      </w:r>
    </w:p>
    <w:p w:rsidR="00BE30EE" w:rsidRDefault="00BE30EE" w:rsidP="00BE30E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The total number of operations targeting illicit drugs conducted, during the specified period, by the South African Police Service (SAPS) in Gauteng is as follows:</w:t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92"/>
        <w:gridCol w:w="830"/>
        <w:gridCol w:w="828"/>
        <w:gridCol w:w="691"/>
        <w:gridCol w:w="830"/>
        <w:gridCol w:w="830"/>
        <w:gridCol w:w="830"/>
        <w:gridCol w:w="830"/>
        <w:gridCol w:w="830"/>
        <w:gridCol w:w="802"/>
      </w:tblGrid>
      <w:tr w:rsidR="00BE30EE" w:rsidRPr="00440D3F" w:rsidTr="00954575">
        <w:trPr>
          <w:trHeight w:val="454"/>
          <w:jc w:val="center"/>
        </w:trPr>
        <w:tc>
          <w:tcPr>
            <w:tcW w:w="5000" w:type="pct"/>
            <w:gridSpan w:val="11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GAUTENG</w:t>
            </w:r>
          </w:p>
        </w:tc>
      </w:tr>
      <w:tr w:rsidR="00BE30EE" w:rsidRPr="00440D3F" w:rsidTr="00954575">
        <w:trPr>
          <w:trHeight w:val="454"/>
          <w:jc w:val="center"/>
        </w:trPr>
        <w:tc>
          <w:tcPr>
            <w:tcW w:w="1091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200</w:t>
            </w:r>
            <w:r>
              <w:rPr>
                <w:rFonts w:cs="Calibri"/>
                <w:b/>
                <w:sz w:val="18"/>
                <w:szCs w:val="18"/>
              </w:rPr>
              <w:t>7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</w:p>
        </w:tc>
        <w:tc>
          <w:tcPr>
            <w:tcW w:w="405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10/2011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AE1A9A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 2012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2/ 2013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3/ 2014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14/ 2015</w:t>
            </w:r>
          </w:p>
        </w:tc>
        <w:tc>
          <w:tcPr>
            <w:tcW w:w="406" w:type="pct"/>
            <w:shd w:val="clear" w:color="auto" w:fill="B8CCE4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2015/ 2016</w:t>
            </w:r>
          </w:p>
        </w:tc>
        <w:tc>
          <w:tcPr>
            <w:tcW w:w="392" w:type="pct"/>
            <w:shd w:val="clear" w:color="auto" w:fill="B8CCE4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2016/ 2017</w:t>
            </w:r>
          </w:p>
        </w:tc>
      </w:tr>
      <w:tr w:rsidR="00BE30EE" w:rsidRPr="00440D3F" w:rsidTr="00954575">
        <w:trPr>
          <w:trHeight w:val="600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3"/>
              </w:numPr>
              <w:spacing w:after="160" w:line="259" w:lineRule="auto"/>
              <w:ind w:left="946" w:hanging="946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Protea</w:t>
            </w:r>
            <w:proofErr w:type="spellEnd"/>
            <w:r>
              <w:rPr>
                <w:rFonts w:cs="Calibri"/>
              </w:rPr>
              <w:t xml:space="preserve"> Glen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208</w:t>
            </w:r>
          </w:p>
        </w:tc>
        <w:tc>
          <w:tcPr>
            <w:tcW w:w="406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392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3"/>
              </w:numPr>
              <w:spacing w:after="160" w:line="259" w:lineRule="auto"/>
              <w:ind w:left="1016" w:hanging="993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Edenvale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406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392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3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Eersterust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404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730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406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274</w:t>
            </w:r>
          </w:p>
        </w:tc>
        <w:tc>
          <w:tcPr>
            <w:tcW w:w="392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181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3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Boipatong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388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209</w:t>
            </w:r>
          </w:p>
        </w:tc>
        <w:tc>
          <w:tcPr>
            <w:tcW w:w="406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579</w:t>
            </w:r>
          </w:p>
        </w:tc>
        <w:tc>
          <w:tcPr>
            <w:tcW w:w="392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3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Vosloorus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440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505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508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272</w:t>
            </w:r>
          </w:p>
        </w:tc>
        <w:tc>
          <w:tcPr>
            <w:tcW w:w="406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392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147</w:t>
            </w:r>
          </w:p>
        </w:tc>
      </w:tr>
      <w:tr w:rsidR="00BE30EE" w:rsidRPr="00440D3F" w:rsidTr="00954575">
        <w:trPr>
          <w:trHeight w:val="564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3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Primrose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862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771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262</w:t>
            </w:r>
          </w:p>
        </w:tc>
        <w:tc>
          <w:tcPr>
            <w:tcW w:w="406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392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3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Diepkloof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289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406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392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3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Silverton 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706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414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234</w:t>
            </w:r>
          </w:p>
        </w:tc>
        <w:tc>
          <w:tcPr>
            <w:tcW w:w="406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392" w:type="pct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</w:tr>
    </w:tbl>
    <w:p w:rsidR="00BE30EE" w:rsidRDefault="00BE30EE" w:rsidP="00BE30EE">
      <w:pPr>
        <w:rPr>
          <w:rFonts w:ascii="Arial" w:hAnsi="Arial" w:cs="Arial"/>
        </w:rPr>
      </w:pPr>
    </w:p>
    <w:p w:rsidR="00BE30EE" w:rsidRDefault="00BE30EE" w:rsidP="00BE30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The Directorate for Priority Crime Investigation</w:t>
      </w:r>
      <w:r>
        <w:rPr>
          <w:rFonts w:ascii="Arial" w:hAnsi="Arial" w:cs="Arial"/>
        </w:rPr>
        <w:t xml:space="preserve"> (DPCI)</w:t>
      </w:r>
      <w:r w:rsidRPr="00F66FE3">
        <w:rPr>
          <w:rFonts w:ascii="Arial" w:hAnsi="Arial" w:cs="Arial"/>
        </w:rPr>
        <w:t xml:space="preserve"> was established in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 xml:space="preserve">2009 under SA Police Service Amendment Act 57 of 2008, as amended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SAP</w:t>
      </w:r>
      <w:r>
        <w:rPr>
          <w:rFonts w:ascii="Arial" w:hAnsi="Arial" w:cs="Arial"/>
        </w:rPr>
        <w:t>S</w:t>
      </w:r>
      <w:r w:rsidRPr="00F66FE3">
        <w:rPr>
          <w:rFonts w:ascii="Arial" w:hAnsi="Arial" w:cs="Arial"/>
        </w:rPr>
        <w:t xml:space="preserve"> 10 of 2012, the reply provided is</w:t>
      </w:r>
      <w:r>
        <w:rPr>
          <w:rFonts w:ascii="Arial" w:hAnsi="Arial" w:cs="Arial"/>
        </w:rPr>
        <w:t>, there</w:t>
      </w:r>
      <w:r w:rsidRPr="00F66FE3">
        <w:rPr>
          <w:rFonts w:ascii="Arial" w:hAnsi="Arial" w:cs="Arial"/>
        </w:rPr>
        <w:t>for</w:t>
      </w:r>
      <w:r>
        <w:rPr>
          <w:rFonts w:ascii="Arial" w:hAnsi="Arial" w:cs="Arial"/>
        </w:rPr>
        <w:t>e, a consolidation of</w:t>
      </w:r>
      <w:r w:rsidRPr="00F66FE3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eight financial years.</w:t>
      </w: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922"/>
      </w:tblGrid>
      <w:tr w:rsidR="00BE30EE" w:rsidRPr="00440D3F" w:rsidTr="00954575">
        <w:trPr>
          <w:trHeight w:val="454"/>
          <w:jc w:val="center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</w:t>
            </w:r>
            <w:r w:rsidRPr="00AE1A9A">
              <w:rPr>
                <w:rFonts w:cs="Calibri"/>
                <w:b/>
                <w:sz w:val="18"/>
                <w:szCs w:val="18"/>
              </w:rPr>
              <w:t>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BY DPCI</w:t>
            </w:r>
          </w:p>
        </w:tc>
      </w:tr>
      <w:tr w:rsidR="00BE30EE" w:rsidRPr="00440D3F" w:rsidTr="00954575">
        <w:trPr>
          <w:trHeight w:val="454"/>
          <w:jc w:val="center"/>
        </w:trPr>
        <w:tc>
          <w:tcPr>
            <w:tcW w:w="1431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569" w:type="pct"/>
            <w:shd w:val="clear" w:color="auto" w:fill="B8CCE4"/>
            <w:vAlign w:val="center"/>
          </w:tcPr>
          <w:p w:rsidR="00BE30EE" w:rsidRPr="00AE1A9A" w:rsidRDefault="00BE30EE" w:rsidP="0095457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2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Protea</w:t>
            </w:r>
            <w:proofErr w:type="spellEnd"/>
            <w:r>
              <w:rPr>
                <w:rFonts w:cs="Calibri"/>
              </w:rPr>
              <w:t xml:space="preserve"> Glen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2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Edenvale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2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Eersterust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2"/>
              </w:numPr>
              <w:spacing w:after="160" w:line="259" w:lineRule="auto"/>
              <w:ind w:left="1049"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Boipatong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2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Vosloorus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2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Primrose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BE30EE" w:rsidRPr="00242B44" w:rsidRDefault="00BE30EE" w:rsidP="00BE30EE">
            <w:pPr>
              <w:numPr>
                <w:ilvl w:val="0"/>
                <w:numId w:val="12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Diepkloof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BE30EE" w:rsidRPr="00440D3F" w:rsidTr="00954575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BE30EE" w:rsidRPr="00CF20ED" w:rsidRDefault="00BE30EE" w:rsidP="00BE30EE">
            <w:pPr>
              <w:numPr>
                <w:ilvl w:val="0"/>
                <w:numId w:val="12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Silverton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BE30EE" w:rsidRPr="00242B44" w:rsidRDefault="00BE30EE" w:rsidP="0095457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:rsidR="00BE30EE" w:rsidRDefault="00BE30EE" w:rsidP="00BE30EE">
      <w:pPr>
        <w:rPr>
          <w:rFonts w:ascii="Arial" w:hAnsi="Arial" w:cs="Arial"/>
        </w:rPr>
      </w:pPr>
    </w:p>
    <w:p w:rsidR="00BE30EE" w:rsidRDefault="00BE30EE" w:rsidP="00BE30EE">
      <w:pPr>
        <w:rPr>
          <w:rFonts w:ascii="Arial" w:hAnsi="Arial" w:cs="Arial"/>
        </w:rPr>
      </w:pPr>
    </w:p>
    <w:p w:rsidR="00BE30EE" w:rsidRDefault="00BE30EE" w:rsidP="00BE30EE">
      <w:pPr>
        <w:rPr>
          <w:rFonts w:ascii="Arial" w:hAnsi="Arial" w:cs="Arial"/>
        </w:rPr>
      </w:pPr>
    </w:p>
    <w:p w:rsidR="00BE30EE" w:rsidRDefault="00BE30EE" w:rsidP="00BE30EE">
      <w:pPr>
        <w:rPr>
          <w:rFonts w:ascii="Arial" w:hAnsi="Arial" w:cs="Arial"/>
        </w:rPr>
      </w:pPr>
    </w:p>
    <w:p w:rsidR="00BE30EE" w:rsidRDefault="00BE30EE" w:rsidP="00BE30EE">
      <w:pPr>
        <w:rPr>
          <w:rFonts w:ascii="Arial" w:hAnsi="Arial" w:cs="Arial"/>
        </w:rPr>
      </w:pPr>
    </w:p>
    <w:p w:rsidR="00BE30EE" w:rsidRDefault="00BE30EE" w:rsidP="00BE30EE">
      <w:pPr>
        <w:rPr>
          <w:rFonts w:ascii="Arial" w:hAnsi="Arial" w:cs="Arial"/>
        </w:rPr>
      </w:pPr>
    </w:p>
    <w:p w:rsidR="00BE30EE" w:rsidRPr="00F14B5D" w:rsidRDefault="00BE30EE" w:rsidP="00BE30EE">
      <w:pPr>
        <w:rPr>
          <w:rFonts w:ascii="Arial" w:hAnsi="Arial" w:cs="Arial"/>
        </w:rPr>
      </w:pPr>
    </w:p>
    <w:p w:rsidR="00BE30EE" w:rsidRPr="00F14B5D" w:rsidRDefault="00BE30EE" w:rsidP="00BE30EE">
      <w:pPr>
        <w:rPr>
          <w:rFonts w:ascii="Arial" w:hAnsi="Arial" w:cs="Arial"/>
        </w:rPr>
      </w:pPr>
    </w:p>
    <w:p w:rsidR="00BE30EE" w:rsidRPr="00F14B5D" w:rsidRDefault="00BE30EE" w:rsidP="00BE30EE">
      <w:pPr>
        <w:rPr>
          <w:rFonts w:ascii="Arial" w:hAnsi="Arial" w:cs="Arial"/>
        </w:rPr>
      </w:pPr>
    </w:p>
    <w:p w:rsidR="00BE30EE" w:rsidRPr="004B287D" w:rsidRDefault="00BE30EE" w:rsidP="00BE30EE">
      <w:pPr>
        <w:rPr>
          <w:rFonts w:ascii="Arial" w:hAnsi="Arial" w:cs="Arial"/>
          <w:b/>
        </w:rPr>
      </w:pPr>
    </w:p>
    <w:p w:rsidR="00BE30EE" w:rsidRPr="004B287D" w:rsidRDefault="00BE30EE" w:rsidP="00BE30EE">
      <w:pPr>
        <w:rPr>
          <w:rFonts w:ascii="Arial" w:hAnsi="Arial" w:cs="Arial"/>
        </w:rPr>
      </w:pPr>
    </w:p>
    <w:p w:rsidR="00BE30EE" w:rsidRPr="00B23134" w:rsidRDefault="00BE30EE" w:rsidP="00BE30EE">
      <w:pPr>
        <w:rPr>
          <w:rFonts w:ascii="Arial" w:hAnsi="Arial" w:cs="Arial"/>
          <w:b/>
        </w:rPr>
      </w:pPr>
    </w:p>
    <w:p w:rsidR="00BE30EE" w:rsidRPr="00B23134" w:rsidRDefault="00BE30EE" w:rsidP="00BE30EE">
      <w:pPr>
        <w:rPr>
          <w:rFonts w:ascii="Arial" w:hAnsi="Arial" w:cs="Arial"/>
        </w:rPr>
      </w:pPr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01" w:rsidRDefault="00E00501" w:rsidP="00020C8A">
      <w:r>
        <w:separator/>
      </w:r>
    </w:p>
  </w:endnote>
  <w:endnote w:type="continuationSeparator" w:id="0">
    <w:p w:rsidR="00E00501" w:rsidRDefault="00E0050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01" w:rsidRDefault="00E00501" w:rsidP="00020C8A">
      <w:r>
        <w:separator/>
      </w:r>
    </w:p>
  </w:footnote>
  <w:footnote w:type="continuationSeparator" w:id="0">
    <w:p w:rsidR="00E00501" w:rsidRDefault="00E0050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A31F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E30EE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6779C"/>
    <w:rsid w:val="00D90829"/>
    <w:rsid w:val="00D92217"/>
    <w:rsid w:val="00DA2E74"/>
    <w:rsid w:val="00DB6069"/>
    <w:rsid w:val="00E00501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2017-10-13T11:33:00Z</dcterms:created>
  <dcterms:modified xsi:type="dcterms:W3CDTF">2017-10-13T11:33:00Z</dcterms:modified>
</cp:coreProperties>
</file>