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A" w:rsidRDefault="00AE413A" w:rsidP="00AE413A">
      <w:pPr>
        <w:pStyle w:val="Title"/>
        <w:jc w:val="left"/>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w:t>
      </w:r>
      <w:r w:rsidR="0054086E">
        <w:rPr>
          <w:rFonts w:cs="Arial"/>
          <w:szCs w:val="22"/>
          <w:lang w:val="en-GB"/>
        </w:rPr>
        <w:t xml:space="preserve"> </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206312" w:rsidRDefault="008A7DCE" w:rsidP="00206312">
      <w:pPr>
        <w:jc w:val="center"/>
        <w:rPr>
          <w:rFonts w:ascii="Arial" w:hAnsi="Arial" w:cs="Arial"/>
          <w:b/>
          <w:sz w:val="22"/>
          <w:szCs w:val="22"/>
        </w:rPr>
      </w:pPr>
      <w:r w:rsidRPr="00206312">
        <w:rPr>
          <w:rFonts w:ascii="Arial" w:hAnsi="Arial" w:cs="Arial"/>
          <w:b/>
          <w:sz w:val="22"/>
          <w:szCs w:val="22"/>
        </w:rPr>
        <w:t xml:space="preserve"> </w:t>
      </w:r>
      <w:r w:rsidR="00B2076A" w:rsidRPr="00206312">
        <w:rPr>
          <w:rFonts w:ascii="Arial" w:hAnsi="Arial" w:cs="Arial"/>
          <w:b/>
          <w:sz w:val="22"/>
          <w:szCs w:val="22"/>
        </w:rPr>
        <w:t>WRITTEN</w:t>
      </w:r>
      <w:r w:rsidRPr="00206312">
        <w:rPr>
          <w:rFonts w:ascii="Arial" w:hAnsi="Arial" w:cs="Arial"/>
          <w:b/>
          <w:sz w:val="22"/>
          <w:szCs w:val="22"/>
        </w:rPr>
        <w:t xml:space="preserve"> REPLY</w:t>
      </w:r>
    </w:p>
    <w:p w:rsidR="008A7DCE" w:rsidRPr="0095517A" w:rsidRDefault="008A7DCE" w:rsidP="008A7DCE">
      <w:pPr>
        <w:jc w:val="both"/>
        <w:rPr>
          <w:rFonts w:ascii="Arial" w:hAnsi="Arial" w:cs="Arial"/>
          <w:b/>
          <w:sz w:val="22"/>
          <w:szCs w:val="22"/>
          <w:u w:val="single"/>
        </w:rPr>
      </w:pPr>
    </w:p>
    <w:p w:rsidR="0094412B" w:rsidRPr="00C90499" w:rsidRDefault="0094412B" w:rsidP="0094412B">
      <w:pPr>
        <w:jc w:val="both"/>
        <w:rPr>
          <w:rFonts w:ascii="Arial" w:hAnsi="Arial" w:cs="Arial"/>
          <w:b/>
          <w:sz w:val="22"/>
          <w:szCs w:val="22"/>
          <w:u w:val="single"/>
        </w:rPr>
      </w:pPr>
      <w:r w:rsidRPr="00C90499">
        <w:rPr>
          <w:rFonts w:ascii="Arial" w:hAnsi="Arial" w:cs="Arial"/>
          <w:b/>
          <w:sz w:val="22"/>
          <w:szCs w:val="22"/>
          <w:u w:val="single"/>
        </w:rPr>
        <w:t>QUESTION NO 1673</w:t>
      </w:r>
    </w:p>
    <w:p w:rsidR="0094412B" w:rsidRPr="00C90499" w:rsidRDefault="0094412B" w:rsidP="0094412B">
      <w:pPr>
        <w:jc w:val="both"/>
        <w:rPr>
          <w:rFonts w:ascii="Arial" w:hAnsi="Arial" w:cs="Arial"/>
          <w:b/>
          <w:sz w:val="22"/>
          <w:szCs w:val="22"/>
          <w:u w:val="single"/>
        </w:rPr>
      </w:pPr>
    </w:p>
    <w:p w:rsidR="0094412B" w:rsidRPr="00C90499" w:rsidRDefault="0094412B" w:rsidP="0094412B">
      <w:pPr>
        <w:jc w:val="both"/>
        <w:rPr>
          <w:rFonts w:ascii="Arial" w:hAnsi="Arial" w:cs="Arial"/>
          <w:b/>
          <w:sz w:val="22"/>
          <w:szCs w:val="22"/>
          <w:u w:val="single"/>
        </w:rPr>
      </w:pPr>
      <w:r w:rsidRPr="00C90499">
        <w:rPr>
          <w:rFonts w:ascii="Arial" w:hAnsi="Arial" w:cs="Arial"/>
          <w:b/>
          <w:sz w:val="22"/>
          <w:szCs w:val="22"/>
          <w:u w:val="single"/>
        </w:rPr>
        <w:t>DATE OF PUBLICATION IN INTERNAL QUESTION PAPER: 25 MAY 2018</w:t>
      </w:r>
    </w:p>
    <w:p w:rsidR="0094412B" w:rsidRPr="00C90499" w:rsidRDefault="0094412B" w:rsidP="0094412B">
      <w:pPr>
        <w:tabs>
          <w:tab w:val="left" w:pos="1418"/>
        </w:tabs>
        <w:jc w:val="both"/>
        <w:rPr>
          <w:rFonts w:ascii="Arial" w:hAnsi="Arial" w:cs="Arial"/>
          <w:b/>
          <w:sz w:val="22"/>
          <w:szCs w:val="22"/>
          <w:u w:val="single"/>
        </w:rPr>
      </w:pPr>
      <w:r w:rsidRPr="00C90499">
        <w:rPr>
          <w:rFonts w:ascii="Arial" w:hAnsi="Arial" w:cs="Arial"/>
          <w:b/>
          <w:sz w:val="22"/>
          <w:szCs w:val="22"/>
          <w:u w:val="single"/>
        </w:rPr>
        <w:t>(INTERNAL QUESTION PAPER NO. 18)</w:t>
      </w:r>
    </w:p>
    <w:p w:rsidR="0094412B" w:rsidRPr="00C90499" w:rsidRDefault="0094412B" w:rsidP="0094412B">
      <w:pPr>
        <w:tabs>
          <w:tab w:val="left" w:pos="1418"/>
        </w:tabs>
        <w:jc w:val="both"/>
        <w:rPr>
          <w:rFonts w:ascii="Arial" w:hAnsi="Arial" w:cs="Arial"/>
          <w:b/>
          <w:sz w:val="22"/>
          <w:szCs w:val="22"/>
          <w:u w:val="single"/>
        </w:rPr>
      </w:pPr>
    </w:p>
    <w:p w:rsidR="0094412B" w:rsidRPr="00C90499" w:rsidRDefault="0094412B" w:rsidP="0094412B">
      <w:pPr>
        <w:spacing w:before="100" w:beforeAutospacing="1" w:after="100" w:afterAutospacing="1"/>
        <w:ind w:left="720" w:hanging="720"/>
        <w:contextualSpacing/>
        <w:jc w:val="both"/>
        <w:outlineLvl w:val="0"/>
        <w:rPr>
          <w:rFonts w:ascii="Arial" w:eastAsia="Calibri" w:hAnsi="Arial" w:cs="Arial"/>
          <w:b/>
          <w:noProof/>
          <w:sz w:val="22"/>
          <w:szCs w:val="22"/>
          <w:lang w:val="af-ZA"/>
        </w:rPr>
      </w:pPr>
      <w:r w:rsidRPr="00C90499">
        <w:rPr>
          <w:rFonts w:ascii="Arial" w:eastAsia="Calibri" w:hAnsi="Arial" w:cs="Arial"/>
          <w:b/>
          <w:noProof/>
          <w:sz w:val="22"/>
          <w:szCs w:val="22"/>
          <w:lang w:val="af-ZA"/>
        </w:rPr>
        <w:t>1673.</w:t>
      </w:r>
      <w:r w:rsidRPr="00C90499">
        <w:rPr>
          <w:rFonts w:ascii="Arial" w:eastAsia="Calibri" w:hAnsi="Arial" w:cs="Arial"/>
          <w:b/>
          <w:noProof/>
          <w:sz w:val="22"/>
          <w:szCs w:val="22"/>
          <w:lang w:val="af-ZA"/>
        </w:rPr>
        <w:tab/>
        <w:t xml:space="preserve">Mr C D Matsepe (DA) to ask the </w:t>
      </w:r>
      <w:r w:rsidRPr="00C90499">
        <w:rPr>
          <w:rFonts w:ascii="Arial" w:eastAsia="Calibri" w:hAnsi="Arial" w:cs="Arial"/>
          <w:b/>
          <w:sz w:val="22"/>
          <w:szCs w:val="22"/>
          <w:lang w:val="en-ZA"/>
        </w:rPr>
        <w:t>Minister</w:t>
      </w:r>
      <w:r w:rsidRPr="00C90499">
        <w:rPr>
          <w:rFonts w:ascii="Arial" w:eastAsia="Calibri" w:hAnsi="Arial" w:cs="Arial"/>
          <w:b/>
          <w:noProof/>
          <w:sz w:val="22"/>
          <w:szCs w:val="22"/>
          <w:lang w:val="af-ZA"/>
        </w:rPr>
        <w:t xml:space="preserve"> of Water and Sanitation:</w:t>
      </w:r>
    </w:p>
    <w:p w:rsidR="0094412B" w:rsidRPr="00C90499" w:rsidRDefault="0094412B" w:rsidP="0094412B">
      <w:pPr>
        <w:widowControl w:val="0"/>
        <w:autoSpaceDE w:val="0"/>
        <w:autoSpaceDN w:val="0"/>
        <w:adjustRightInd w:val="0"/>
        <w:spacing w:before="100" w:beforeAutospacing="1" w:after="100" w:afterAutospacing="1"/>
        <w:ind w:left="709" w:firstLine="11"/>
        <w:contextualSpacing/>
        <w:jc w:val="both"/>
        <w:rPr>
          <w:rFonts w:ascii="Arial" w:eastAsia="Calibri" w:hAnsi="Arial" w:cs="Arial"/>
          <w:sz w:val="22"/>
          <w:szCs w:val="22"/>
          <w:lang w:val="en-ZA"/>
        </w:rPr>
      </w:pPr>
    </w:p>
    <w:p w:rsidR="0094412B" w:rsidRPr="00C90499" w:rsidRDefault="0094412B" w:rsidP="0094412B">
      <w:pPr>
        <w:spacing w:before="100" w:beforeAutospacing="1" w:after="100" w:afterAutospacing="1"/>
        <w:ind w:left="720"/>
        <w:jc w:val="both"/>
        <w:rPr>
          <w:rFonts w:eastAsia="Calibri"/>
          <w:sz w:val="20"/>
          <w:szCs w:val="20"/>
        </w:rPr>
      </w:pPr>
      <w:r w:rsidRPr="00C90499">
        <w:rPr>
          <w:rFonts w:ascii="Arial" w:eastAsia="Calibri" w:hAnsi="Arial" w:cs="Arial"/>
          <w:sz w:val="22"/>
          <w:szCs w:val="22"/>
          <w:lang w:val="en-ZA"/>
        </w:rPr>
        <w:t>(a) What number of cases relating to the Prevention and Combating of Corrupt Activities Act, Act 12 of 2004, as amended, have been referred to the (i) SA Police Service (SAPS) and (ii) Directorate for Priority Crime Investigation (DPCI) by (aa) his department and (bb) each entity reporting to him 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r w:rsidRPr="00C90499">
        <w:rPr>
          <w:rFonts w:ascii="Arial" w:eastAsia="Calibri" w:hAnsi="Arial" w:cs="Arial"/>
          <w:sz w:val="22"/>
          <w:szCs w:val="22"/>
          <w:lang w:val="en-ZA"/>
        </w:rPr>
        <w:tab/>
      </w:r>
      <w:r w:rsidRPr="00C90499">
        <w:rPr>
          <w:rFonts w:ascii="Arial" w:eastAsia="Calibri" w:hAnsi="Arial" w:cs="Arial"/>
          <w:sz w:val="22"/>
          <w:szCs w:val="22"/>
          <w:lang w:val="en-ZA"/>
        </w:rPr>
        <w:tab/>
      </w:r>
      <w:r w:rsidRPr="00C90499">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C90499">
        <w:rPr>
          <w:rFonts w:ascii="Arial" w:eastAsia="Calibri" w:hAnsi="Arial" w:cs="Arial"/>
          <w:sz w:val="16"/>
          <w:szCs w:val="16"/>
          <w:lang w:val="en-ZA"/>
        </w:rPr>
        <w:t>NW1823E</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82482B" w:rsidRPr="0095517A" w:rsidRDefault="0000762B" w:rsidP="0000762B">
      <w:pPr>
        <w:spacing w:before="100" w:beforeAutospacing="1" w:after="100" w:afterAutospacing="1"/>
        <w:ind w:left="709"/>
        <w:jc w:val="both"/>
        <w:rPr>
          <w:rFonts w:ascii="Arial" w:hAnsi="Arial" w:cs="Arial"/>
          <w:sz w:val="22"/>
          <w:szCs w:val="22"/>
        </w:rPr>
      </w:pPr>
      <w:r>
        <w:rPr>
          <w:rFonts w:ascii="Arial" w:hAnsi="Arial" w:cs="Arial"/>
          <w:sz w:val="22"/>
          <w:szCs w:val="22"/>
        </w:rPr>
        <w:t xml:space="preserve">Refer to the table below for the consolidated response from </w:t>
      </w:r>
      <w:r w:rsidR="00255C66">
        <w:rPr>
          <w:rFonts w:ascii="Arial" w:hAnsi="Arial" w:cs="Arial"/>
          <w:sz w:val="22"/>
          <w:szCs w:val="22"/>
        </w:rPr>
        <w:t>the</w:t>
      </w:r>
      <w:r>
        <w:rPr>
          <w:rFonts w:ascii="Arial" w:hAnsi="Arial" w:cs="Arial"/>
          <w:sz w:val="22"/>
          <w:szCs w:val="22"/>
        </w:rPr>
        <w:t xml:space="preserve"> Department and Entities reporting to me regarding number </w:t>
      </w:r>
      <w:r w:rsidRPr="00C90499">
        <w:rPr>
          <w:rFonts w:ascii="Arial" w:eastAsia="Calibri" w:hAnsi="Arial" w:cs="Arial"/>
          <w:sz w:val="22"/>
          <w:szCs w:val="22"/>
          <w:lang w:val="en-ZA"/>
        </w:rPr>
        <w:t>of cases relating to the Prevention and Combating of Corrupt Activities</w:t>
      </w:r>
      <w:r>
        <w:rPr>
          <w:rFonts w:ascii="Arial" w:eastAsia="Calibri" w:hAnsi="Arial" w:cs="Arial"/>
          <w:sz w:val="22"/>
          <w:szCs w:val="22"/>
          <w:lang w:val="en-ZA"/>
        </w:rPr>
        <w:t>.</w:t>
      </w:r>
      <w:r w:rsidR="004D1B6B">
        <w:rPr>
          <w:rFonts w:ascii="Arial" w:hAnsi="Arial" w:cs="Arial"/>
          <w:sz w:val="22"/>
          <w:szCs w:val="22"/>
        </w:rPr>
        <w:tab/>
      </w:r>
    </w:p>
    <w:p w:rsidR="00697311" w:rsidRDefault="00697311">
      <w:pPr>
        <w:rPr>
          <w:rFonts w:ascii="Arial" w:hAnsi="Arial" w:cs="Arial"/>
          <w:bCs/>
          <w:sz w:val="22"/>
          <w:szCs w:val="22"/>
          <w:lang w:val="pt-BR"/>
        </w:rPr>
      </w:pPr>
      <w:r>
        <w:rPr>
          <w:rFonts w:ascii="Arial" w:hAnsi="Arial" w:cs="Arial"/>
          <w:bCs/>
          <w:sz w:val="22"/>
          <w:szCs w:val="22"/>
          <w:lang w:val="pt-BR"/>
        </w:rPr>
        <w:br w:type="page"/>
      </w:r>
    </w:p>
    <w:p w:rsidR="00697311" w:rsidRDefault="00697311" w:rsidP="00BA78FB">
      <w:pPr>
        <w:tabs>
          <w:tab w:val="left" w:pos="540"/>
          <w:tab w:val="left" w:pos="1080"/>
        </w:tabs>
        <w:rPr>
          <w:rFonts w:ascii="Arial" w:hAnsi="Arial" w:cs="Arial"/>
          <w:bCs/>
          <w:sz w:val="22"/>
          <w:szCs w:val="22"/>
          <w:lang w:val="pt-BR"/>
        </w:rPr>
        <w:sectPr w:rsidR="00697311" w:rsidSect="003E5759">
          <w:headerReference w:type="even" r:id="rId8"/>
          <w:pgSz w:w="11906" w:h="16838"/>
          <w:pgMar w:top="540" w:right="1133" w:bottom="540" w:left="1080" w:header="706" w:footer="706" w:gutter="0"/>
          <w:cols w:space="720"/>
          <w:titlePg/>
          <w:docGrid w:linePitch="360"/>
        </w:sectPr>
      </w:pPr>
    </w:p>
    <w:tbl>
      <w:tblPr>
        <w:tblStyle w:val="TableGrid"/>
        <w:tblW w:w="15219" w:type="dxa"/>
        <w:tblLook w:val="04A0" w:firstRow="1" w:lastRow="0" w:firstColumn="1" w:lastColumn="0" w:noHBand="0" w:noVBand="1"/>
      </w:tblPr>
      <w:tblGrid>
        <w:gridCol w:w="1978"/>
        <w:gridCol w:w="3177"/>
        <w:gridCol w:w="2835"/>
        <w:gridCol w:w="2268"/>
        <w:gridCol w:w="2410"/>
        <w:gridCol w:w="2551"/>
      </w:tblGrid>
      <w:tr w:rsidR="00697311" w:rsidRPr="00684535" w:rsidTr="00684535">
        <w:trPr>
          <w:trHeight w:val="516"/>
          <w:tblHeader/>
        </w:trPr>
        <w:tc>
          <w:tcPr>
            <w:tcW w:w="1978" w:type="dxa"/>
            <w:shd w:val="clear" w:color="auto" w:fill="DAEEF3" w:themeFill="accent5" w:themeFillTint="33"/>
          </w:tcPr>
          <w:p w:rsidR="00697311" w:rsidRPr="00684535" w:rsidRDefault="00697311" w:rsidP="00684535">
            <w:pPr>
              <w:spacing w:before="100" w:beforeAutospacing="1" w:after="100" w:afterAutospacing="1"/>
              <w:contextualSpacing/>
              <w:jc w:val="both"/>
              <w:rPr>
                <w:rFonts w:ascii="Arial" w:hAnsi="Arial" w:cs="Arial"/>
                <w:b/>
                <w:sz w:val="22"/>
                <w:szCs w:val="22"/>
              </w:rPr>
            </w:pPr>
            <w:r w:rsidRPr="00684535">
              <w:rPr>
                <w:rFonts w:ascii="Arial" w:hAnsi="Arial" w:cs="Arial"/>
                <w:b/>
                <w:sz w:val="22"/>
                <w:szCs w:val="22"/>
              </w:rPr>
              <w:lastRenderedPageBreak/>
              <w:t>Entity</w:t>
            </w:r>
          </w:p>
        </w:tc>
        <w:tc>
          <w:tcPr>
            <w:tcW w:w="3177" w:type="dxa"/>
            <w:shd w:val="clear" w:color="auto" w:fill="DAEEF3" w:themeFill="accent5" w:themeFillTint="33"/>
          </w:tcPr>
          <w:p w:rsidR="00697311" w:rsidRPr="00684535" w:rsidRDefault="00697311" w:rsidP="00684535">
            <w:pPr>
              <w:spacing w:before="100" w:beforeAutospacing="1" w:after="100" w:afterAutospacing="1"/>
              <w:contextualSpacing/>
              <w:jc w:val="both"/>
              <w:rPr>
                <w:rFonts w:ascii="Arial" w:hAnsi="Arial" w:cs="Arial"/>
                <w:b/>
                <w:sz w:val="22"/>
                <w:szCs w:val="22"/>
              </w:rPr>
            </w:pPr>
            <w:r w:rsidRPr="00684535">
              <w:rPr>
                <w:rFonts w:ascii="Arial" w:hAnsi="Arial" w:cs="Arial"/>
                <w:b/>
                <w:sz w:val="22"/>
                <w:szCs w:val="22"/>
              </w:rPr>
              <w:t>(a)(i)</w:t>
            </w:r>
          </w:p>
        </w:tc>
        <w:tc>
          <w:tcPr>
            <w:tcW w:w="2835" w:type="dxa"/>
            <w:shd w:val="clear" w:color="auto" w:fill="DAEEF3" w:themeFill="accent5" w:themeFillTint="33"/>
          </w:tcPr>
          <w:p w:rsidR="00697311" w:rsidRPr="00684535" w:rsidRDefault="00697311" w:rsidP="00684535">
            <w:pPr>
              <w:spacing w:before="100" w:beforeAutospacing="1" w:after="100" w:afterAutospacing="1"/>
              <w:contextualSpacing/>
              <w:jc w:val="both"/>
              <w:rPr>
                <w:rFonts w:ascii="Arial" w:eastAsia="Calibri" w:hAnsi="Arial" w:cs="Arial"/>
                <w:b/>
                <w:sz w:val="22"/>
                <w:szCs w:val="22"/>
                <w:lang w:val="en-ZA"/>
              </w:rPr>
            </w:pPr>
            <w:r w:rsidRPr="00684535">
              <w:rPr>
                <w:rFonts w:ascii="Arial" w:eastAsia="Calibri" w:hAnsi="Arial" w:cs="Arial"/>
                <w:b/>
                <w:sz w:val="22"/>
                <w:szCs w:val="22"/>
                <w:lang w:val="en-ZA"/>
              </w:rPr>
              <w:t>(a)(ii)</w:t>
            </w:r>
          </w:p>
        </w:tc>
        <w:tc>
          <w:tcPr>
            <w:tcW w:w="2268" w:type="dxa"/>
            <w:shd w:val="clear" w:color="auto" w:fill="DAEEF3" w:themeFill="accent5" w:themeFillTint="33"/>
          </w:tcPr>
          <w:p w:rsidR="00697311" w:rsidRPr="00684535" w:rsidRDefault="00697311" w:rsidP="00684535">
            <w:pPr>
              <w:spacing w:before="100" w:beforeAutospacing="1" w:after="100" w:afterAutospacing="1"/>
              <w:contextualSpacing/>
              <w:jc w:val="both"/>
              <w:rPr>
                <w:rFonts w:ascii="Arial" w:hAnsi="Arial" w:cs="Arial"/>
                <w:b/>
                <w:sz w:val="22"/>
                <w:szCs w:val="22"/>
              </w:rPr>
            </w:pPr>
            <w:r w:rsidRPr="00684535">
              <w:rPr>
                <w:rFonts w:ascii="Arial" w:hAnsi="Arial" w:cs="Arial"/>
                <w:b/>
                <w:sz w:val="22"/>
                <w:szCs w:val="22"/>
              </w:rPr>
              <w:t>(b)(i)</w:t>
            </w:r>
          </w:p>
        </w:tc>
        <w:tc>
          <w:tcPr>
            <w:tcW w:w="2410" w:type="dxa"/>
            <w:shd w:val="clear" w:color="auto" w:fill="DAEEF3" w:themeFill="accent5" w:themeFillTint="33"/>
          </w:tcPr>
          <w:p w:rsidR="00697311" w:rsidRPr="00684535" w:rsidRDefault="00697311" w:rsidP="00684535">
            <w:pPr>
              <w:spacing w:before="100" w:beforeAutospacing="1" w:after="100" w:afterAutospacing="1"/>
              <w:contextualSpacing/>
              <w:jc w:val="both"/>
              <w:rPr>
                <w:rFonts w:ascii="Arial" w:hAnsi="Arial" w:cs="Arial"/>
                <w:b/>
                <w:sz w:val="22"/>
                <w:szCs w:val="22"/>
              </w:rPr>
            </w:pPr>
            <w:r w:rsidRPr="00684535">
              <w:rPr>
                <w:rFonts w:ascii="Arial" w:hAnsi="Arial" w:cs="Arial"/>
                <w:b/>
                <w:sz w:val="22"/>
                <w:szCs w:val="22"/>
              </w:rPr>
              <w:t>(b)(ii)</w:t>
            </w:r>
          </w:p>
        </w:tc>
        <w:tc>
          <w:tcPr>
            <w:tcW w:w="2551" w:type="dxa"/>
            <w:shd w:val="clear" w:color="auto" w:fill="DAEEF3" w:themeFill="accent5" w:themeFillTint="33"/>
          </w:tcPr>
          <w:p w:rsidR="00697311" w:rsidRPr="00684535" w:rsidRDefault="00697311" w:rsidP="00684535">
            <w:pPr>
              <w:spacing w:before="100" w:beforeAutospacing="1" w:after="100" w:afterAutospacing="1"/>
              <w:contextualSpacing/>
              <w:jc w:val="both"/>
              <w:rPr>
                <w:rFonts w:ascii="Arial" w:hAnsi="Arial" w:cs="Arial"/>
                <w:b/>
                <w:sz w:val="22"/>
                <w:szCs w:val="22"/>
              </w:rPr>
            </w:pPr>
            <w:r w:rsidRPr="00684535">
              <w:rPr>
                <w:rFonts w:ascii="Arial" w:hAnsi="Arial" w:cs="Arial"/>
                <w:b/>
                <w:sz w:val="22"/>
                <w:szCs w:val="22"/>
              </w:rPr>
              <w:t>(b)(iii)</w:t>
            </w:r>
          </w:p>
        </w:tc>
      </w:tr>
      <w:tr w:rsidR="0000762B" w:rsidRPr="00684535" w:rsidTr="00684535">
        <w:tc>
          <w:tcPr>
            <w:tcW w:w="1978" w:type="dxa"/>
          </w:tcPr>
          <w:p w:rsidR="0000762B" w:rsidRPr="00684535" w:rsidRDefault="0000762B"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Department of Water and sanitation</w:t>
            </w:r>
          </w:p>
        </w:tc>
        <w:tc>
          <w:tcPr>
            <w:tcW w:w="3177" w:type="dxa"/>
          </w:tcPr>
          <w:p w:rsidR="0000762B" w:rsidRPr="00684535" w:rsidRDefault="0000762B"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The numbers of cases relating to the Prevention and Combating of Corrupt Activities Act, Act 12 of 2004, as amended, which have been referred to the SA Police Service (SAPS) by our Department, are Twelve (12) cases.</w:t>
            </w:r>
          </w:p>
        </w:tc>
        <w:tc>
          <w:tcPr>
            <w:tcW w:w="2835" w:type="dxa"/>
          </w:tcPr>
          <w:p w:rsidR="0000762B" w:rsidRPr="00684535" w:rsidRDefault="0000762B"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There are no cases referred to Directorate for Priority Crime Investigation (DPCI) by our Department.</w:t>
            </w:r>
          </w:p>
        </w:tc>
        <w:tc>
          <w:tcPr>
            <w:tcW w:w="2268" w:type="dxa"/>
          </w:tcPr>
          <w:p w:rsidR="0000762B" w:rsidRPr="00684535" w:rsidRDefault="0000762B" w:rsidP="00684535">
            <w:pPr>
              <w:contextualSpacing/>
              <w:jc w:val="both"/>
              <w:rPr>
                <w:rFonts w:ascii="Arial" w:hAnsi="Arial" w:cs="Arial"/>
                <w:sz w:val="22"/>
                <w:szCs w:val="22"/>
              </w:rPr>
            </w:pPr>
            <w:r w:rsidRPr="00684535">
              <w:rPr>
                <w:rFonts w:ascii="Arial" w:hAnsi="Arial" w:cs="Arial"/>
                <w:sz w:val="22"/>
                <w:szCs w:val="22"/>
              </w:rPr>
              <w:t>Refer to (a) above.</w:t>
            </w:r>
          </w:p>
        </w:tc>
        <w:tc>
          <w:tcPr>
            <w:tcW w:w="2410" w:type="dxa"/>
          </w:tcPr>
          <w:p w:rsidR="0000762B" w:rsidRPr="00684535" w:rsidRDefault="0000762B" w:rsidP="00684535">
            <w:pPr>
              <w:contextualSpacing/>
              <w:jc w:val="both"/>
              <w:rPr>
                <w:rFonts w:ascii="Arial" w:hAnsi="Arial" w:cs="Arial"/>
                <w:sz w:val="22"/>
                <w:szCs w:val="22"/>
              </w:rPr>
            </w:pPr>
            <w:r w:rsidRPr="00684535">
              <w:rPr>
                <w:rFonts w:ascii="Arial" w:hAnsi="Arial" w:cs="Arial"/>
                <w:sz w:val="22"/>
                <w:szCs w:val="22"/>
              </w:rPr>
              <w:t>Our Department is continuously following up regularly with SAPS regarding the Twelve (12) cases to ensure that investigations are still taking place.</w:t>
            </w:r>
          </w:p>
        </w:tc>
        <w:tc>
          <w:tcPr>
            <w:tcW w:w="2551" w:type="dxa"/>
          </w:tcPr>
          <w:p w:rsidR="0000762B" w:rsidRPr="00684535" w:rsidRDefault="0000762B" w:rsidP="00684535">
            <w:pPr>
              <w:contextualSpacing/>
              <w:jc w:val="both"/>
              <w:rPr>
                <w:rFonts w:ascii="Arial" w:hAnsi="Arial" w:cs="Arial"/>
                <w:sz w:val="22"/>
                <w:szCs w:val="22"/>
              </w:rPr>
            </w:pPr>
            <w:r w:rsidRPr="00684535">
              <w:rPr>
                <w:rFonts w:ascii="Arial" w:hAnsi="Arial" w:cs="Arial"/>
                <w:sz w:val="22"/>
                <w:szCs w:val="22"/>
              </w:rPr>
              <w:t>No conviction relating to the cases for the periods 2012/2013 until 2017/2018 financial years which are still in progress with SAPS.</w:t>
            </w:r>
          </w:p>
        </w:tc>
      </w:tr>
      <w:tr w:rsidR="00817432" w:rsidRPr="00684535" w:rsidTr="00684535">
        <w:tc>
          <w:tcPr>
            <w:tcW w:w="1978" w:type="dxa"/>
          </w:tcPr>
          <w:p w:rsidR="00817432" w:rsidRPr="00684535" w:rsidRDefault="00817432"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Amatola Water</w:t>
            </w:r>
          </w:p>
          <w:p w:rsidR="00817432" w:rsidRPr="00684535" w:rsidRDefault="00817432" w:rsidP="00684535">
            <w:pPr>
              <w:spacing w:before="100" w:beforeAutospacing="1" w:after="100" w:afterAutospacing="1"/>
              <w:contextualSpacing/>
              <w:jc w:val="both"/>
              <w:rPr>
                <w:rFonts w:ascii="Arial" w:hAnsi="Arial" w:cs="Arial"/>
                <w:sz w:val="22"/>
                <w:szCs w:val="22"/>
              </w:rPr>
            </w:pPr>
          </w:p>
        </w:tc>
        <w:tc>
          <w:tcPr>
            <w:tcW w:w="3177" w:type="dxa"/>
          </w:tcPr>
          <w:p w:rsidR="00817432" w:rsidRPr="00684535" w:rsidRDefault="00817432"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None</w:t>
            </w:r>
          </w:p>
        </w:tc>
        <w:tc>
          <w:tcPr>
            <w:tcW w:w="2835" w:type="dxa"/>
          </w:tcPr>
          <w:p w:rsidR="00817432" w:rsidRPr="00684535" w:rsidRDefault="00817432"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 xml:space="preserve">None  </w:t>
            </w:r>
          </w:p>
        </w:tc>
        <w:tc>
          <w:tcPr>
            <w:tcW w:w="2268" w:type="dxa"/>
          </w:tcPr>
          <w:p w:rsidR="00817432" w:rsidRPr="00684535" w:rsidRDefault="00817432" w:rsidP="00684535">
            <w:pPr>
              <w:contextualSpacing/>
              <w:jc w:val="both"/>
              <w:rPr>
                <w:rFonts w:ascii="Arial" w:hAnsi="Arial" w:cs="Arial"/>
                <w:sz w:val="22"/>
                <w:szCs w:val="22"/>
              </w:rPr>
            </w:pPr>
            <w:r w:rsidRPr="00684535">
              <w:rPr>
                <w:rFonts w:ascii="Arial" w:hAnsi="Arial" w:cs="Arial"/>
                <w:sz w:val="22"/>
                <w:szCs w:val="22"/>
              </w:rPr>
              <w:t xml:space="preserve">None </w:t>
            </w:r>
          </w:p>
        </w:tc>
        <w:tc>
          <w:tcPr>
            <w:tcW w:w="2410" w:type="dxa"/>
          </w:tcPr>
          <w:p w:rsidR="00817432" w:rsidRPr="00684535" w:rsidRDefault="00817432" w:rsidP="00684535">
            <w:pPr>
              <w:contextualSpacing/>
              <w:jc w:val="both"/>
              <w:rPr>
                <w:rFonts w:ascii="Arial" w:hAnsi="Arial" w:cs="Arial"/>
                <w:sz w:val="22"/>
                <w:szCs w:val="22"/>
              </w:rPr>
            </w:pPr>
            <w:r w:rsidRPr="00684535">
              <w:rPr>
                <w:rFonts w:ascii="Arial" w:hAnsi="Arial" w:cs="Arial"/>
                <w:sz w:val="22"/>
                <w:szCs w:val="22"/>
              </w:rPr>
              <w:t xml:space="preserve">None </w:t>
            </w:r>
          </w:p>
        </w:tc>
        <w:tc>
          <w:tcPr>
            <w:tcW w:w="2551" w:type="dxa"/>
          </w:tcPr>
          <w:p w:rsidR="00817432" w:rsidRPr="00684535" w:rsidRDefault="00817432" w:rsidP="00684535">
            <w:pPr>
              <w:contextualSpacing/>
              <w:jc w:val="both"/>
              <w:rPr>
                <w:rFonts w:ascii="Arial" w:hAnsi="Arial" w:cs="Arial"/>
                <w:sz w:val="22"/>
                <w:szCs w:val="22"/>
              </w:rPr>
            </w:pPr>
            <w:r w:rsidRPr="00684535">
              <w:rPr>
                <w:rFonts w:ascii="Arial" w:hAnsi="Arial" w:cs="Arial"/>
                <w:sz w:val="22"/>
                <w:szCs w:val="22"/>
              </w:rPr>
              <w:t xml:space="preserve">None </w:t>
            </w:r>
          </w:p>
        </w:tc>
      </w:tr>
      <w:tr w:rsidR="00817432" w:rsidRPr="00684535" w:rsidTr="00684535">
        <w:tc>
          <w:tcPr>
            <w:tcW w:w="1978" w:type="dxa"/>
          </w:tcPr>
          <w:p w:rsidR="00817432" w:rsidRPr="00684535" w:rsidRDefault="00817432"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Bloem Water</w:t>
            </w:r>
          </w:p>
        </w:tc>
        <w:tc>
          <w:tcPr>
            <w:tcW w:w="3177" w:type="dxa"/>
          </w:tcPr>
          <w:p w:rsidR="00817432" w:rsidRPr="00684535" w:rsidRDefault="00817432" w:rsidP="00684535">
            <w:pPr>
              <w:pStyle w:val="PlainText"/>
              <w:contextualSpacing/>
              <w:jc w:val="both"/>
              <w:rPr>
                <w:rFonts w:ascii="Arial" w:hAnsi="Arial" w:cs="Arial"/>
                <w:szCs w:val="22"/>
              </w:rPr>
            </w:pPr>
            <w:r w:rsidRPr="00684535">
              <w:rPr>
                <w:rFonts w:ascii="Arial" w:hAnsi="Arial" w:cs="Arial"/>
                <w:szCs w:val="22"/>
              </w:rPr>
              <w:t xml:space="preserve">None </w:t>
            </w:r>
          </w:p>
        </w:tc>
        <w:tc>
          <w:tcPr>
            <w:tcW w:w="2835" w:type="dxa"/>
          </w:tcPr>
          <w:p w:rsidR="00817432" w:rsidRPr="00684535" w:rsidRDefault="00817432" w:rsidP="00684535">
            <w:pPr>
              <w:pStyle w:val="PlainText"/>
              <w:contextualSpacing/>
              <w:jc w:val="both"/>
              <w:rPr>
                <w:szCs w:val="22"/>
              </w:rPr>
            </w:pPr>
            <w:r w:rsidRPr="00684535">
              <w:rPr>
                <w:rFonts w:ascii="Arial" w:hAnsi="Arial" w:cs="Arial"/>
                <w:szCs w:val="22"/>
              </w:rPr>
              <w:t>One (1) case of fraud and corruption is under investigation by the Directorate for Priority Crime Investigation, Bloemfontein Free State against an employee who has since terminated her services by taking early retirement.</w:t>
            </w:r>
          </w:p>
        </w:tc>
        <w:tc>
          <w:tcPr>
            <w:tcW w:w="2268" w:type="dxa"/>
          </w:tcPr>
          <w:p w:rsidR="00817432" w:rsidRPr="00684535" w:rsidRDefault="00817432"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One (1): case is still being investigated</w:t>
            </w:r>
          </w:p>
        </w:tc>
        <w:tc>
          <w:tcPr>
            <w:tcW w:w="2410" w:type="dxa"/>
          </w:tcPr>
          <w:p w:rsidR="00817432" w:rsidRPr="00684535" w:rsidRDefault="00817432"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The matter is followed-up periodically</w:t>
            </w:r>
          </w:p>
          <w:p w:rsidR="00817432" w:rsidRPr="00684535" w:rsidRDefault="00817432"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The incumbent is no longer an employee of Bloem Water</w:t>
            </w:r>
          </w:p>
        </w:tc>
        <w:tc>
          <w:tcPr>
            <w:tcW w:w="2551" w:type="dxa"/>
          </w:tcPr>
          <w:p w:rsidR="00817432" w:rsidRPr="00684535" w:rsidRDefault="00817432"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No conviction: investigation is on-going</w:t>
            </w:r>
          </w:p>
        </w:tc>
      </w:tr>
      <w:tr w:rsidR="00697311" w:rsidRPr="00684535" w:rsidTr="00684535">
        <w:tc>
          <w:tcPr>
            <w:tcW w:w="1978" w:type="dxa"/>
          </w:tcPr>
          <w:p w:rsidR="00697311" w:rsidRPr="00684535" w:rsidRDefault="00697311"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Lepelle Northern Water</w:t>
            </w:r>
          </w:p>
        </w:tc>
        <w:tc>
          <w:tcPr>
            <w:tcW w:w="3177" w:type="dxa"/>
          </w:tcPr>
          <w:p w:rsidR="00697311" w:rsidRPr="00684535" w:rsidRDefault="00675008"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The number of cases relating to the Prevention and Combating of Corrupt Activities Act, Act 12 of 2004, as amended, which have been referred to the SA Police Service (SAPS) by our Entity, is 1 (one).</w:t>
            </w:r>
          </w:p>
        </w:tc>
        <w:tc>
          <w:tcPr>
            <w:tcW w:w="2835" w:type="dxa"/>
          </w:tcPr>
          <w:p w:rsidR="00697311" w:rsidRPr="00684535" w:rsidRDefault="00675008"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 xml:space="preserve">There are no cases referred to Directorate for Priority Crime Investigation (DPCI) by </w:t>
            </w:r>
            <w:r w:rsidR="00684535">
              <w:rPr>
                <w:rFonts w:ascii="Arial" w:hAnsi="Arial" w:cs="Arial"/>
                <w:sz w:val="22"/>
                <w:szCs w:val="22"/>
              </w:rPr>
              <w:t>Lepelle Northern Water</w:t>
            </w:r>
            <w:r w:rsidRPr="00684535">
              <w:rPr>
                <w:rFonts w:ascii="Arial" w:hAnsi="Arial" w:cs="Arial"/>
                <w:sz w:val="22"/>
                <w:szCs w:val="22"/>
              </w:rPr>
              <w:t>.</w:t>
            </w:r>
          </w:p>
        </w:tc>
        <w:tc>
          <w:tcPr>
            <w:tcW w:w="2268" w:type="dxa"/>
          </w:tcPr>
          <w:p w:rsidR="00697311" w:rsidRPr="00684535" w:rsidRDefault="00675008"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 xml:space="preserve">Refer to (a) above.  </w:t>
            </w:r>
          </w:p>
        </w:tc>
        <w:tc>
          <w:tcPr>
            <w:tcW w:w="2410" w:type="dxa"/>
          </w:tcPr>
          <w:p w:rsidR="00697311" w:rsidRPr="00684535" w:rsidRDefault="00675008"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Our Entity is continuously following up regularly with SAPS regarding the one case to ensure that investigations are still taking place.</w:t>
            </w:r>
          </w:p>
        </w:tc>
        <w:tc>
          <w:tcPr>
            <w:tcW w:w="2551" w:type="dxa"/>
          </w:tcPr>
          <w:p w:rsidR="00675008" w:rsidRPr="00684535" w:rsidRDefault="00675008"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No conviction relating to the case.</w:t>
            </w:r>
            <w:r w:rsidRPr="00684535">
              <w:rPr>
                <w:rFonts w:ascii="Arial" w:hAnsi="Arial" w:cs="Arial"/>
                <w:sz w:val="22"/>
                <w:szCs w:val="22"/>
              </w:rPr>
              <w:tab/>
            </w:r>
          </w:p>
          <w:p w:rsidR="00697311" w:rsidRPr="00684535" w:rsidRDefault="00697311" w:rsidP="00684535">
            <w:pPr>
              <w:contextualSpacing/>
              <w:jc w:val="both"/>
              <w:rPr>
                <w:rFonts w:ascii="Arial" w:hAnsi="Arial" w:cs="Arial"/>
                <w:sz w:val="22"/>
                <w:szCs w:val="22"/>
              </w:rPr>
            </w:pPr>
          </w:p>
        </w:tc>
      </w:tr>
      <w:tr w:rsidR="00326A1D" w:rsidRPr="00684535" w:rsidTr="00684535">
        <w:tc>
          <w:tcPr>
            <w:tcW w:w="1978" w:type="dxa"/>
          </w:tcPr>
          <w:p w:rsidR="00326A1D" w:rsidRPr="00684535" w:rsidRDefault="00326A1D"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Magalies Water</w:t>
            </w:r>
          </w:p>
        </w:tc>
        <w:tc>
          <w:tcPr>
            <w:tcW w:w="3177" w:type="dxa"/>
          </w:tcPr>
          <w:p w:rsidR="00326A1D" w:rsidRPr="00684535" w:rsidRDefault="00326A1D" w:rsidP="00684535">
            <w:pPr>
              <w:contextualSpacing/>
              <w:jc w:val="both"/>
              <w:rPr>
                <w:rFonts w:ascii="Arial" w:hAnsi="Arial" w:cs="Arial"/>
                <w:sz w:val="22"/>
                <w:szCs w:val="22"/>
              </w:rPr>
            </w:pPr>
            <w:r w:rsidRPr="00684535">
              <w:rPr>
                <w:rFonts w:ascii="Arial" w:hAnsi="Arial" w:cs="Arial"/>
                <w:sz w:val="22"/>
                <w:szCs w:val="22"/>
              </w:rPr>
              <w:t xml:space="preserve">1. Two (2) Cases of corruption and fraud were reported to the SAPS in 2013 against an employee who has since then, resigned. </w:t>
            </w:r>
          </w:p>
          <w:p w:rsidR="00326A1D" w:rsidRPr="00684535" w:rsidRDefault="00326A1D" w:rsidP="00684535">
            <w:pPr>
              <w:contextualSpacing/>
              <w:jc w:val="both"/>
              <w:rPr>
                <w:rFonts w:ascii="Arial" w:hAnsi="Arial" w:cs="Arial"/>
                <w:sz w:val="22"/>
                <w:szCs w:val="22"/>
              </w:rPr>
            </w:pPr>
          </w:p>
          <w:p w:rsidR="00326A1D" w:rsidRPr="00684535" w:rsidRDefault="00326A1D" w:rsidP="00684535">
            <w:pPr>
              <w:contextualSpacing/>
              <w:jc w:val="both"/>
              <w:rPr>
                <w:rFonts w:ascii="Arial" w:hAnsi="Arial" w:cs="Arial"/>
                <w:sz w:val="22"/>
                <w:szCs w:val="22"/>
              </w:rPr>
            </w:pPr>
            <w:r w:rsidRPr="00684535">
              <w:rPr>
                <w:rFonts w:ascii="Arial" w:hAnsi="Arial" w:cs="Arial"/>
                <w:sz w:val="22"/>
                <w:szCs w:val="22"/>
              </w:rPr>
              <w:t xml:space="preserve">2. The two (2) Cases were </w:t>
            </w:r>
            <w:r w:rsidRPr="00684535">
              <w:rPr>
                <w:rFonts w:ascii="Arial" w:hAnsi="Arial" w:cs="Arial"/>
                <w:sz w:val="22"/>
                <w:szCs w:val="22"/>
              </w:rPr>
              <w:lastRenderedPageBreak/>
              <w:t xml:space="preserve">back then consolidated into one (1) Case (Case Number OBD598072014). </w:t>
            </w:r>
          </w:p>
          <w:p w:rsidR="00326A1D" w:rsidRPr="00684535" w:rsidRDefault="00326A1D" w:rsidP="00684535">
            <w:pPr>
              <w:contextualSpacing/>
              <w:jc w:val="both"/>
              <w:rPr>
                <w:rFonts w:ascii="Arial" w:hAnsi="Arial" w:cs="Arial"/>
                <w:sz w:val="22"/>
                <w:szCs w:val="22"/>
              </w:rPr>
            </w:pPr>
          </w:p>
          <w:p w:rsidR="00326A1D" w:rsidRPr="00684535" w:rsidRDefault="00326A1D" w:rsidP="00684535">
            <w:pPr>
              <w:contextualSpacing/>
              <w:jc w:val="both"/>
              <w:rPr>
                <w:rFonts w:ascii="Arial" w:hAnsi="Arial" w:cs="Arial"/>
                <w:sz w:val="22"/>
                <w:szCs w:val="22"/>
              </w:rPr>
            </w:pPr>
            <w:r w:rsidRPr="00684535">
              <w:rPr>
                <w:rFonts w:ascii="Arial" w:hAnsi="Arial" w:cs="Arial"/>
                <w:sz w:val="22"/>
                <w:szCs w:val="22"/>
              </w:rPr>
              <w:t xml:space="preserve">3. With all the periodical requests for feedback from the SAPS, we get a standard answer that investigation is still on- going. </w:t>
            </w:r>
          </w:p>
          <w:p w:rsidR="00326A1D" w:rsidRPr="00684535" w:rsidRDefault="00326A1D" w:rsidP="00684535">
            <w:pPr>
              <w:contextualSpacing/>
              <w:jc w:val="both"/>
              <w:rPr>
                <w:rFonts w:ascii="Arial" w:hAnsi="Arial" w:cs="Arial"/>
                <w:sz w:val="22"/>
                <w:szCs w:val="22"/>
              </w:rPr>
            </w:pPr>
          </w:p>
          <w:p w:rsidR="00326A1D" w:rsidRPr="00684535" w:rsidRDefault="00326A1D" w:rsidP="00684535">
            <w:pPr>
              <w:contextualSpacing/>
              <w:jc w:val="both"/>
              <w:rPr>
                <w:rFonts w:ascii="Arial" w:hAnsi="Arial" w:cs="Arial"/>
                <w:sz w:val="22"/>
                <w:szCs w:val="22"/>
              </w:rPr>
            </w:pPr>
            <w:r w:rsidRPr="00684535">
              <w:rPr>
                <w:rFonts w:ascii="Arial" w:hAnsi="Arial" w:cs="Arial"/>
                <w:sz w:val="22"/>
                <w:szCs w:val="22"/>
              </w:rPr>
              <w:t>4. We are of the opinion that the Police have not made any progress with respect to the finalisation of this Case.</w:t>
            </w:r>
          </w:p>
        </w:tc>
        <w:tc>
          <w:tcPr>
            <w:tcW w:w="2835" w:type="dxa"/>
          </w:tcPr>
          <w:p w:rsidR="00326A1D" w:rsidRPr="00684535" w:rsidRDefault="00326A1D" w:rsidP="00326A1D">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lastRenderedPageBreak/>
              <w:t xml:space="preserve">There are no cases referred to Directorate for Priority Crime Investigation (DPCI) by </w:t>
            </w:r>
            <w:r>
              <w:rPr>
                <w:rFonts w:ascii="Arial" w:hAnsi="Arial" w:cs="Arial"/>
                <w:sz w:val="22"/>
                <w:szCs w:val="22"/>
              </w:rPr>
              <w:t>Magalies Water</w:t>
            </w:r>
            <w:r w:rsidRPr="00684535">
              <w:rPr>
                <w:rFonts w:ascii="Arial" w:hAnsi="Arial" w:cs="Arial"/>
                <w:sz w:val="22"/>
                <w:szCs w:val="22"/>
              </w:rPr>
              <w:t>.</w:t>
            </w:r>
          </w:p>
        </w:tc>
        <w:tc>
          <w:tcPr>
            <w:tcW w:w="2268" w:type="dxa"/>
          </w:tcPr>
          <w:p w:rsidR="00326A1D" w:rsidRPr="00684535" w:rsidRDefault="00326A1D" w:rsidP="00684535">
            <w:pPr>
              <w:contextualSpacing/>
              <w:jc w:val="both"/>
              <w:rPr>
                <w:rFonts w:ascii="Arial" w:hAnsi="Arial" w:cs="Arial"/>
                <w:sz w:val="22"/>
                <w:szCs w:val="22"/>
              </w:rPr>
            </w:pPr>
            <w:r w:rsidRPr="00684535">
              <w:rPr>
                <w:rFonts w:ascii="Arial" w:hAnsi="Arial" w:cs="Arial"/>
                <w:sz w:val="22"/>
                <w:szCs w:val="22"/>
              </w:rPr>
              <w:t>Only the 2-in-1 Case referred to under (a</w:t>
            </w:r>
            <w:proofErr w:type="gramStart"/>
            <w:r w:rsidRPr="00684535">
              <w:rPr>
                <w:rFonts w:ascii="Arial" w:hAnsi="Arial" w:cs="Arial"/>
                <w:sz w:val="22"/>
                <w:szCs w:val="22"/>
              </w:rPr>
              <w:t>)(</w:t>
            </w:r>
            <w:proofErr w:type="gramEnd"/>
            <w:r w:rsidRPr="00684535">
              <w:rPr>
                <w:rFonts w:ascii="Arial" w:hAnsi="Arial" w:cs="Arial"/>
                <w:sz w:val="22"/>
                <w:szCs w:val="22"/>
              </w:rPr>
              <w:t>i) (Case Number OBD598072014) which is still being investigated by the SAPS since in 2013.</w:t>
            </w:r>
          </w:p>
        </w:tc>
        <w:tc>
          <w:tcPr>
            <w:tcW w:w="2410" w:type="dxa"/>
          </w:tcPr>
          <w:p w:rsidR="00326A1D" w:rsidRPr="00684535" w:rsidRDefault="00326A1D" w:rsidP="00684535">
            <w:pPr>
              <w:contextualSpacing/>
              <w:jc w:val="both"/>
              <w:rPr>
                <w:rFonts w:ascii="Arial" w:hAnsi="Arial" w:cs="Arial"/>
                <w:sz w:val="22"/>
                <w:szCs w:val="22"/>
              </w:rPr>
            </w:pPr>
            <w:r w:rsidRPr="00684535">
              <w:rPr>
                <w:rFonts w:ascii="Arial" w:hAnsi="Arial" w:cs="Arial"/>
                <w:sz w:val="22"/>
                <w:szCs w:val="22"/>
              </w:rPr>
              <w:t>Periodic follow ups on this one (1) Case (Case Number OBD598072014) of 2013 continue; but</w:t>
            </w:r>
          </w:p>
          <w:p w:rsidR="00326A1D" w:rsidRPr="00684535" w:rsidRDefault="00326A1D" w:rsidP="00684535">
            <w:pPr>
              <w:contextualSpacing/>
              <w:jc w:val="both"/>
              <w:rPr>
                <w:rFonts w:ascii="Arial" w:hAnsi="Arial" w:cs="Arial"/>
                <w:sz w:val="22"/>
                <w:szCs w:val="22"/>
              </w:rPr>
            </w:pPr>
          </w:p>
          <w:p w:rsidR="00326A1D" w:rsidRPr="00684535" w:rsidRDefault="00326A1D" w:rsidP="00684535">
            <w:pPr>
              <w:contextualSpacing/>
              <w:jc w:val="both"/>
              <w:rPr>
                <w:rFonts w:ascii="Arial" w:hAnsi="Arial" w:cs="Arial"/>
                <w:sz w:val="22"/>
                <w:szCs w:val="22"/>
              </w:rPr>
            </w:pPr>
            <w:r w:rsidRPr="00684535">
              <w:rPr>
                <w:rFonts w:ascii="Arial" w:hAnsi="Arial" w:cs="Arial"/>
                <w:sz w:val="22"/>
                <w:szCs w:val="22"/>
              </w:rPr>
              <w:t xml:space="preserve">2. The incumbent is </w:t>
            </w:r>
            <w:r w:rsidRPr="00684535">
              <w:rPr>
                <w:rFonts w:ascii="Arial" w:hAnsi="Arial" w:cs="Arial"/>
                <w:sz w:val="22"/>
                <w:szCs w:val="22"/>
              </w:rPr>
              <w:lastRenderedPageBreak/>
              <w:t>also no longer an employee of Magalies Water.</w:t>
            </w:r>
          </w:p>
        </w:tc>
        <w:tc>
          <w:tcPr>
            <w:tcW w:w="2551" w:type="dxa"/>
          </w:tcPr>
          <w:p w:rsidR="00326A1D" w:rsidRPr="00684535" w:rsidRDefault="00326A1D" w:rsidP="00684535">
            <w:pPr>
              <w:contextualSpacing/>
              <w:jc w:val="both"/>
              <w:rPr>
                <w:rFonts w:ascii="Arial" w:hAnsi="Arial" w:cs="Arial"/>
                <w:sz w:val="22"/>
                <w:szCs w:val="22"/>
              </w:rPr>
            </w:pPr>
            <w:r w:rsidRPr="00684535">
              <w:rPr>
                <w:rFonts w:ascii="Arial" w:hAnsi="Arial" w:cs="Arial"/>
                <w:sz w:val="22"/>
                <w:szCs w:val="22"/>
              </w:rPr>
              <w:lastRenderedPageBreak/>
              <w:t>The response already showing in this Section hold true for Magalies Water.</w:t>
            </w:r>
          </w:p>
        </w:tc>
      </w:tr>
      <w:tr w:rsidR="00684535" w:rsidRPr="00684535" w:rsidTr="00684535">
        <w:tc>
          <w:tcPr>
            <w:tcW w:w="1978" w:type="dxa"/>
          </w:tcPr>
          <w:p w:rsidR="00684535" w:rsidRPr="00684535" w:rsidRDefault="00684535"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lastRenderedPageBreak/>
              <w:t xml:space="preserve">Mhlathuze Water </w:t>
            </w:r>
          </w:p>
        </w:tc>
        <w:tc>
          <w:tcPr>
            <w:tcW w:w="3177" w:type="dxa"/>
          </w:tcPr>
          <w:p w:rsidR="00684535" w:rsidRPr="00684535" w:rsidRDefault="00684535" w:rsidP="002D596A">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None</w:t>
            </w:r>
          </w:p>
        </w:tc>
        <w:tc>
          <w:tcPr>
            <w:tcW w:w="2835"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 xml:space="preserve">There are no cases referred to Directorate for Priority Crime Investigation (DPCI) by </w:t>
            </w:r>
            <w:r>
              <w:rPr>
                <w:rFonts w:ascii="Arial" w:hAnsi="Arial" w:cs="Arial"/>
                <w:sz w:val="22"/>
                <w:szCs w:val="22"/>
              </w:rPr>
              <w:t>Mhlathuze Water</w:t>
            </w:r>
            <w:r w:rsidRPr="00684535">
              <w:rPr>
                <w:rFonts w:ascii="Arial" w:hAnsi="Arial" w:cs="Arial"/>
                <w:sz w:val="22"/>
                <w:szCs w:val="22"/>
              </w:rPr>
              <w:t xml:space="preserve">  </w:t>
            </w:r>
          </w:p>
        </w:tc>
        <w:tc>
          <w:tcPr>
            <w:tcW w:w="2268"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 xml:space="preserve">Refer to (a) above.  </w:t>
            </w:r>
          </w:p>
        </w:tc>
        <w:tc>
          <w:tcPr>
            <w:tcW w:w="2410"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 xml:space="preserve">Refer to (a) above.  </w:t>
            </w:r>
          </w:p>
        </w:tc>
        <w:tc>
          <w:tcPr>
            <w:tcW w:w="2551"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 xml:space="preserve">Refer to (a) above.  </w:t>
            </w:r>
          </w:p>
        </w:tc>
      </w:tr>
      <w:tr w:rsidR="00697311" w:rsidRPr="00684535" w:rsidTr="00684535">
        <w:tc>
          <w:tcPr>
            <w:tcW w:w="1978" w:type="dxa"/>
          </w:tcPr>
          <w:p w:rsidR="00697311" w:rsidRPr="00684535" w:rsidRDefault="00697311"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Overberg Water</w:t>
            </w:r>
          </w:p>
        </w:tc>
        <w:tc>
          <w:tcPr>
            <w:tcW w:w="3177" w:type="dxa"/>
          </w:tcPr>
          <w:p w:rsidR="00697311" w:rsidRPr="00684535" w:rsidRDefault="00A62DB8" w:rsidP="00684535">
            <w:pPr>
              <w:contextualSpacing/>
              <w:jc w:val="both"/>
              <w:rPr>
                <w:rFonts w:ascii="Arial" w:hAnsi="Arial" w:cs="Arial"/>
                <w:sz w:val="22"/>
                <w:szCs w:val="22"/>
              </w:rPr>
            </w:pPr>
            <w:r w:rsidRPr="00684535">
              <w:rPr>
                <w:rFonts w:ascii="Arial" w:hAnsi="Arial" w:cs="Arial"/>
                <w:sz w:val="22"/>
                <w:szCs w:val="22"/>
              </w:rPr>
              <w:t>There is only one case reported in June 2018 but still in discussion with the SAP on the alleged fraud and corruption.</w:t>
            </w:r>
          </w:p>
        </w:tc>
        <w:tc>
          <w:tcPr>
            <w:tcW w:w="2835" w:type="dxa"/>
          </w:tcPr>
          <w:p w:rsidR="00697311" w:rsidRPr="00684535" w:rsidRDefault="00A62DB8" w:rsidP="00684535">
            <w:pPr>
              <w:contextualSpacing/>
              <w:jc w:val="both"/>
              <w:rPr>
                <w:rFonts w:ascii="Arial" w:hAnsi="Arial" w:cs="Arial"/>
                <w:sz w:val="22"/>
                <w:szCs w:val="22"/>
              </w:rPr>
            </w:pPr>
            <w:r w:rsidRPr="00684535">
              <w:rPr>
                <w:rFonts w:ascii="Arial" w:hAnsi="Arial" w:cs="Arial"/>
                <w:sz w:val="22"/>
                <w:szCs w:val="22"/>
              </w:rPr>
              <w:t>There are no cases referred to Directorate for Priority Crime Investigation (DPCI) by Overberg Water.</w:t>
            </w:r>
          </w:p>
        </w:tc>
        <w:tc>
          <w:tcPr>
            <w:tcW w:w="2268" w:type="dxa"/>
          </w:tcPr>
          <w:p w:rsidR="00697311" w:rsidRPr="00684535" w:rsidRDefault="00A62DB8" w:rsidP="00684535">
            <w:pPr>
              <w:contextualSpacing/>
              <w:jc w:val="both"/>
              <w:rPr>
                <w:rFonts w:ascii="Arial" w:hAnsi="Arial" w:cs="Arial"/>
                <w:sz w:val="22"/>
                <w:szCs w:val="22"/>
              </w:rPr>
            </w:pPr>
            <w:r w:rsidRPr="00684535">
              <w:rPr>
                <w:rFonts w:ascii="Arial" w:hAnsi="Arial" w:cs="Arial"/>
                <w:sz w:val="22"/>
                <w:szCs w:val="22"/>
              </w:rPr>
              <w:t xml:space="preserve">Refer to (a) above.  </w:t>
            </w:r>
          </w:p>
        </w:tc>
        <w:tc>
          <w:tcPr>
            <w:tcW w:w="2410" w:type="dxa"/>
          </w:tcPr>
          <w:p w:rsidR="00697311" w:rsidRPr="00684535" w:rsidRDefault="00A62DB8" w:rsidP="00684535">
            <w:pPr>
              <w:contextualSpacing/>
              <w:jc w:val="both"/>
              <w:rPr>
                <w:rFonts w:ascii="Arial" w:hAnsi="Arial" w:cs="Arial"/>
                <w:sz w:val="22"/>
                <w:szCs w:val="22"/>
              </w:rPr>
            </w:pPr>
            <w:r w:rsidRPr="00684535">
              <w:rPr>
                <w:rFonts w:ascii="Arial" w:hAnsi="Arial" w:cs="Arial"/>
                <w:sz w:val="22"/>
                <w:szCs w:val="22"/>
              </w:rPr>
              <w:t xml:space="preserve">Refer to (a) above.  </w:t>
            </w:r>
          </w:p>
        </w:tc>
        <w:tc>
          <w:tcPr>
            <w:tcW w:w="2551" w:type="dxa"/>
          </w:tcPr>
          <w:p w:rsidR="00697311" w:rsidRPr="00684535" w:rsidRDefault="00A62DB8" w:rsidP="00684535">
            <w:pPr>
              <w:contextualSpacing/>
              <w:jc w:val="both"/>
              <w:rPr>
                <w:rFonts w:ascii="Arial" w:hAnsi="Arial" w:cs="Arial"/>
                <w:sz w:val="22"/>
                <w:szCs w:val="22"/>
              </w:rPr>
            </w:pPr>
            <w:r w:rsidRPr="00684535">
              <w:rPr>
                <w:rFonts w:ascii="Arial" w:hAnsi="Arial" w:cs="Arial"/>
                <w:sz w:val="22"/>
                <w:szCs w:val="22"/>
              </w:rPr>
              <w:t>No conviction relating to the cases for the periods 2012/2013 until 2017/2018 financial years which are still in progress with SAPS.</w:t>
            </w:r>
          </w:p>
        </w:tc>
      </w:tr>
      <w:tr w:rsidR="00684535" w:rsidRPr="00684535" w:rsidTr="00684535">
        <w:tc>
          <w:tcPr>
            <w:tcW w:w="1978" w:type="dxa"/>
          </w:tcPr>
          <w:p w:rsidR="00684535" w:rsidRPr="00684535" w:rsidRDefault="00684535"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Rand Water</w:t>
            </w:r>
          </w:p>
        </w:tc>
        <w:tc>
          <w:tcPr>
            <w:tcW w:w="3177"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Fourteen (14) cases were reported to the SAPS over the period 2004 to 2018</w:t>
            </w:r>
          </w:p>
        </w:tc>
        <w:tc>
          <w:tcPr>
            <w:tcW w:w="2835"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 xml:space="preserve">There are no cases referred to Directorate for Priority Crime Investigation (DPCI) by </w:t>
            </w:r>
            <w:r>
              <w:rPr>
                <w:rFonts w:ascii="Arial" w:hAnsi="Arial" w:cs="Arial"/>
                <w:sz w:val="22"/>
                <w:szCs w:val="22"/>
              </w:rPr>
              <w:t>Rand</w:t>
            </w:r>
            <w:r w:rsidRPr="00684535">
              <w:rPr>
                <w:rFonts w:ascii="Arial" w:hAnsi="Arial" w:cs="Arial"/>
                <w:sz w:val="22"/>
                <w:szCs w:val="22"/>
              </w:rPr>
              <w:t xml:space="preserve"> Water.</w:t>
            </w:r>
          </w:p>
        </w:tc>
        <w:tc>
          <w:tcPr>
            <w:tcW w:w="2268" w:type="dxa"/>
          </w:tcPr>
          <w:p w:rsidR="00684535" w:rsidRPr="00684535" w:rsidRDefault="00684535" w:rsidP="00684535">
            <w:pPr>
              <w:pStyle w:val="ListParagraph"/>
              <w:numPr>
                <w:ilvl w:val="0"/>
                <w:numId w:val="4"/>
              </w:numPr>
              <w:tabs>
                <w:tab w:val="left" w:pos="312"/>
              </w:tabs>
              <w:ind w:left="256" w:hanging="227"/>
              <w:jc w:val="both"/>
              <w:rPr>
                <w:rFonts w:ascii="Arial" w:hAnsi="Arial" w:cs="Arial"/>
                <w:sz w:val="22"/>
                <w:szCs w:val="22"/>
              </w:rPr>
            </w:pPr>
            <w:r w:rsidRPr="00684535">
              <w:rPr>
                <w:rFonts w:ascii="Arial" w:hAnsi="Arial" w:cs="Arial"/>
                <w:sz w:val="22"/>
                <w:szCs w:val="22"/>
              </w:rPr>
              <w:t>Eight (8) cases of fraud were reported to the SAPS over the period.</w:t>
            </w:r>
          </w:p>
          <w:p w:rsidR="00684535" w:rsidRPr="00684535" w:rsidRDefault="00684535" w:rsidP="00684535">
            <w:pPr>
              <w:pStyle w:val="ListParagraph"/>
              <w:numPr>
                <w:ilvl w:val="0"/>
                <w:numId w:val="4"/>
              </w:numPr>
              <w:tabs>
                <w:tab w:val="left" w:pos="312"/>
              </w:tabs>
              <w:ind w:left="256" w:hanging="227"/>
              <w:jc w:val="both"/>
              <w:rPr>
                <w:rFonts w:ascii="Arial" w:hAnsi="Arial" w:cs="Arial"/>
                <w:sz w:val="22"/>
                <w:szCs w:val="22"/>
              </w:rPr>
            </w:pPr>
            <w:r w:rsidRPr="00684535">
              <w:rPr>
                <w:rFonts w:ascii="Arial" w:hAnsi="Arial" w:cs="Arial"/>
                <w:sz w:val="22"/>
                <w:szCs w:val="22"/>
              </w:rPr>
              <w:t>One (1) case of embezzlement was reported to the SAPS</w:t>
            </w:r>
          </w:p>
          <w:p w:rsidR="00684535" w:rsidRPr="00684535" w:rsidRDefault="00684535" w:rsidP="00684535">
            <w:pPr>
              <w:pStyle w:val="ListParagraph"/>
              <w:numPr>
                <w:ilvl w:val="0"/>
                <w:numId w:val="4"/>
              </w:numPr>
              <w:tabs>
                <w:tab w:val="left" w:pos="312"/>
              </w:tabs>
              <w:ind w:left="346" w:hanging="317"/>
              <w:jc w:val="both"/>
              <w:rPr>
                <w:rFonts w:ascii="Arial" w:hAnsi="Arial" w:cs="Arial"/>
                <w:sz w:val="22"/>
                <w:szCs w:val="22"/>
              </w:rPr>
            </w:pPr>
            <w:r w:rsidRPr="00684535">
              <w:rPr>
                <w:rFonts w:ascii="Arial" w:hAnsi="Arial" w:cs="Arial"/>
                <w:sz w:val="22"/>
                <w:szCs w:val="22"/>
              </w:rPr>
              <w:t xml:space="preserve">Five (5) cases of theft were </w:t>
            </w:r>
            <w:r w:rsidRPr="00684535">
              <w:rPr>
                <w:rFonts w:ascii="Arial" w:hAnsi="Arial" w:cs="Arial"/>
                <w:sz w:val="22"/>
                <w:szCs w:val="22"/>
              </w:rPr>
              <w:lastRenderedPageBreak/>
              <w:t>reported to the SAPS</w:t>
            </w:r>
          </w:p>
        </w:tc>
        <w:tc>
          <w:tcPr>
            <w:tcW w:w="2410"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lastRenderedPageBreak/>
              <w:t>The entity is continuously following up regularly with SAPS regarding the cases to ensure that investigations are still taking place.</w:t>
            </w:r>
          </w:p>
        </w:tc>
        <w:tc>
          <w:tcPr>
            <w:tcW w:w="2551" w:type="dxa"/>
          </w:tcPr>
          <w:p w:rsidR="00684535" w:rsidRPr="00684535" w:rsidRDefault="00684535" w:rsidP="00684535">
            <w:pPr>
              <w:pStyle w:val="ListParagraph"/>
              <w:numPr>
                <w:ilvl w:val="0"/>
                <w:numId w:val="5"/>
              </w:numPr>
              <w:tabs>
                <w:tab w:val="left" w:pos="168"/>
              </w:tabs>
              <w:ind w:left="166" w:hanging="207"/>
              <w:jc w:val="both"/>
              <w:rPr>
                <w:rFonts w:ascii="Arial" w:hAnsi="Arial" w:cs="Arial"/>
                <w:sz w:val="22"/>
                <w:szCs w:val="22"/>
              </w:rPr>
            </w:pPr>
            <w:r w:rsidRPr="00684535">
              <w:rPr>
                <w:rFonts w:ascii="Arial" w:hAnsi="Arial" w:cs="Arial"/>
                <w:sz w:val="22"/>
                <w:szCs w:val="22"/>
              </w:rPr>
              <w:t>One (1) case of Fraud in 2008</w:t>
            </w:r>
          </w:p>
          <w:p w:rsidR="00684535" w:rsidRPr="00684535" w:rsidRDefault="00684535" w:rsidP="00684535">
            <w:pPr>
              <w:pStyle w:val="ListParagraph"/>
              <w:numPr>
                <w:ilvl w:val="0"/>
                <w:numId w:val="5"/>
              </w:numPr>
              <w:tabs>
                <w:tab w:val="left" w:pos="168"/>
              </w:tabs>
              <w:ind w:left="166" w:hanging="207"/>
              <w:jc w:val="both"/>
              <w:rPr>
                <w:rFonts w:ascii="Arial" w:hAnsi="Arial" w:cs="Arial"/>
                <w:sz w:val="22"/>
                <w:szCs w:val="22"/>
              </w:rPr>
            </w:pPr>
            <w:r w:rsidRPr="00684535">
              <w:rPr>
                <w:rFonts w:ascii="Arial" w:hAnsi="Arial" w:cs="Arial"/>
                <w:sz w:val="22"/>
                <w:szCs w:val="22"/>
              </w:rPr>
              <w:t>Two (2) cases of Theft in 2012</w:t>
            </w:r>
          </w:p>
          <w:p w:rsidR="00684535" w:rsidRPr="00684535" w:rsidRDefault="00684535" w:rsidP="00684535">
            <w:pPr>
              <w:pStyle w:val="ListParagraph"/>
              <w:numPr>
                <w:ilvl w:val="0"/>
                <w:numId w:val="5"/>
              </w:numPr>
              <w:tabs>
                <w:tab w:val="left" w:pos="168"/>
              </w:tabs>
              <w:ind w:left="166" w:hanging="207"/>
              <w:jc w:val="both"/>
              <w:rPr>
                <w:rFonts w:ascii="Arial" w:hAnsi="Arial" w:cs="Arial"/>
                <w:sz w:val="22"/>
                <w:szCs w:val="22"/>
              </w:rPr>
            </w:pPr>
            <w:r w:rsidRPr="00684535">
              <w:rPr>
                <w:rFonts w:ascii="Arial" w:hAnsi="Arial" w:cs="Arial"/>
                <w:sz w:val="22"/>
                <w:szCs w:val="22"/>
              </w:rPr>
              <w:t>Two (2) cases of Theft in 2016</w:t>
            </w:r>
          </w:p>
          <w:p w:rsidR="00684535" w:rsidRPr="00684535" w:rsidRDefault="00684535" w:rsidP="00684535">
            <w:pPr>
              <w:contextualSpacing/>
              <w:jc w:val="both"/>
              <w:rPr>
                <w:rFonts w:ascii="Arial" w:hAnsi="Arial" w:cs="Arial"/>
                <w:sz w:val="22"/>
                <w:szCs w:val="22"/>
              </w:rPr>
            </w:pPr>
          </w:p>
        </w:tc>
      </w:tr>
      <w:tr w:rsidR="00697311" w:rsidRPr="00684535" w:rsidTr="00684535">
        <w:tc>
          <w:tcPr>
            <w:tcW w:w="1978" w:type="dxa"/>
          </w:tcPr>
          <w:p w:rsidR="00697311" w:rsidRPr="00684535" w:rsidRDefault="00697311"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lastRenderedPageBreak/>
              <w:t>Sedibeng Water</w:t>
            </w:r>
          </w:p>
        </w:tc>
        <w:tc>
          <w:tcPr>
            <w:tcW w:w="3177" w:type="dxa"/>
          </w:tcPr>
          <w:p w:rsidR="00697311" w:rsidRPr="00684535" w:rsidRDefault="002E448B" w:rsidP="00684535">
            <w:pPr>
              <w:contextualSpacing/>
              <w:jc w:val="both"/>
              <w:rPr>
                <w:rFonts w:ascii="Arial" w:hAnsi="Arial" w:cs="Arial"/>
                <w:sz w:val="22"/>
                <w:szCs w:val="22"/>
              </w:rPr>
            </w:pPr>
            <w:r w:rsidRPr="00684535">
              <w:rPr>
                <w:rFonts w:ascii="Arial" w:hAnsi="Arial" w:cs="Arial"/>
                <w:sz w:val="22"/>
                <w:szCs w:val="22"/>
              </w:rPr>
              <w:t>The number</w:t>
            </w:r>
            <w:r w:rsidR="00684535">
              <w:rPr>
                <w:rFonts w:ascii="Arial" w:hAnsi="Arial" w:cs="Arial"/>
                <w:sz w:val="22"/>
                <w:szCs w:val="22"/>
              </w:rPr>
              <w:t>s</w:t>
            </w:r>
            <w:r w:rsidRPr="00684535">
              <w:rPr>
                <w:rFonts w:ascii="Arial" w:hAnsi="Arial" w:cs="Arial"/>
                <w:sz w:val="22"/>
                <w:szCs w:val="22"/>
              </w:rPr>
              <w:t xml:space="preserve"> of cases relating to the Prevention and Combating of Corrupt Activities Act, Act 12 of 2004, as amended, which have been referred to the SA Police Service (SAPS) by our Department, are five (5) cases.</w:t>
            </w:r>
          </w:p>
        </w:tc>
        <w:tc>
          <w:tcPr>
            <w:tcW w:w="2835" w:type="dxa"/>
          </w:tcPr>
          <w:p w:rsidR="00697311" w:rsidRPr="00684535" w:rsidRDefault="002E448B" w:rsidP="00684535">
            <w:pPr>
              <w:contextualSpacing/>
              <w:jc w:val="both"/>
              <w:rPr>
                <w:rFonts w:ascii="Arial" w:hAnsi="Arial" w:cs="Arial"/>
                <w:sz w:val="22"/>
                <w:szCs w:val="22"/>
              </w:rPr>
            </w:pPr>
            <w:r w:rsidRPr="00684535">
              <w:rPr>
                <w:rFonts w:ascii="Arial" w:hAnsi="Arial" w:cs="Arial"/>
                <w:sz w:val="22"/>
                <w:szCs w:val="22"/>
              </w:rPr>
              <w:t>One (1) Section 34 complaint was lodged with the DPCI.</w:t>
            </w:r>
          </w:p>
        </w:tc>
        <w:tc>
          <w:tcPr>
            <w:tcW w:w="2268" w:type="dxa"/>
          </w:tcPr>
          <w:p w:rsidR="00697311" w:rsidRPr="00684535" w:rsidRDefault="002E448B" w:rsidP="00684535">
            <w:pPr>
              <w:contextualSpacing/>
              <w:jc w:val="both"/>
              <w:rPr>
                <w:rFonts w:ascii="Arial" w:hAnsi="Arial" w:cs="Arial"/>
                <w:sz w:val="22"/>
                <w:szCs w:val="22"/>
              </w:rPr>
            </w:pPr>
            <w:r w:rsidRPr="00684535">
              <w:rPr>
                <w:rFonts w:ascii="Arial" w:hAnsi="Arial" w:cs="Arial"/>
                <w:sz w:val="22"/>
                <w:szCs w:val="22"/>
              </w:rPr>
              <w:t xml:space="preserve">Refer to (a) above.  </w:t>
            </w:r>
          </w:p>
        </w:tc>
        <w:tc>
          <w:tcPr>
            <w:tcW w:w="2410" w:type="dxa"/>
          </w:tcPr>
          <w:p w:rsidR="00697311" w:rsidRPr="00684535" w:rsidRDefault="002E448B" w:rsidP="00684535">
            <w:pPr>
              <w:contextualSpacing/>
              <w:jc w:val="both"/>
              <w:rPr>
                <w:rFonts w:ascii="Arial" w:hAnsi="Arial" w:cs="Arial"/>
                <w:sz w:val="22"/>
                <w:szCs w:val="22"/>
              </w:rPr>
            </w:pPr>
            <w:r w:rsidRPr="00684535">
              <w:rPr>
                <w:rFonts w:ascii="Arial" w:hAnsi="Arial" w:cs="Arial"/>
                <w:sz w:val="22"/>
                <w:szCs w:val="22"/>
              </w:rPr>
              <w:t>The entity is continuously following up regularly with SAPS regarding the five (5) cases to ensure that investigations are still taking place.</w:t>
            </w:r>
          </w:p>
        </w:tc>
        <w:tc>
          <w:tcPr>
            <w:tcW w:w="2551" w:type="dxa"/>
          </w:tcPr>
          <w:p w:rsidR="00697311" w:rsidRPr="00684535" w:rsidRDefault="002E448B" w:rsidP="00684535">
            <w:pPr>
              <w:contextualSpacing/>
              <w:jc w:val="both"/>
              <w:rPr>
                <w:rFonts w:ascii="Arial" w:hAnsi="Arial" w:cs="Arial"/>
                <w:sz w:val="22"/>
                <w:szCs w:val="22"/>
              </w:rPr>
            </w:pPr>
            <w:r w:rsidRPr="00684535">
              <w:rPr>
                <w:rFonts w:ascii="Arial" w:hAnsi="Arial" w:cs="Arial"/>
                <w:sz w:val="22"/>
                <w:szCs w:val="22"/>
              </w:rPr>
              <w:t xml:space="preserve">There were no case reported for the </w:t>
            </w:r>
            <w:r w:rsidR="00AB368F" w:rsidRPr="00684535">
              <w:rPr>
                <w:rFonts w:ascii="Arial" w:hAnsi="Arial" w:cs="Arial"/>
                <w:sz w:val="22"/>
                <w:szCs w:val="22"/>
              </w:rPr>
              <w:t>period 2012</w:t>
            </w:r>
            <w:r w:rsidRPr="00684535">
              <w:rPr>
                <w:rFonts w:ascii="Arial" w:hAnsi="Arial" w:cs="Arial"/>
                <w:sz w:val="22"/>
                <w:szCs w:val="22"/>
              </w:rPr>
              <w:t>/2013 until 2016/2017 financial years. The new cases reported in 2017/18 are still under investigation and the entity is following up with SAPS on the progress.</w:t>
            </w:r>
          </w:p>
        </w:tc>
      </w:tr>
      <w:tr w:rsidR="00697311" w:rsidRPr="00684535" w:rsidTr="00684535">
        <w:tc>
          <w:tcPr>
            <w:tcW w:w="1978" w:type="dxa"/>
          </w:tcPr>
          <w:p w:rsidR="00697311" w:rsidRPr="00684535" w:rsidRDefault="00697311"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Umgeni Water</w:t>
            </w:r>
          </w:p>
        </w:tc>
        <w:tc>
          <w:tcPr>
            <w:tcW w:w="3177" w:type="dxa"/>
          </w:tcPr>
          <w:p w:rsidR="00697311" w:rsidRPr="00684535" w:rsidRDefault="00043A33" w:rsidP="00684535">
            <w:pPr>
              <w:contextualSpacing/>
              <w:jc w:val="both"/>
              <w:rPr>
                <w:rFonts w:ascii="Arial" w:hAnsi="Arial" w:cs="Arial"/>
                <w:sz w:val="22"/>
                <w:szCs w:val="22"/>
              </w:rPr>
            </w:pPr>
            <w:r w:rsidRPr="00684535">
              <w:rPr>
                <w:rFonts w:ascii="Arial" w:hAnsi="Arial" w:cs="Arial"/>
                <w:sz w:val="22"/>
                <w:szCs w:val="22"/>
              </w:rPr>
              <w:t xml:space="preserve">The number of cases relating to the Prevention and Combating of Corrupt Activities Act, Act 12 of 2004, as amended, which have been referred to the SA Police Service (SAPS) by our Department, </w:t>
            </w:r>
            <w:r w:rsidR="00DF3406" w:rsidRPr="00684535">
              <w:rPr>
                <w:rFonts w:ascii="Arial" w:hAnsi="Arial" w:cs="Arial"/>
                <w:sz w:val="22"/>
                <w:szCs w:val="22"/>
              </w:rPr>
              <w:t>is</w:t>
            </w:r>
            <w:r w:rsidRPr="00684535">
              <w:rPr>
                <w:rFonts w:ascii="Arial" w:hAnsi="Arial" w:cs="Arial"/>
                <w:sz w:val="22"/>
                <w:szCs w:val="22"/>
              </w:rPr>
              <w:t xml:space="preserve"> one (1) case.</w:t>
            </w:r>
          </w:p>
        </w:tc>
        <w:tc>
          <w:tcPr>
            <w:tcW w:w="2835" w:type="dxa"/>
          </w:tcPr>
          <w:p w:rsidR="00697311" w:rsidRPr="00684535" w:rsidRDefault="00043A33" w:rsidP="00684535">
            <w:pPr>
              <w:contextualSpacing/>
              <w:jc w:val="both"/>
              <w:rPr>
                <w:rFonts w:ascii="Arial" w:hAnsi="Arial" w:cs="Arial"/>
                <w:sz w:val="22"/>
                <w:szCs w:val="22"/>
              </w:rPr>
            </w:pPr>
            <w:r w:rsidRPr="00684535">
              <w:rPr>
                <w:rFonts w:ascii="Arial" w:hAnsi="Arial" w:cs="Arial"/>
                <w:sz w:val="22"/>
                <w:szCs w:val="22"/>
              </w:rPr>
              <w:t xml:space="preserve">There are no cases referred to Directorate for Priority Crime Investigation (DPCI) by </w:t>
            </w:r>
            <w:r w:rsidR="00684535">
              <w:rPr>
                <w:rFonts w:ascii="Arial" w:hAnsi="Arial" w:cs="Arial"/>
                <w:sz w:val="22"/>
                <w:szCs w:val="22"/>
              </w:rPr>
              <w:t>Umgeni Water</w:t>
            </w:r>
            <w:r w:rsidR="00DF3406" w:rsidRPr="00684535">
              <w:rPr>
                <w:rFonts w:ascii="Arial" w:hAnsi="Arial" w:cs="Arial"/>
                <w:sz w:val="22"/>
                <w:szCs w:val="22"/>
              </w:rPr>
              <w:t xml:space="preserve">. </w:t>
            </w:r>
          </w:p>
        </w:tc>
        <w:tc>
          <w:tcPr>
            <w:tcW w:w="2268" w:type="dxa"/>
          </w:tcPr>
          <w:p w:rsidR="00697311" w:rsidRPr="00684535" w:rsidRDefault="00DF3406" w:rsidP="00684535">
            <w:pPr>
              <w:contextualSpacing/>
              <w:jc w:val="both"/>
              <w:rPr>
                <w:rFonts w:ascii="Arial" w:hAnsi="Arial" w:cs="Arial"/>
                <w:sz w:val="22"/>
                <w:szCs w:val="22"/>
              </w:rPr>
            </w:pPr>
            <w:r w:rsidRPr="00684535">
              <w:rPr>
                <w:rFonts w:ascii="Arial" w:hAnsi="Arial" w:cs="Arial"/>
                <w:sz w:val="22"/>
                <w:szCs w:val="22"/>
              </w:rPr>
              <w:t xml:space="preserve">Refer to (a) above.  </w:t>
            </w:r>
          </w:p>
        </w:tc>
        <w:tc>
          <w:tcPr>
            <w:tcW w:w="2410" w:type="dxa"/>
          </w:tcPr>
          <w:p w:rsidR="00697311" w:rsidRPr="00684535" w:rsidRDefault="00DF3406" w:rsidP="00684535">
            <w:pPr>
              <w:contextualSpacing/>
              <w:jc w:val="both"/>
              <w:rPr>
                <w:rFonts w:ascii="Arial" w:hAnsi="Arial" w:cs="Arial"/>
                <w:sz w:val="22"/>
                <w:szCs w:val="22"/>
              </w:rPr>
            </w:pPr>
            <w:r w:rsidRPr="00684535">
              <w:rPr>
                <w:rFonts w:ascii="Arial" w:hAnsi="Arial" w:cs="Arial"/>
                <w:sz w:val="22"/>
                <w:szCs w:val="22"/>
              </w:rPr>
              <w:t xml:space="preserve">The case is at PMB High court  </w:t>
            </w:r>
          </w:p>
        </w:tc>
        <w:tc>
          <w:tcPr>
            <w:tcW w:w="2551" w:type="dxa"/>
          </w:tcPr>
          <w:p w:rsidR="00697311" w:rsidRPr="00684535" w:rsidRDefault="00DF3406" w:rsidP="00684535">
            <w:pPr>
              <w:contextualSpacing/>
              <w:jc w:val="both"/>
              <w:rPr>
                <w:rFonts w:ascii="Arial" w:hAnsi="Arial" w:cs="Arial"/>
                <w:sz w:val="22"/>
                <w:szCs w:val="22"/>
              </w:rPr>
            </w:pPr>
            <w:r w:rsidRPr="00684535">
              <w:rPr>
                <w:rFonts w:ascii="Arial" w:hAnsi="Arial" w:cs="Arial"/>
                <w:sz w:val="22"/>
                <w:szCs w:val="22"/>
              </w:rPr>
              <w:t>No conviction relating to this case – still in progress</w:t>
            </w:r>
          </w:p>
        </w:tc>
      </w:tr>
      <w:tr w:rsidR="00684535" w:rsidRPr="00684535" w:rsidTr="00684535">
        <w:tc>
          <w:tcPr>
            <w:tcW w:w="1978" w:type="dxa"/>
          </w:tcPr>
          <w:p w:rsidR="00684535" w:rsidRPr="00684535" w:rsidRDefault="00684535"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WRC</w:t>
            </w:r>
          </w:p>
        </w:tc>
        <w:tc>
          <w:tcPr>
            <w:tcW w:w="3177" w:type="dxa"/>
          </w:tcPr>
          <w:p w:rsidR="00684535" w:rsidRPr="00684535" w:rsidRDefault="00684535" w:rsidP="002D596A">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None</w:t>
            </w:r>
          </w:p>
        </w:tc>
        <w:tc>
          <w:tcPr>
            <w:tcW w:w="2835"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 xml:space="preserve">There are no cases referred to Directorate for Priority Crime Investigation (DPCI) by </w:t>
            </w:r>
            <w:r>
              <w:rPr>
                <w:rFonts w:ascii="Arial" w:hAnsi="Arial" w:cs="Arial"/>
                <w:sz w:val="22"/>
                <w:szCs w:val="22"/>
              </w:rPr>
              <w:t>WRC</w:t>
            </w:r>
            <w:r w:rsidRPr="00684535">
              <w:rPr>
                <w:rFonts w:ascii="Arial" w:hAnsi="Arial" w:cs="Arial"/>
                <w:sz w:val="22"/>
                <w:szCs w:val="22"/>
              </w:rPr>
              <w:t>.</w:t>
            </w:r>
          </w:p>
        </w:tc>
        <w:tc>
          <w:tcPr>
            <w:tcW w:w="2268"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Refer to (a) above.</w:t>
            </w:r>
          </w:p>
        </w:tc>
        <w:tc>
          <w:tcPr>
            <w:tcW w:w="2410"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Owed to the fact that our Institution had Zero (0) cases, it was not necessary to follow up regularly with SAPS to ensure that investigations are still taking place.</w:t>
            </w:r>
          </w:p>
        </w:tc>
        <w:tc>
          <w:tcPr>
            <w:tcW w:w="2551" w:type="dxa"/>
          </w:tcPr>
          <w:p w:rsidR="00684535" w:rsidRPr="00684535" w:rsidRDefault="00684535" w:rsidP="00684535">
            <w:pPr>
              <w:contextualSpacing/>
              <w:jc w:val="both"/>
              <w:rPr>
                <w:rFonts w:ascii="Arial" w:hAnsi="Arial" w:cs="Arial"/>
                <w:sz w:val="22"/>
                <w:szCs w:val="22"/>
              </w:rPr>
            </w:pPr>
            <w:r w:rsidRPr="00684535">
              <w:rPr>
                <w:rFonts w:ascii="Arial" w:hAnsi="Arial" w:cs="Arial"/>
                <w:sz w:val="22"/>
                <w:szCs w:val="22"/>
              </w:rPr>
              <w:t>Owed to the fact that our Institution had Zero (0) cases, it was not necessary for convictions relating to the cases for the periods 2012/2013 until 2017/2018 financial year.</w:t>
            </w:r>
          </w:p>
        </w:tc>
      </w:tr>
      <w:tr w:rsidR="00697311" w:rsidRPr="00684535" w:rsidTr="00684535">
        <w:tc>
          <w:tcPr>
            <w:tcW w:w="1978" w:type="dxa"/>
          </w:tcPr>
          <w:p w:rsidR="00697311" w:rsidRPr="00684535" w:rsidRDefault="00697311" w:rsidP="00684535">
            <w:pPr>
              <w:spacing w:before="100" w:beforeAutospacing="1" w:after="100" w:afterAutospacing="1"/>
              <w:contextualSpacing/>
              <w:jc w:val="both"/>
              <w:rPr>
                <w:rFonts w:ascii="Arial" w:hAnsi="Arial" w:cs="Arial"/>
                <w:sz w:val="22"/>
                <w:szCs w:val="22"/>
              </w:rPr>
            </w:pPr>
            <w:r w:rsidRPr="00684535">
              <w:rPr>
                <w:rFonts w:ascii="Arial" w:hAnsi="Arial" w:cs="Arial"/>
                <w:sz w:val="22"/>
                <w:szCs w:val="22"/>
              </w:rPr>
              <w:t>TCTA</w:t>
            </w:r>
          </w:p>
        </w:tc>
        <w:tc>
          <w:tcPr>
            <w:tcW w:w="3177" w:type="dxa"/>
          </w:tcPr>
          <w:p w:rsidR="00697311" w:rsidRPr="00684535" w:rsidRDefault="009053D1" w:rsidP="00684535">
            <w:pPr>
              <w:contextualSpacing/>
              <w:jc w:val="both"/>
              <w:rPr>
                <w:rFonts w:ascii="Arial" w:hAnsi="Arial" w:cs="Arial"/>
                <w:sz w:val="22"/>
                <w:szCs w:val="22"/>
              </w:rPr>
            </w:pPr>
            <w:r w:rsidRPr="00684535">
              <w:rPr>
                <w:rFonts w:ascii="Arial" w:hAnsi="Arial" w:cs="Arial"/>
                <w:sz w:val="22"/>
                <w:szCs w:val="22"/>
              </w:rPr>
              <w:t xml:space="preserve">The number of cases relating to the Prevention and Combating of Corrupt Activities Act, Act 12 of 2004, as amended, which have been referred to the SA Police Service (SAPS) by our Trans </w:t>
            </w:r>
            <w:r w:rsidRPr="00684535">
              <w:rPr>
                <w:rFonts w:ascii="Arial" w:hAnsi="Arial" w:cs="Arial"/>
                <w:sz w:val="22"/>
                <w:szCs w:val="22"/>
              </w:rPr>
              <w:lastRenderedPageBreak/>
              <w:t>Caledon Tunnel Authority  are 2 (two).</w:t>
            </w:r>
          </w:p>
        </w:tc>
        <w:tc>
          <w:tcPr>
            <w:tcW w:w="2835" w:type="dxa"/>
          </w:tcPr>
          <w:p w:rsidR="009053D1" w:rsidRPr="00684535" w:rsidRDefault="009053D1" w:rsidP="00684535">
            <w:pPr>
              <w:contextualSpacing/>
              <w:jc w:val="both"/>
              <w:rPr>
                <w:rFonts w:ascii="Arial" w:hAnsi="Arial" w:cs="Arial"/>
                <w:sz w:val="22"/>
                <w:szCs w:val="22"/>
              </w:rPr>
            </w:pPr>
            <w:r w:rsidRPr="00684535">
              <w:rPr>
                <w:rFonts w:ascii="Arial" w:hAnsi="Arial" w:cs="Arial"/>
                <w:sz w:val="22"/>
                <w:szCs w:val="22"/>
              </w:rPr>
              <w:lastRenderedPageBreak/>
              <w:t xml:space="preserve">There are two cases referred to Directorate for Priority Crime Investigation (DPCI) by the Trans-Caledon Tunnel Authority. </w:t>
            </w:r>
          </w:p>
          <w:p w:rsidR="009053D1" w:rsidRPr="00684535" w:rsidRDefault="009053D1" w:rsidP="00684535">
            <w:pPr>
              <w:contextualSpacing/>
              <w:jc w:val="both"/>
              <w:rPr>
                <w:rFonts w:ascii="Arial" w:hAnsi="Arial" w:cs="Arial"/>
                <w:sz w:val="22"/>
                <w:szCs w:val="22"/>
              </w:rPr>
            </w:pPr>
          </w:p>
          <w:p w:rsidR="009053D1" w:rsidRPr="00684535" w:rsidRDefault="009053D1" w:rsidP="00684535">
            <w:pPr>
              <w:contextualSpacing/>
              <w:jc w:val="both"/>
              <w:rPr>
                <w:rFonts w:ascii="Arial" w:hAnsi="Arial" w:cs="Arial"/>
                <w:sz w:val="22"/>
                <w:szCs w:val="22"/>
              </w:rPr>
            </w:pPr>
            <w:r w:rsidRPr="00684535">
              <w:rPr>
                <w:rFonts w:ascii="Arial" w:hAnsi="Arial" w:cs="Arial"/>
                <w:sz w:val="22"/>
                <w:szCs w:val="22"/>
              </w:rPr>
              <w:lastRenderedPageBreak/>
              <w:t xml:space="preserve">• First case referred to DPCI was mandated to SAPS Commercial Crimes for investigation and prosecution. The case reference is State </w:t>
            </w:r>
            <w:proofErr w:type="spellStart"/>
            <w:r w:rsidRPr="00684535">
              <w:rPr>
                <w:rFonts w:ascii="Arial" w:hAnsi="Arial" w:cs="Arial"/>
                <w:sz w:val="22"/>
                <w:szCs w:val="22"/>
              </w:rPr>
              <w:t>vs</w:t>
            </w:r>
            <w:proofErr w:type="spellEnd"/>
            <w:r w:rsidRPr="00684535">
              <w:rPr>
                <w:rFonts w:ascii="Arial" w:hAnsi="Arial" w:cs="Arial"/>
                <w:sz w:val="22"/>
                <w:szCs w:val="22"/>
              </w:rPr>
              <w:t xml:space="preserve"> </w:t>
            </w:r>
            <w:proofErr w:type="spellStart"/>
            <w:r w:rsidRPr="00684535">
              <w:rPr>
                <w:rFonts w:ascii="Arial" w:hAnsi="Arial" w:cs="Arial"/>
                <w:sz w:val="22"/>
                <w:szCs w:val="22"/>
              </w:rPr>
              <w:t>Mbeba</w:t>
            </w:r>
            <w:proofErr w:type="spellEnd"/>
            <w:r w:rsidRPr="00684535">
              <w:rPr>
                <w:rFonts w:ascii="Arial" w:hAnsi="Arial" w:cs="Arial"/>
                <w:sz w:val="22"/>
                <w:szCs w:val="22"/>
              </w:rPr>
              <w:t xml:space="preserve"> (Ref. IR2014/11/108).</w:t>
            </w:r>
          </w:p>
          <w:p w:rsidR="009053D1" w:rsidRPr="00684535" w:rsidRDefault="009053D1" w:rsidP="00684535">
            <w:pPr>
              <w:contextualSpacing/>
              <w:jc w:val="both"/>
              <w:rPr>
                <w:rFonts w:ascii="Arial" w:hAnsi="Arial" w:cs="Arial"/>
                <w:sz w:val="22"/>
                <w:szCs w:val="22"/>
              </w:rPr>
            </w:pPr>
          </w:p>
          <w:p w:rsidR="00697311" w:rsidRPr="00684535" w:rsidRDefault="009053D1" w:rsidP="00684535">
            <w:pPr>
              <w:contextualSpacing/>
              <w:jc w:val="both"/>
              <w:rPr>
                <w:rFonts w:ascii="Arial" w:hAnsi="Arial" w:cs="Arial"/>
                <w:sz w:val="22"/>
                <w:szCs w:val="22"/>
              </w:rPr>
            </w:pPr>
            <w:r w:rsidRPr="00684535">
              <w:rPr>
                <w:rFonts w:ascii="Arial" w:hAnsi="Arial" w:cs="Arial"/>
                <w:sz w:val="22"/>
                <w:szCs w:val="22"/>
              </w:rPr>
              <w:t>• The second case that was referred to DPCI for criminal investigation involves the former Chief Executive Officer of TCTA on allegations of corruption. The second allegation involves fronting Intelligent Water Solutions (‘IWS’). The case number is Lyttelton CAS 29/12/2017.</w:t>
            </w:r>
          </w:p>
        </w:tc>
        <w:tc>
          <w:tcPr>
            <w:tcW w:w="2268" w:type="dxa"/>
          </w:tcPr>
          <w:p w:rsidR="00697311" w:rsidRPr="00684535" w:rsidRDefault="009053D1" w:rsidP="00684535">
            <w:pPr>
              <w:contextualSpacing/>
              <w:jc w:val="both"/>
              <w:rPr>
                <w:rFonts w:ascii="Arial" w:hAnsi="Arial" w:cs="Arial"/>
                <w:sz w:val="22"/>
                <w:szCs w:val="22"/>
              </w:rPr>
            </w:pPr>
            <w:r w:rsidRPr="00684535">
              <w:rPr>
                <w:rFonts w:ascii="Arial" w:hAnsi="Arial" w:cs="Arial"/>
                <w:sz w:val="22"/>
                <w:szCs w:val="22"/>
              </w:rPr>
              <w:lastRenderedPageBreak/>
              <w:t xml:space="preserve">Refer to (a) above.  </w:t>
            </w:r>
          </w:p>
        </w:tc>
        <w:tc>
          <w:tcPr>
            <w:tcW w:w="2410" w:type="dxa"/>
          </w:tcPr>
          <w:p w:rsidR="00697311" w:rsidRPr="00684535" w:rsidRDefault="009053D1" w:rsidP="00684535">
            <w:pPr>
              <w:contextualSpacing/>
              <w:jc w:val="both"/>
              <w:rPr>
                <w:rFonts w:ascii="Arial" w:hAnsi="Arial" w:cs="Arial"/>
                <w:sz w:val="22"/>
                <w:szCs w:val="22"/>
              </w:rPr>
            </w:pPr>
            <w:r w:rsidRPr="00684535">
              <w:rPr>
                <w:rFonts w:ascii="Arial" w:hAnsi="Arial" w:cs="Arial"/>
                <w:sz w:val="22"/>
                <w:szCs w:val="22"/>
              </w:rPr>
              <w:t xml:space="preserve">Trans- Caledon Tunnel Authority continuously </w:t>
            </w:r>
            <w:proofErr w:type="gramStart"/>
            <w:r w:rsidRPr="00684535">
              <w:rPr>
                <w:rFonts w:ascii="Arial" w:hAnsi="Arial" w:cs="Arial"/>
                <w:sz w:val="22"/>
                <w:szCs w:val="22"/>
              </w:rPr>
              <w:t>follow</w:t>
            </w:r>
            <w:proofErr w:type="gramEnd"/>
            <w:r w:rsidRPr="00684535">
              <w:rPr>
                <w:rFonts w:ascii="Arial" w:hAnsi="Arial" w:cs="Arial"/>
                <w:sz w:val="22"/>
                <w:szCs w:val="22"/>
              </w:rPr>
              <w:t xml:space="preserve"> up regularly with SAPS regarding all the cases to ensure that investigations and </w:t>
            </w:r>
            <w:r w:rsidRPr="00684535">
              <w:rPr>
                <w:rFonts w:ascii="Arial" w:hAnsi="Arial" w:cs="Arial"/>
                <w:sz w:val="22"/>
                <w:szCs w:val="22"/>
              </w:rPr>
              <w:lastRenderedPageBreak/>
              <w:t>prosecution take place.</w:t>
            </w:r>
          </w:p>
        </w:tc>
        <w:tc>
          <w:tcPr>
            <w:tcW w:w="2551" w:type="dxa"/>
          </w:tcPr>
          <w:p w:rsidR="009053D1" w:rsidRPr="00684535" w:rsidRDefault="009053D1" w:rsidP="00684535">
            <w:pPr>
              <w:contextualSpacing/>
              <w:jc w:val="both"/>
              <w:rPr>
                <w:rFonts w:ascii="Arial" w:hAnsi="Arial" w:cs="Arial"/>
                <w:sz w:val="22"/>
                <w:szCs w:val="22"/>
              </w:rPr>
            </w:pPr>
            <w:r w:rsidRPr="00684535">
              <w:rPr>
                <w:rFonts w:ascii="Arial" w:hAnsi="Arial" w:cs="Arial"/>
                <w:sz w:val="22"/>
                <w:szCs w:val="22"/>
              </w:rPr>
              <w:lastRenderedPageBreak/>
              <w:t xml:space="preserve">There were no convictions relating to the two cases for the periods 2012/2013 until 2017/2018 financial years. </w:t>
            </w:r>
          </w:p>
          <w:p w:rsidR="009053D1" w:rsidRPr="00684535" w:rsidRDefault="009053D1" w:rsidP="00684535">
            <w:pPr>
              <w:contextualSpacing/>
              <w:jc w:val="both"/>
              <w:rPr>
                <w:rFonts w:ascii="Arial" w:hAnsi="Arial" w:cs="Arial"/>
                <w:sz w:val="22"/>
                <w:szCs w:val="22"/>
              </w:rPr>
            </w:pPr>
          </w:p>
          <w:p w:rsidR="009053D1" w:rsidRPr="00684535" w:rsidRDefault="009053D1" w:rsidP="00684535">
            <w:pPr>
              <w:contextualSpacing/>
              <w:jc w:val="both"/>
              <w:rPr>
                <w:rFonts w:ascii="Arial" w:hAnsi="Arial" w:cs="Arial"/>
                <w:sz w:val="22"/>
                <w:szCs w:val="22"/>
              </w:rPr>
            </w:pPr>
            <w:r w:rsidRPr="00684535">
              <w:rPr>
                <w:rFonts w:ascii="Arial" w:hAnsi="Arial" w:cs="Arial"/>
                <w:sz w:val="22"/>
                <w:szCs w:val="22"/>
              </w:rPr>
              <w:lastRenderedPageBreak/>
              <w:t xml:space="preserve">• The case of the State </w:t>
            </w:r>
            <w:proofErr w:type="spellStart"/>
            <w:r w:rsidRPr="00684535">
              <w:rPr>
                <w:rFonts w:ascii="Arial" w:hAnsi="Arial" w:cs="Arial"/>
                <w:sz w:val="22"/>
                <w:szCs w:val="22"/>
              </w:rPr>
              <w:t>vs</w:t>
            </w:r>
            <w:proofErr w:type="spellEnd"/>
            <w:r w:rsidRPr="00684535">
              <w:rPr>
                <w:rFonts w:ascii="Arial" w:hAnsi="Arial" w:cs="Arial"/>
                <w:sz w:val="22"/>
                <w:szCs w:val="22"/>
              </w:rPr>
              <w:t xml:space="preserve"> </w:t>
            </w:r>
            <w:proofErr w:type="spellStart"/>
            <w:r w:rsidRPr="00684535">
              <w:rPr>
                <w:rFonts w:ascii="Arial" w:hAnsi="Arial" w:cs="Arial"/>
                <w:sz w:val="22"/>
                <w:szCs w:val="22"/>
              </w:rPr>
              <w:t>Mbeba</w:t>
            </w:r>
            <w:proofErr w:type="spellEnd"/>
            <w:r w:rsidRPr="00684535">
              <w:rPr>
                <w:rFonts w:ascii="Arial" w:hAnsi="Arial" w:cs="Arial"/>
                <w:sz w:val="22"/>
                <w:szCs w:val="22"/>
              </w:rPr>
              <w:t xml:space="preserve"> (Ref. IR2014/11/108), was withdrawn therefore no conviction was secured.</w:t>
            </w:r>
          </w:p>
          <w:p w:rsidR="009053D1" w:rsidRPr="00684535" w:rsidRDefault="009053D1" w:rsidP="00684535">
            <w:pPr>
              <w:contextualSpacing/>
              <w:jc w:val="both"/>
              <w:rPr>
                <w:rFonts w:ascii="Arial" w:hAnsi="Arial" w:cs="Arial"/>
                <w:sz w:val="22"/>
                <w:szCs w:val="22"/>
              </w:rPr>
            </w:pPr>
          </w:p>
          <w:p w:rsidR="00697311" w:rsidRPr="00684535" w:rsidRDefault="009053D1" w:rsidP="00684535">
            <w:pPr>
              <w:contextualSpacing/>
              <w:jc w:val="both"/>
              <w:rPr>
                <w:rFonts w:ascii="Arial" w:hAnsi="Arial" w:cs="Arial"/>
                <w:sz w:val="22"/>
                <w:szCs w:val="22"/>
              </w:rPr>
            </w:pPr>
            <w:r w:rsidRPr="00684535">
              <w:rPr>
                <w:rFonts w:ascii="Arial" w:hAnsi="Arial" w:cs="Arial"/>
                <w:sz w:val="22"/>
                <w:szCs w:val="22"/>
              </w:rPr>
              <w:t>• The case which involves the former Chief Executive Officer of TCTA and Intelligent Water Solutions (‘IWS’) (CAS 29/12/2017) is still under investigation.</w:t>
            </w:r>
          </w:p>
        </w:tc>
      </w:tr>
    </w:tbl>
    <w:p w:rsidR="00326A1D" w:rsidRDefault="00326A1D" w:rsidP="00326A1D">
      <w:pPr>
        <w:tabs>
          <w:tab w:val="left" w:pos="540"/>
          <w:tab w:val="left" w:pos="1080"/>
        </w:tabs>
        <w:jc w:val="center"/>
        <w:rPr>
          <w:rFonts w:ascii="Arial" w:hAnsi="Arial" w:cs="Arial"/>
          <w:bCs/>
          <w:sz w:val="22"/>
          <w:szCs w:val="22"/>
          <w:lang w:val="pt-BR"/>
        </w:rPr>
      </w:pPr>
      <w:bookmarkStart w:id="0" w:name="_GoBack"/>
      <w:bookmarkEnd w:id="0"/>
    </w:p>
    <w:sectPr w:rsidR="00326A1D" w:rsidSect="00697311">
      <w:pgSz w:w="16838" w:h="11906" w:orient="landscape"/>
      <w:pgMar w:top="1077" w:right="539" w:bottom="1134" w:left="53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70" w:rsidRDefault="00F37B70">
      <w:r>
        <w:separator/>
      </w:r>
    </w:p>
  </w:endnote>
  <w:endnote w:type="continuationSeparator" w:id="0">
    <w:p w:rsidR="00F37B70" w:rsidRDefault="00F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70" w:rsidRDefault="00F37B70">
      <w:r>
        <w:separator/>
      </w:r>
    </w:p>
  </w:footnote>
  <w:footnote w:type="continuationSeparator" w:id="0">
    <w:p w:rsidR="00F37B70" w:rsidRDefault="00F3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C24EA2"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CBF5C13"/>
    <w:multiLevelType w:val="hybridMultilevel"/>
    <w:tmpl w:val="B39E3E5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3406964"/>
    <w:multiLevelType w:val="hybridMultilevel"/>
    <w:tmpl w:val="E494B1E6"/>
    <w:lvl w:ilvl="0" w:tplc="4734E8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E7C22C6"/>
    <w:multiLevelType w:val="hybridMultilevel"/>
    <w:tmpl w:val="5F548C02"/>
    <w:lvl w:ilvl="0" w:tplc="A260C1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566117"/>
    <w:multiLevelType w:val="hybridMultilevel"/>
    <w:tmpl w:val="F7FC47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55DE"/>
    <w:rsid w:val="0000651A"/>
    <w:rsid w:val="00007151"/>
    <w:rsid w:val="0000762B"/>
    <w:rsid w:val="000078CA"/>
    <w:rsid w:val="00007F4A"/>
    <w:rsid w:val="00010AE0"/>
    <w:rsid w:val="00011E07"/>
    <w:rsid w:val="000133DF"/>
    <w:rsid w:val="000157A1"/>
    <w:rsid w:val="0002605A"/>
    <w:rsid w:val="00027ECA"/>
    <w:rsid w:val="00031D3E"/>
    <w:rsid w:val="000329E7"/>
    <w:rsid w:val="000351F9"/>
    <w:rsid w:val="00035B54"/>
    <w:rsid w:val="00036790"/>
    <w:rsid w:val="00043A33"/>
    <w:rsid w:val="000475B5"/>
    <w:rsid w:val="000520E5"/>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161E"/>
    <w:rsid w:val="000B5E49"/>
    <w:rsid w:val="000B7476"/>
    <w:rsid w:val="000B74AD"/>
    <w:rsid w:val="000C4C94"/>
    <w:rsid w:val="000C5219"/>
    <w:rsid w:val="000D2600"/>
    <w:rsid w:val="000D2A0D"/>
    <w:rsid w:val="000D3512"/>
    <w:rsid w:val="000D5969"/>
    <w:rsid w:val="000E41F5"/>
    <w:rsid w:val="000F5ACE"/>
    <w:rsid w:val="000F7160"/>
    <w:rsid w:val="00100879"/>
    <w:rsid w:val="0010103C"/>
    <w:rsid w:val="001011DE"/>
    <w:rsid w:val="00101961"/>
    <w:rsid w:val="00101DF8"/>
    <w:rsid w:val="00103738"/>
    <w:rsid w:val="0010464B"/>
    <w:rsid w:val="00104FAA"/>
    <w:rsid w:val="00105F33"/>
    <w:rsid w:val="001229D1"/>
    <w:rsid w:val="00137EE6"/>
    <w:rsid w:val="00141A98"/>
    <w:rsid w:val="00141D2A"/>
    <w:rsid w:val="00142CEC"/>
    <w:rsid w:val="00144D81"/>
    <w:rsid w:val="00152A3B"/>
    <w:rsid w:val="00152E1E"/>
    <w:rsid w:val="001539E6"/>
    <w:rsid w:val="00161514"/>
    <w:rsid w:val="00162ED3"/>
    <w:rsid w:val="00164340"/>
    <w:rsid w:val="001653FA"/>
    <w:rsid w:val="00171B07"/>
    <w:rsid w:val="0017221B"/>
    <w:rsid w:val="001758C5"/>
    <w:rsid w:val="00177841"/>
    <w:rsid w:val="001827AE"/>
    <w:rsid w:val="00185614"/>
    <w:rsid w:val="00187FF2"/>
    <w:rsid w:val="001919A3"/>
    <w:rsid w:val="00194434"/>
    <w:rsid w:val="00196EFD"/>
    <w:rsid w:val="001A0035"/>
    <w:rsid w:val="001A06B1"/>
    <w:rsid w:val="001B6327"/>
    <w:rsid w:val="001B6885"/>
    <w:rsid w:val="001C5CAE"/>
    <w:rsid w:val="001C6CDB"/>
    <w:rsid w:val="001D03EF"/>
    <w:rsid w:val="001D3462"/>
    <w:rsid w:val="001E4A62"/>
    <w:rsid w:val="001F6A53"/>
    <w:rsid w:val="00201F06"/>
    <w:rsid w:val="0020507E"/>
    <w:rsid w:val="00206312"/>
    <w:rsid w:val="00211B7A"/>
    <w:rsid w:val="0021410C"/>
    <w:rsid w:val="00214C07"/>
    <w:rsid w:val="002238F0"/>
    <w:rsid w:val="00223BAD"/>
    <w:rsid w:val="002267A9"/>
    <w:rsid w:val="002326D5"/>
    <w:rsid w:val="002400C8"/>
    <w:rsid w:val="002451BE"/>
    <w:rsid w:val="00245891"/>
    <w:rsid w:val="00245EC0"/>
    <w:rsid w:val="00255C22"/>
    <w:rsid w:val="00255C66"/>
    <w:rsid w:val="00255D67"/>
    <w:rsid w:val="00255D9D"/>
    <w:rsid w:val="002628DA"/>
    <w:rsid w:val="00262B8B"/>
    <w:rsid w:val="00262DEA"/>
    <w:rsid w:val="002810AB"/>
    <w:rsid w:val="00295291"/>
    <w:rsid w:val="002A053D"/>
    <w:rsid w:val="002A148E"/>
    <w:rsid w:val="002A20E3"/>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3463"/>
    <w:rsid w:val="002E4031"/>
    <w:rsid w:val="002E448B"/>
    <w:rsid w:val="002E45E5"/>
    <w:rsid w:val="002E56BE"/>
    <w:rsid w:val="002F0CFE"/>
    <w:rsid w:val="002F2084"/>
    <w:rsid w:val="002F68D5"/>
    <w:rsid w:val="003016A3"/>
    <w:rsid w:val="003175DB"/>
    <w:rsid w:val="00317852"/>
    <w:rsid w:val="00321778"/>
    <w:rsid w:val="00322BDC"/>
    <w:rsid w:val="00326A1D"/>
    <w:rsid w:val="00330424"/>
    <w:rsid w:val="003358E6"/>
    <w:rsid w:val="003375A7"/>
    <w:rsid w:val="003407C4"/>
    <w:rsid w:val="00342459"/>
    <w:rsid w:val="0035000E"/>
    <w:rsid w:val="00351C18"/>
    <w:rsid w:val="00355562"/>
    <w:rsid w:val="0036058F"/>
    <w:rsid w:val="003635E7"/>
    <w:rsid w:val="00363865"/>
    <w:rsid w:val="003640C8"/>
    <w:rsid w:val="00365608"/>
    <w:rsid w:val="00366E7A"/>
    <w:rsid w:val="003749BC"/>
    <w:rsid w:val="00375B0B"/>
    <w:rsid w:val="0037707B"/>
    <w:rsid w:val="003856A3"/>
    <w:rsid w:val="00390217"/>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20AB"/>
    <w:rsid w:val="003F30C2"/>
    <w:rsid w:val="003F41FD"/>
    <w:rsid w:val="004028C5"/>
    <w:rsid w:val="004029B9"/>
    <w:rsid w:val="00403AFE"/>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60F03"/>
    <w:rsid w:val="00461043"/>
    <w:rsid w:val="00462FF2"/>
    <w:rsid w:val="0046758B"/>
    <w:rsid w:val="00467D5C"/>
    <w:rsid w:val="00472ECA"/>
    <w:rsid w:val="00476F6C"/>
    <w:rsid w:val="00481CC0"/>
    <w:rsid w:val="00485CC3"/>
    <w:rsid w:val="004A02D1"/>
    <w:rsid w:val="004A12CC"/>
    <w:rsid w:val="004A3B45"/>
    <w:rsid w:val="004A63AB"/>
    <w:rsid w:val="004B1A3E"/>
    <w:rsid w:val="004B1BAE"/>
    <w:rsid w:val="004B2369"/>
    <w:rsid w:val="004C0CBC"/>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342A"/>
    <w:rsid w:val="005067B3"/>
    <w:rsid w:val="005106C7"/>
    <w:rsid w:val="00511A8D"/>
    <w:rsid w:val="0051341E"/>
    <w:rsid w:val="00515F21"/>
    <w:rsid w:val="005203BC"/>
    <w:rsid w:val="00521ABD"/>
    <w:rsid w:val="005232D7"/>
    <w:rsid w:val="00526C0B"/>
    <w:rsid w:val="00527BD6"/>
    <w:rsid w:val="005379E1"/>
    <w:rsid w:val="00540715"/>
    <w:rsid w:val="0054086E"/>
    <w:rsid w:val="00542C98"/>
    <w:rsid w:val="005444FD"/>
    <w:rsid w:val="00547637"/>
    <w:rsid w:val="005672B2"/>
    <w:rsid w:val="00572BA8"/>
    <w:rsid w:val="005735E6"/>
    <w:rsid w:val="00574A31"/>
    <w:rsid w:val="00574A4D"/>
    <w:rsid w:val="005752DE"/>
    <w:rsid w:val="00583A1F"/>
    <w:rsid w:val="00583E2D"/>
    <w:rsid w:val="005841EB"/>
    <w:rsid w:val="00585780"/>
    <w:rsid w:val="0059008E"/>
    <w:rsid w:val="00590D8A"/>
    <w:rsid w:val="00592DFC"/>
    <w:rsid w:val="005978E1"/>
    <w:rsid w:val="005A1EE0"/>
    <w:rsid w:val="005A2019"/>
    <w:rsid w:val="005B15A3"/>
    <w:rsid w:val="005B7358"/>
    <w:rsid w:val="005B7A58"/>
    <w:rsid w:val="005C771C"/>
    <w:rsid w:val="005D291A"/>
    <w:rsid w:val="005D69A2"/>
    <w:rsid w:val="005D6B20"/>
    <w:rsid w:val="005D7DEF"/>
    <w:rsid w:val="005E3240"/>
    <w:rsid w:val="005E3AD0"/>
    <w:rsid w:val="005E59AA"/>
    <w:rsid w:val="005E63F4"/>
    <w:rsid w:val="005F04C8"/>
    <w:rsid w:val="005F11E7"/>
    <w:rsid w:val="005F26CC"/>
    <w:rsid w:val="005F3CBB"/>
    <w:rsid w:val="005F7852"/>
    <w:rsid w:val="00602470"/>
    <w:rsid w:val="00602BB6"/>
    <w:rsid w:val="00603843"/>
    <w:rsid w:val="0060724E"/>
    <w:rsid w:val="00607D1B"/>
    <w:rsid w:val="00611412"/>
    <w:rsid w:val="00622718"/>
    <w:rsid w:val="00631D35"/>
    <w:rsid w:val="00633E6E"/>
    <w:rsid w:val="00634013"/>
    <w:rsid w:val="00634C0E"/>
    <w:rsid w:val="0063537D"/>
    <w:rsid w:val="00637686"/>
    <w:rsid w:val="00637824"/>
    <w:rsid w:val="00640FEE"/>
    <w:rsid w:val="006507D5"/>
    <w:rsid w:val="006533F0"/>
    <w:rsid w:val="006536D5"/>
    <w:rsid w:val="00660EE8"/>
    <w:rsid w:val="0066365B"/>
    <w:rsid w:val="00672B2E"/>
    <w:rsid w:val="00675008"/>
    <w:rsid w:val="00677C2D"/>
    <w:rsid w:val="00684535"/>
    <w:rsid w:val="0069377A"/>
    <w:rsid w:val="00696BD5"/>
    <w:rsid w:val="00697311"/>
    <w:rsid w:val="006A1BF0"/>
    <w:rsid w:val="006A2910"/>
    <w:rsid w:val="006A467A"/>
    <w:rsid w:val="006B01B0"/>
    <w:rsid w:val="006B1185"/>
    <w:rsid w:val="006B177D"/>
    <w:rsid w:val="006B25FC"/>
    <w:rsid w:val="006B6C77"/>
    <w:rsid w:val="006C11DF"/>
    <w:rsid w:val="006C6C31"/>
    <w:rsid w:val="006D0494"/>
    <w:rsid w:val="006E192A"/>
    <w:rsid w:val="006F4F50"/>
    <w:rsid w:val="006F6EBB"/>
    <w:rsid w:val="006F76F3"/>
    <w:rsid w:val="0070051C"/>
    <w:rsid w:val="0070434B"/>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5861"/>
    <w:rsid w:val="007761D2"/>
    <w:rsid w:val="007774DA"/>
    <w:rsid w:val="00782064"/>
    <w:rsid w:val="0078394E"/>
    <w:rsid w:val="0078540A"/>
    <w:rsid w:val="00787F2E"/>
    <w:rsid w:val="00796C45"/>
    <w:rsid w:val="007A380F"/>
    <w:rsid w:val="007A4569"/>
    <w:rsid w:val="007B1B06"/>
    <w:rsid w:val="007B2D7B"/>
    <w:rsid w:val="007B58C8"/>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17432"/>
    <w:rsid w:val="0082482B"/>
    <w:rsid w:val="00830F28"/>
    <w:rsid w:val="008322EF"/>
    <w:rsid w:val="008337AE"/>
    <w:rsid w:val="00833945"/>
    <w:rsid w:val="008425E7"/>
    <w:rsid w:val="00852F3F"/>
    <w:rsid w:val="00855CC8"/>
    <w:rsid w:val="00855DCE"/>
    <w:rsid w:val="008577B0"/>
    <w:rsid w:val="00872F8A"/>
    <w:rsid w:val="00873284"/>
    <w:rsid w:val="0087348E"/>
    <w:rsid w:val="0087537C"/>
    <w:rsid w:val="008755B0"/>
    <w:rsid w:val="00875B31"/>
    <w:rsid w:val="0088398E"/>
    <w:rsid w:val="00883CC3"/>
    <w:rsid w:val="00884565"/>
    <w:rsid w:val="00887BFD"/>
    <w:rsid w:val="00893196"/>
    <w:rsid w:val="008A0509"/>
    <w:rsid w:val="008A0C3C"/>
    <w:rsid w:val="008A2E1C"/>
    <w:rsid w:val="008A4268"/>
    <w:rsid w:val="008A7DCE"/>
    <w:rsid w:val="008B04A4"/>
    <w:rsid w:val="008B1C30"/>
    <w:rsid w:val="008B3DE3"/>
    <w:rsid w:val="008B517B"/>
    <w:rsid w:val="008B66F5"/>
    <w:rsid w:val="008C17C2"/>
    <w:rsid w:val="008C35B4"/>
    <w:rsid w:val="008C4653"/>
    <w:rsid w:val="008D46B7"/>
    <w:rsid w:val="008D6418"/>
    <w:rsid w:val="008D7490"/>
    <w:rsid w:val="008E07D3"/>
    <w:rsid w:val="008E1235"/>
    <w:rsid w:val="008E2DAB"/>
    <w:rsid w:val="008E4A2A"/>
    <w:rsid w:val="008E778C"/>
    <w:rsid w:val="008F4571"/>
    <w:rsid w:val="008F4DF9"/>
    <w:rsid w:val="0090041B"/>
    <w:rsid w:val="00900786"/>
    <w:rsid w:val="00903072"/>
    <w:rsid w:val="009042BC"/>
    <w:rsid w:val="009053D1"/>
    <w:rsid w:val="009063D5"/>
    <w:rsid w:val="00906DAC"/>
    <w:rsid w:val="009108CD"/>
    <w:rsid w:val="00914EA7"/>
    <w:rsid w:val="00924918"/>
    <w:rsid w:val="0093147C"/>
    <w:rsid w:val="009377B2"/>
    <w:rsid w:val="00941093"/>
    <w:rsid w:val="00941E0F"/>
    <w:rsid w:val="0094412B"/>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D17F3"/>
    <w:rsid w:val="009D4313"/>
    <w:rsid w:val="009E19CB"/>
    <w:rsid w:val="009E370B"/>
    <w:rsid w:val="009E5257"/>
    <w:rsid w:val="009E55B3"/>
    <w:rsid w:val="009E5677"/>
    <w:rsid w:val="009F276C"/>
    <w:rsid w:val="009F76B4"/>
    <w:rsid w:val="00A00641"/>
    <w:rsid w:val="00A03C2D"/>
    <w:rsid w:val="00A048FC"/>
    <w:rsid w:val="00A05BFF"/>
    <w:rsid w:val="00A063FC"/>
    <w:rsid w:val="00A0776A"/>
    <w:rsid w:val="00A07FD9"/>
    <w:rsid w:val="00A12676"/>
    <w:rsid w:val="00A1648A"/>
    <w:rsid w:val="00A16DB1"/>
    <w:rsid w:val="00A17903"/>
    <w:rsid w:val="00A31282"/>
    <w:rsid w:val="00A3272D"/>
    <w:rsid w:val="00A3409D"/>
    <w:rsid w:val="00A34652"/>
    <w:rsid w:val="00A43338"/>
    <w:rsid w:val="00A44BC5"/>
    <w:rsid w:val="00A4641B"/>
    <w:rsid w:val="00A46750"/>
    <w:rsid w:val="00A47243"/>
    <w:rsid w:val="00A479C6"/>
    <w:rsid w:val="00A55BCF"/>
    <w:rsid w:val="00A6020A"/>
    <w:rsid w:val="00A62452"/>
    <w:rsid w:val="00A62DB8"/>
    <w:rsid w:val="00A6340A"/>
    <w:rsid w:val="00A63AD5"/>
    <w:rsid w:val="00A70AC8"/>
    <w:rsid w:val="00A946D0"/>
    <w:rsid w:val="00AA2D12"/>
    <w:rsid w:val="00AA51A1"/>
    <w:rsid w:val="00AA76CE"/>
    <w:rsid w:val="00AB368F"/>
    <w:rsid w:val="00AC0CBA"/>
    <w:rsid w:val="00AC3702"/>
    <w:rsid w:val="00AC480C"/>
    <w:rsid w:val="00AC7CB8"/>
    <w:rsid w:val="00AD0539"/>
    <w:rsid w:val="00AD06C2"/>
    <w:rsid w:val="00AE0716"/>
    <w:rsid w:val="00AE413A"/>
    <w:rsid w:val="00AE600F"/>
    <w:rsid w:val="00AF22DF"/>
    <w:rsid w:val="00AF2973"/>
    <w:rsid w:val="00AF29C1"/>
    <w:rsid w:val="00AF425B"/>
    <w:rsid w:val="00AF48B7"/>
    <w:rsid w:val="00AF5F82"/>
    <w:rsid w:val="00AF65D5"/>
    <w:rsid w:val="00B00686"/>
    <w:rsid w:val="00B041EA"/>
    <w:rsid w:val="00B11BF3"/>
    <w:rsid w:val="00B2076A"/>
    <w:rsid w:val="00B2157C"/>
    <w:rsid w:val="00B215AB"/>
    <w:rsid w:val="00B23892"/>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D6109"/>
    <w:rsid w:val="00BE40FF"/>
    <w:rsid w:val="00BF06B9"/>
    <w:rsid w:val="00BF16A4"/>
    <w:rsid w:val="00C00CDE"/>
    <w:rsid w:val="00C01DB2"/>
    <w:rsid w:val="00C06905"/>
    <w:rsid w:val="00C06F36"/>
    <w:rsid w:val="00C179BF"/>
    <w:rsid w:val="00C205F2"/>
    <w:rsid w:val="00C2124A"/>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687E"/>
    <w:rsid w:val="00CA02FD"/>
    <w:rsid w:val="00CA2E24"/>
    <w:rsid w:val="00CA2E3F"/>
    <w:rsid w:val="00CA6270"/>
    <w:rsid w:val="00CB2605"/>
    <w:rsid w:val="00CC0595"/>
    <w:rsid w:val="00CC596F"/>
    <w:rsid w:val="00CC6079"/>
    <w:rsid w:val="00CD38BC"/>
    <w:rsid w:val="00CD42FF"/>
    <w:rsid w:val="00CE0DE6"/>
    <w:rsid w:val="00CE4088"/>
    <w:rsid w:val="00CF2D28"/>
    <w:rsid w:val="00CF78B0"/>
    <w:rsid w:val="00D050AE"/>
    <w:rsid w:val="00D1117B"/>
    <w:rsid w:val="00D11B5A"/>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4F3"/>
    <w:rsid w:val="00DF3406"/>
    <w:rsid w:val="00DF4239"/>
    <w:rsid w:val="00DF4C1C"/>
    <w:rsid w:val="00E010BD"/>
    <w:rsid w:val="00E068C5"/>
    <w:rsid w:val="00E24799"/>
    <w:rsid w:val="00E25606"/>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2AB8"/>
    <w:rsid w:val="00F0437A"/>
    <w:rsid w:val="00F14285"/>
    <w:rsid w:val="00F15750"/>
    <w:rsid w:val="00F16EF8"/>
    <w:rsid w:val="00F21C03"/>
    <w:rsid w:val="00F22F13"/>
    <w:rsid w:val="00F2534D"/>
    <w:rsid w:val="00F25502"/>
    <w:rsid w:val="00F328D8"/>
    <w:rsid w:val="00F368C0"/>
    <w:rsid w:val="00F36DCF"/>
    <w:rsid w:val="00F37B70"/>
    <w:rsid w:val="00F41595"/>
    <w:rsid w:val="00F42D38"/>
    <w:rsid w:val="00F42F1F"/>
    <w:rsid w:val="00F451C1"/>
    <w:rsid w:val="00F47145"/>
    <w:rsid w:val="00F711A0"/>
    <w:rsid w:val="00F72C81"/>
    <w:rsid w:val="00F72F16"/>
    <w:rsid w:val="00F75A58"/>
    <w:rsid w:val="00F77009"/>
    <w:rsid w:val="00F8107A"/>
    <w:rsid w:val="00F85FC8"/>
    <w:rsid w:val="00F925E5"/>
    <w:rsid w:val="00F93F7E"/>
    <w:rsid w:val="00F94BEB"/>
    <w:rsid w:val="00F95837"/>
    <w:rsid w:val="00FA1357"/>
    <w:rsid w:val="00FA432A"/>
    <w:rsid w:val="00FB38ED"/>
    <w:rsid w:val="00FB771F"/>
    <w:rsid w:val="00FC53C3"/>
    <w:rsid w:val="00FD5B14"/>
    <w:rsid w:val="00FE2FAF"/>
    <w:rsid w:val="00FE45A4"/>
    <w:rsid w:val="00FE5970"/>
    <w:rsid w:val="00FF19FD"/>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paragraph" w:styleId="PlainText">
    <w:name w:val="Plain Text"/>
    <w:basedOn w:val="Normal"/>
    <w:link w:val="PlainTextChar"/>
    <w:uiPriority w:val="99"/>
    <w:unhideWhenUsed/>
    <w:rsid w:val="00817432"/>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817432"/>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paragraph" w:styleId="PlainText">
    <w:name w:val="Plain Text"/>
    <w:basedOn w:val="Normal"/>
    <w:link w:val="PlainTextChar"/>
    <w:uiPriority w:val="99"/>
    <w:unhideWhenUsed/>
    <w:rsid w:val="00817432"/>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81743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4</cp:revision>
  <cp:lastPrinted>2018-08-02T07:08:00Z</cp:lastPrinted>
  <dcterms:created xsi:type="dcterms:W3CDTF">2018-08-02T07:09:00Z</dcterms:created>
  <dcterms:modified xsi:type="dcterms:W3CDTF">2018-08-14T13:30:00Z</dcterms:modified>
</cp:coreProperties>
</file>