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ADC7" w14:textId="77777777" w:rsidR="003D2372" w:rsidRPr="00D51E5C" w:rsidRDefault="0049023F" w:rsidP="00490D5F">
      <w:pPr>
        <w:spacing w:before="100" w:beforeAutospacing="1" w:after="100" w:afterAutospacing="1" w:line="240" w:lineRule="auto"/>
        <w:ind w:left="720" w:hanging="720"/>
        <w:jc w:val="both"/>
        <w:outlineLvl w:val="0"/>
        <w:rPr>
          <w:rFonts w:ascii="Arial" w:hAnsi="Arial" w:cs="Arial"/>
          <w:b/>
          <w:noProof/>
          <w:lang w:val="af-ZA"/>
        </w:rPr>
      </w:pPr>
      <w:bookmarkStart w:id="0" w:name="_GoBack"/>
      <w:bookmarkEnd w:id="0"/>
      <w:r w:rsidRPr="00D51E5C">
        <w:rPr>
          <w:rFonts w:ascii="Arial" w:hAnsi="Arial" w:cs="Arial"/>
          <w:b/>
          <w:noProof/>
          <w:lang w:val="af-ZA"/>
        </w:rPr>
        <w:tab/>
      </w:r>
      <w:r w:rsidR="003D2372" w:rsidRPr="00D51E5C">
        <w:rPr>
          <w:rFonts w:ascii="Arial" w:hAnsi="Arial" w:cs="Arial"/>
          <w:b/>
          <w:noProof/>
          <w:lang w:eastAsia="en-ZA"/>
        </w:rPr>
        <w:drawing>
          <wp:anchor distT="0" distB="0" distL="114300" distR="114300" simplePos="0" relativeHeight="251659264" behindDoc="1" locked="0" layoutInCell="1" allowOverlap="1" wp14:anchorId="1926AE4F" wp14:editId="1926AE50">
            <wp:simplePos x="0" y="0"/>
            <wp:positionH relativeFrom="column">
              <wp:posOffset>-231140</wp:posOffset>
            </wp:positionH>
            <wp:positionV relativeFrom="paragraph">
              <wp:posOffset>-324485</wp:posOffset>
            </wp:positionV>
            <wp:extent cx="2218704" cy="882502"/>
            <wp:effectExtent l="0" t="0" r="0" b="0"/>
            <wp:wrapNone/>
            <wp:docPr id="1" name="Picture 1" descr="the 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ti logo"/>
                    <pic:cNvPicPr>
                      <a:picLocks noChangeAspect="1" noChangeArrowheads="1"/>
                    </pic:cNvPicPr>
                  </pic:nvPicPr>
                  <pic:blipFill>
                    <a:blip r:embed="rId7" cstate="print"/>
                    <a:srcRect/>
                    <a:stretch>
                      <a:fillRect/>
                    </a:stretch>
                  </pic:blipFill>
                  <pic:spPr bwMode="auto">
                    <a:xfrm>
                      <a:off x="0" y="0"/>
                      <a:ext cx="2218704" cy="882502"/>
                    </a:xfrm>
                    <a:prstGeom prst="rect">
                      <a:avLst/>
                    </a:prstGeom>
                    <a:noFill/>
                    <a:ln w="9525">
                      <a:noFill/>
                      <a:miter lim="800000"/>
                      <a:headEnd/>
                      <a:tailEnd/>
                    </a:ln>
                  </pic:spPr>
                </pic:pic>
              </a:graphicData>
            </a:graphic>
          </wp:anchor>
        </w:drawing>
      </w:r>
    </w:p>
    <w:p w14:paraId="1926ADC8" w14:textId="77777777" w:rsidR="003D2372" w:rsidRPr="00D51E5C" w:rsidRDefault="0049023F" w:rsidP="00490D5F">
      <w:pPr>
        <w:spacing w:before="100" w:beforeAutospacing="1" w:after="100" w:afterAutospacing="1" w:line="240" w:lineRule="auto"/>
        <w:ind w:left="720" w:hanging="720"/>
        <w:jc w:val="both"/>
        <w:outlineLvl w:val="0"/>
        <w:rPr>
          <w:rFonts w:ascii="Arial" w:hAnsi="Arial" w:cs="Arial"/>
          <w:b/>
          <w:noProof/>
          <w:lang w:val="af-ZA"/>
        </w:rPr>
      </w:pPr>
      <w:r w:rsidRPr="00D51E5C">
        <w:rPr>
          <w:rFonts w:ascii="Arial" w:hAnsi="Arial" w:cs="Arial"/>
          <w:b/>
          <w:noProof/>
          <w:lang w:val="af-ZA"/>
        </w:rPr>
        <w:tab/>
      </w:r>
      <w:r w:rsidRPr="00D51E5C">
        <w:rPr>
          <w:rFonts w:ascii="Arial" w:hAnsi="Arial" w:cs="Arial"/>
          <w:b/>
          <w:noProof/>
          <w:lang w:val="af-ZA"/>
        </w:rPr>
        <w:tab/>
      </w:r>
      <w:r w:rsidRPr="00D51E5C">
        <w:rPr>
          <w:rFonts w:ascii="Arial" w:hAnsi="Arial" w:cs="Arial"/>
          <w:b/>
          <w:noProof/>
          <w:lang w:val="af-ZA"/>
        </w:rPr>
        <w:tab/>
        <w:t xml:space="preserve">   </w:t>
      </w:r>
    </w:p>
    <w:p w14:paraId="1926ADC9" w14:textId="77777777" w:rsidR="0049023F" w:rsidRPr="00D51E5C" w:rsidRDefault="00C66898" w:rsidP="00A065CF">
      <w:pPr>
        <w:spacing w:before="100" w:beforeAutospacing="1" w:after="100" w:afterAutospacing="1" w:line="240" w:lineRule="auto"/>
        <w:ind w:left="2160" w:firstLine="720"/>
        <w:outlineLvl w:val="0"/>
        <w:rPr>
          <w:rFonts w:ascii="Arial" w:hAnsi="Arial" w:cs="Arial"/>
          <w:b/>
          <w:noProof/>
          <w:lang w:val="af-ZA"/>
        </w:rPr>
      </w:pPr>
      <w:r>
        <w:rPr>
          <w:rFonts w:ascii="Arial" w:hAnsi="Arial" w:cs="Arial"/>
          <w:b/>
          <w:noProof/>
          <w:lang w:val="af-ZA"/>
        </w:rPr>
        <w:t xml:space="preserve">                                        </w:t>
      </w:r>
      <w:r w:rsidR="0049023F" w:rsidRPr="00D51E5C">
        <w:rPr>
          <w:rFonts w:ascii="Arial" w:hAnsi="Arial" w:cs="Arial"/>
          <w:b/>
          <w:noProof/>
          <w:lang w:val="af-ZA"/>
        </w:rPr>
        <w:t>THE NATIONAL ASSEMBLY</w:t>
      </w:r>
    </w:p>
    <w:p w14:paraId="1926ADCA" w14:textId="77777777" w:rsidR="0049023F" w:rsidRPr="00D51E5C" w:rsidRDefault="0049023F" w:rsidP="00A065CF">
      <w:pPr>
        <w:spacing w:before="100" w:beforeAutospacing="1" w:after="100" w:afterAutospacing="1" w:line="240" w:lineRule="auto"/>
        <w:ind w:left="720" w:hanging="720"/>
        <w:jc w:val="center"/>
        <w:outlineLvl w:val="0"/>
        <w:rPr>
          <w:rFonts w:ascii="Arial" w:hAnsi="Arial" w:cs="Arial"/>
          <w:b/>
          <w:noProof/>
          <w:lang w:val="af-ZA"/>
        </w:rPr>
      </w:pPr>
      <w:r w:rsidRPr="00D51E5C">
        <w:rPr>
          <w:rFonts w:ascii="Arial" w:hAnsi="Arial" w:cs="Arial"/>
          <w:b/>
          <w:noProof/>
          <w:lang w:val="af-ZA"/>
        </w:rPr>
        <w:t>QUESTION FOR WRITTEN REPLY</w:t>
      </w:r>
    </w:p>
    <w:p w14:paraId="1926ADCB" w14:textId="77777777" w:rsidR="000E652C" w:rsidRPr="00D51E5C" w:rsidRDefault="000E652C" w:rsidP="00490D5F">
      <w:pPr>
        <w:spacing w:before="100" w:beforeAutospacing="1" w:after="100" w:afterAutospacing="1" w:line="240" w:lineRule="auto"/>
        <w:ind w:left="720" w:hanging="720"/>
        <w:jc w:val="both"/>
        <w:outlineLvl w:val="0"/>
        <w:rPr>
          <w:rFonts w:ascii="Arial" w:hAnsi="Arial" w:cs="Arial"/>
          <w:b/>
          <w:noProof/>
          <w:lang w:val="af-ZA"/>
        </w:rPr>
      </w:pPr>
      <w:r w:rsidRPr="00D51E5C">
        <w:rPr>
          <w:rFonts w:ascii="Arial" w:hAnsi="Arial" w:cs="Arial"/>
          <w:b/>
          <w:noProof/>
          <w:lang w:val="af-ZA"/>
        </w:rPr>
        <w:t>1671.</w:t>
      </w:r>
      <w:r w:rsidRPr="00D51E5C">
        <w:rPr>
          <w:rFonts w:ascii="Arial" w:hAnsi="Arial" w:cs="Arial"/>
          <w:b/>
          <w:noProof/>
          <w:lang w:val="af-ZA"/>
        </w:rPr>
        <w:tab/>
        <w:t>Mr T W Mhlongo (DA) to ask the Minister of Trade and Industry:</w:t>
      </w:r>
    </w:p>
    <w:p w14:paraId="1926ADCC" w14:textId="77777777" w:rsidR="00473C88" w:rsidRDefault="008667ED" w:rsidP="00EF3395">
      <w:pPr>
        <w:spacing w:before="100" w:beforeAutospacing="1" w:after="100" w:afterAutospacing="1"/>
        <w:ind w:left="426" w:hanging="426"/>
        <w:jc w:val="both"/>
        <w:rPr>
          <w:rFonts w:ascii="Arial" w:eastAsia="Times New Roman" w:hAnsi="Arial" w:cs="Arial"/>
          <w:iCs/>
          <w:lang w:val="en-US" w:eastAsia="en-ZA"/>
        </w:rPr>
      </w:pPr>
      <w:r w:rsidRPr="00D51E5C">
        <w:rPr>
          <w:rFonts w:ascii="Arial" w:eastAsia="Times New Roman" w:hAnsi="Arial" w:cs="Arial"/>
          <w:iCs/>
          <w:lang w:val="en-US" w:eastAsia="en-ZA"/>
        </w:rPr>
        <w:t xml:space="preserve"> </w:t>
      </w:r>
      <w:proofErr w:type="gramStart"/>
      <w:r w:rsidR="000E652C" w:rsidRPr="00D51E5C">
        <w:rPr>
          <w:rFonts w:ascii="Arial" w:eastAsia="Times New Roman" w:hAnsi="Arial" w:cs="Arial"/>
          <w:iCs/>
          <w:lang w:val="en-US" w:eastAsia="en-ZA"/>
        </w:rPr>
        <w:t>(a) What number of cases relating to the Prevention and Combating of Corrupt Activities Act, Act 12 of 2004, as amended, have been referred to the (</w:t>
      </w:r>
      <w:proofErr w:type="spellStart"/>
      <w:r w:rsidR="000E652C" w:rsidRPr="00D51E5C">
        <w:rPr>
          <w:rFonts w:ascii="Arial" w:eastAsia="Times New Roman" w:hAnsi="Arial" w:cs="Arial"/>
          <w:iCs/>
          <w:lang w:val="en-US" w:eastAsia="en-ZA"/>
        </w:rPr>
        <w:t>i</w:t>
      </w:r>
      <w:proofErr w:type="spellEnd"/>
      <w:r w:rsidR="000E652C" w:rsidRPr="00D51E5C">
        <w:rPr>
          <w:rFonts w:ascii="Arial" w:eastAsia="Times New Roman" w:hAnsi="Arial" w:cs="Arial"/>
          <w:iCs/>
          <w:lang w:val="en-US" w:eastAsia="en-ZA"/>
        </w:rPr>
        <w:t>) SA Police Service (SAPS) and (ii) Directorate for Priority Crime Investigation (DPCI) by (aa) his department and (bb) each entity reporting to him for further investigation since the Act was assented to and (b) what number of the specified cases have (</w:t>
      </w:r>
      <w:proofErr w:type="spellStart"/>
      <w:r w:rsidR="000E652C" w:rsidRPr="00D51E5C">
        <w:rPr>
          <w:rFonts w:ascii="Arial" w:eastAsia="Times New Roman" w:hAnsi="Arial" w:cs="Arial"/>
          <w:iCs/>
          <w:lang w:val="en-US" w:eastAsia="en-ZA"/>
        </w:rPr>
        <w:t>i</w:t>
      </w:r>
      <w:proofErr w:type="spellEnd"/>
      <w:r w:rsidR="000E652C" w:rsidRPr="00D51E5C">
        <w:rPr>
          <w:rFonts w:ascii="Arial" w:eastAsia="Times New Roman" w:hAnsi="Arial" w:cs="Arial"/>
          <w:iCs/>
          <w:lang w:val="en-US" w:eastAsia="en-ZA"/>
        </w:rPr>
        <w:t>) been investigated by SAPS and DPCI, (ii) been followed up by the respective accounting officers and (iii) resulted in a conviction in each specified fi</w:t>
      </w:r>
      <w:r w:rsidRPr="00D51E5C">
        <w:rPr>
          <w:rFonts w:ascii="Arial" w:eastAsia="Times New Roman" w:hAnsi="Arial" w:cs="Arial"/>
          <w:iCs/>
          <w:lang w:val="en-US" w:eastAsia="en-ZA"/>
        </w:rPr>
        <w:t>nancial year since 2004?NW1821E</w:t>
      </w:r>
      <w:proofErr w:type="gramEnd"/>
    </w:p>
    <w:tbl>
      <w:tblPr>
        <w:tblStyle w:val="TableGrid"/>
        <w:tblpPr w:leftFromText="180" w:rightFromText="180" w:vertAnchor="page" w:horzAnchor="margin" w:tblpY="5816"/>
        <w:tblW w:w="13665" w:type="dxa"/>
        <w:tblLook w:val="04A0" w:firstRow="1" w:lastRow="0" w:firstColumn="1" w:lastColumn="0" w:noHBand="0" w:noVBand="1"/>
      </w:tblPr>
      <w:tblGrid>
        <w:gridCol w:w="1042"/>
        <w:gridCol w:w="4686"/>
        <w:gridCol w:w="7937"/>
      </w:tblGrid>
      <w:tr w:rsidR="00F63F1E" w:rsidRPr="00F63F1E" w14:paraId="1926ADD0" w14:textId="77777777" w:rsidTr="00F63F1E">
        <w:trPr>
          <w:trHeight w:val="199"/>
        </w:trPr>
        <w:tc>
          <w:tcPr>
            <w:tcW w:w="1042" w:type="dxa"/>
          </w:tcPr>
          <w:p w14:paraId="1926ADCD" w14:textId="77777777" w:rsidR="00F63F1E" w:rsidRPr="00F63F1E" w:rsidRDefault="00F63F1E" w:rsidP="00F63F1E">
            <w:pPr>
              <w:spacing w:after="0" w:line="240" w:lineRule="auto"/>
              <w:rPr>
                <w:rFonts w:ascii="Arial" w:eastAsia="Calibri" w:hAnsi="Arial" w:cs="Arial"/>
                <w:b/>
                <w:sz w:val="20"/>
                <w:szCs w:val="20"/>
                <w:lang w:val="en-US"/>
              </w:rPr>
            </w:pPr>
            <w:r w:rsidRPr="00F63F1E">
              <w:rPr>
                <w:rFonts w:ascii="Arial" w:eastAsia="Calibri" w:hAnsi="Arial" w:cs="Arial"/>
                <w:b/>
                <w:sz w:val="20"/>
                <w:szCs w:val="20"/>
                <w:lang w:val="en-US"/>
              </w:rPr>
              <w:t>a (</w:t>
            </w:r>
            <w:proofErr w:type="spellStart"/>
            <w:r w:rsidRPr="00F63F1E">
              <w:rPr>
                <w:rFonts w:ascii="Arial" w:eastAsia="Calibri" w:hAnsi="Arial" w:cs="Arial"/>
                <w:b/>
                <w:sz w:val="20"/>
                <w:szCs w:val="20"/>
                <w:lang w:val="en-US"/>
              </w:rPr>
              <w:t>i</w:t>
            </w:r>
            <w:proofErr w:type="spellEnd"/>
            <w:r w:rsidRPr="00F63F1E">
              <w:rPr>
                <w:rFonts w:ascii="Arial" w:eastAsia="Calibri" w:hAnsi="Arial" w:cs="Arial"/>
                <w:b/>
                <w:sz w:val="20"/>
                <w:szCs w:val="20"/>
                <w:lang w:val="en-US"/>
              </w:rPr>
              <w:t>)</w:t>
            </w:r>
          </w:p>
        </w:tc>
        <w:tc>
          <w:tcPr>
            <w:tcW w:w="4686" w:type="dxa"/>
          </w:tcPr>
          <w:p w14:paraId="1926ADCE" w14:textId="77777777" w:rsidR="00F63F1E" w:rsidRPr="00F63F1E" w:rsidRDefault="00F63F1E" w:rsidP="00F63F1E">
            <w:pPr>
              <w:spacing w:after="0" w:line="240" w:lineRule="auto"/>
              <w:rPr>
                <w:rFonts w:ascii="Arial" w:eastAsia="Calibri" w:hAnsi="Arial" w:cs="Arial"/>
                <w:b/>
                <w:sz w:val="20"/>
                <w:szCs w:val="20"/>
                <w:lang w:val="en-US"/>
              </w:rPr>
            </w:pPr>
            <w:r w:rsidRPr="00F63F1E">
              <w:rPr>
                <w:rFonts w:ascii="Arial" w:eastAsia="Calibri" w:hAnsi="Arial" w:cs="Arial"/>
                <w:b/>
                <w:sz w:val="20"/>
                <w:szCs w:val="20"/>
                <w:lang w:val="en-US"/>
              </w:rPr>
              <w:t>Cases referred to SAPS</w:t>
            </w:r>
          </w:p>
        </w:tc>
        <w:tc>
          <w:tcPr>
            <w:tcW w:w="7937" w:type="dxa"/>
          </w:tcPr>
          <w:p w14:paraId="1926ADCF" w14:textId="77777777" w:rsidR="00F63F1E" w:rsidRPr="00F63F1E" w:rsidRDefault="00F63F1E" w:rsidP="00F63F1E">
            <w:pPr>
              <w:spacing w:after="0" w:line="240" w:lineRule="auto"/>
              <w:rPr>
                <w:rFonts w:ascii="Arial" w:eastAsia="Calibri" w:hAnsi="Arial" w:cs="Arial"/>
                <w:sz w:val="20"/>
                <w:szCs w:val="20"/>
                <w:lang w:val="en-US"/>
              </w:rPr>
            </w:pPr>
            <w:r w:rsidRPr="00F63F1E">
              <w:rPr>
                <w:rFonts w:ascii="Arial" w:eastAsia="Calibri" w:hAnsi="Arial" w:cs="Arial"/>
                <w:sz w:val="20"/>
                <w:szCs w:val="20"/>
                <w:lang w:val="en-US"/>
              </w:rPr>
              <w:t>24 Cases</w:t>
            </w:r>
          </w:p>
        </w:tc>
      </w:tr>
      <w:tr w:rsidR="00F63F1E" w:rsidRPr="00F63F1E" w14:paraId="1926ADD4" w14:textId="77777777" w:rsidTr="00F63F1E">
        <w:trPr>
          <w:trHeight w:val="408"/>
        </w:trPr>
        <w:tc>
          <w:tcPr>
            <w:tcW w:w="1042" w:type="dxa"/>
          </w:tcPr>
          <w:p w14:paraId="1926ADD1" w14:textId="77777777" w:rsidR="00F63F1E" w:rsidRPr="00F63F1E" w:rsidRDefault="00F63F1E" w:rsidP="00F63F1E">
            <w:pPr>
              <w:spacing w:after="0" w:line="240" w:lineRule="auto"/>
              <w:rPr>
                <w:rFonts w:ascii="Arial" w:eastAsia="Calibri" w:hAnsi="Arial" w:cs="Arial"/>
                <w:b/>
                <w:sz w:val="20"/>
                <w:szCs w:val="20"/>
                <w:lang w:val="en-US"/>
              </w:rPr>
            </w:pPr>
            <w:r w:rsidRPr="00F63F1E">
              <w:rPr>
                <w:rFonts w:ascii="Arial" w:eastAsia="Calibri" w:hAnsi="Arial" w:cs="Arial"/>
                <w:b/>
                <w:sz w:val="20"/>
                <w:szCs w:val="20"/>
                <w:lang w:val="en-US"/>
              </w:rPr>
              <w:t>a (ii)</w:t>
            </w:r>
          </w:p>
        </w:tc>
        <w:tc>
          <w:tcPr>
            <w:tcW w:w="4686" w:type="dxa"/>
          </w:tcPr>
          <w:p w14:paraId="1926ADD2" w14:textId="77777777" w:rsidR="00F63F1E" w:rsidRPr="00F63F1E" w:rsidRDefault="00F63F1E" w:rsidP="00F63F1E">
            <w:pPr>
              <w:spacing w:after="0" w:line="240" w:lineRule="auto"/>
              <w:rPr>
                <w:rFonts w:ascii="Arial" w:eastAsia="Calibri" w:hAnsi="Arial" w:cs="Arial"/>
                <w:b/>
                <w:sz w:val="20"/>
                <w:szCs w:val="20"/>
                <w:lang w:val="en-US"/>
              </w:rPr>
            </w:pPr>
            <w:r w:rsidRPr="00F63F1E">
              <w:rPr>
                <w:rFonts w:ascii="Arial" w:eastAsia="Calibri" w:hAnsi="Arial" w:cs="Arial"/>
                <w:b/>
                <w:sz w:val="20"/>
                <w:szCs w:val="20"/>
                <w:lang w:val="en-US"/>
              </w:rPr>
              <w:t xml:space="preserve">Cases referred to Serious Crime </w:t>
            </w:r>
          </w:p>
        </w:tc>
        <w:tc>
          <w:tcPr>
            <w:tcW w:w="7937" w:type="dxa"/>
          </w:tcPr>
          <w:p w14:paraId="1926ADD3" w14:textId="77777777" w:rsidR="00F63F1E" w:rsidRPr="00F63F1E" w:rsidRDefault="00F63F1E" w:rsidP="00F63F1E">
            <w:pPr>
              <w:spacing w:after="0" w:line="240" w:lineRule="auto"/>
              <w:rPr>
                <w:rFonts w:ascii="Arial" w:eastAsia="Calibri" w:hAnsi="Arial" w:cs="Arial"/>
                <w:sz w:val="20"/>
                <w:szCs w:val="20"/>
                <w:lang w:val="en-US"/>
              </w:rPr>
            </w:pPr>
            <w:r w:rsidRPr="00F63F1E">
              <w:rPr>
                <w:rFonts w:ascii="Arial" w:eastAsia="Calibri" w:hAnsi="Arial" w:cs="Arial"/>
                <w:sz w:val="20"/>
                <w:szCs w:val="20"/>
                <w:lang w:val="en-US"/>
              </w:rPr>
              <w:t>2 Cases (1 closed and 1 is ongoing)</w:t>
            </w:r>
          </w:p>
        </w:tc>
      </w:tr>
      <w:tr w:rsidR="00F63F1E" w:rsidRPr="00F63F1E" w14:paraId="1926ADDA" w14:textId="77777777" w:rsidTr="00F63F1E">
        <w:trPr>
          <w:trHeight w:val="1644"/>
        </w:trPr>
        <w:tc>
          <w:tcPr>
            <w:tcW w:w="1042" w:type="dxa"/>
          </w:tcPr>
          <w:p w14:paraId="1926ADD5" w14:textId="77777777" w:rsidR="00F63F1E" w:rsidRPr="00F63F1E" w:rsidRDefault="00F63F1E" w:rsidP="00F63F1E">
            <w:pPr>
              <w:spacing w:after="0" w:line="240" w:lineRule="auto"/>
              <w:rPr>
                <w:rFonts w:ascii="Arial" w:eastAsia="Calibri" w:hAnsi="Arial" w:cs="Arial"/>
                <w:b/>
                <w:sz w:val="20"/>
                <w:szCs w:val="20"/>
                <w:lang w:val="en-US"/>
              </w:rPr>
            </w:pPr>
            <w:r w:rsidRPr="00F63F1E">
              <w:rPr>
                <w:rFonts w:ascii="Arial" w:eastAsia="Calibri" w:hAnsi="Arial" w:cs="Arial"/>
                <w:b/>
                <w:sz w:val="20"/>
                <w:szCs w:val="20"/>
                <w:lang w:val="en-US"/>
              </w:rPr>
              <w:t>b (</w:t>
            </w:r>
            <w:proofErr w:type="spellStart"/>
            <w:r w:rsidRPr="00F63F1E">
              <w:rPr>
                <w:rFonts w:ascii="Arial" w:eastAsia="Calibri" w:hAnsi="Arial" w:cs="Arial"/>
                <w:b/>
                <w:sz w:val="20"/>
                <w:szCs w:val="20"/>
                <w:lang w:val="en-US"/>
              </w:rPr>
              <w:t>i</w:t>
            </w:r>
            <w:proofErr w:type="spellEnd"/>
            <w:r w:rsidRPr="00F63F1E">
              <w:rPr>
                <w:rFonts w:ascii="Arial" w:eastAsia="Calibri" w:hAnsi="Arial" w:cs="Arial"/>
                <w:b/>
                <w:sz w:val="20"/>
                <w:szCs w:val="20"/>
                <w:lang w:val="en-US"/>
              </w:rPr>
              <w:t>)</w:t>
            </w:r>
          </w:p>
        </w:tc>
        <w:tc>
          <w:tcPr>
            <w:tcW w:w="4686" w:type="dxa"/>
          </w:tcPr>
          <w:p w14:paraId="1926ADD6" w14:textId="77777777" w:rsidR="00F63F1E" w:rsidRPr="00F63F1E" w:rsidRDefault="00F63F1E" w:rsidP="00F63F1E">
            <w:pPr>
              <w:spacing w:after="0" w:line="240" w:lineRule="auto"/>
              <w:rPr>
                <w:rFonts w:ascii="Arial" w:eastAsia="Calibri" w:hAnsi="Arial" w:cs="Arial"/>
                <w:b/>
                <w:sz w:val="20"/>
                <w:szCs w:val="20"/>
                <w:lang w:val="en-US"/>
              </w:rPr>
            </w:pPr>
            <w:proofErr w:type="gramStart"/>
            <w:r w:rsidRPr="00F63F1E">
              <w:rPr>
                <w:rFonts w:ascii="Arial" w:eastAsia="Calibri" w:hAnsi="Arial" w:cs="Arial"/>
                <w:b/>
                <w:sz w:val="20"/>
                <w:szCs w:val="20"/>
                <w:lang w:val="en-US"/>
              </w:rPr>
              <w:t>Most of the cases were closed by the SAPS and Prosecutors</w:t>
            </w:r>
            <w:proofErr w:type="gramEnd"/>
            <w:r w:rsidRPr="00F63F1E">
              <w:rPr>
                <w:rFonts w:ascii="Arial" w:eastAsia="Calibri" w:hAnsi="Arial" w:cs="Arial"/>
                <w:b/>
                <w:sz w:val="20"/>
                <w:szCs w:val="20"/>
                <w:lang w:val="en-US"/>
              </w:rPr>
              <w:t>.</w:t>
            </w:r>
          </w:p>
        </w:tc>
        <w:tc>
          <w:tcPr>
            <w:tcW w:w="7937" w:type="dxa"/>
          </w:tcPr>
          <w:p w14:paraId="1926ADD7" w14:textId="77777777" w:rsidR="00F63F1E" w:rsidRPr="00F63F1E" w:rsidRDefault="00F63F1E" w:rsidP="00F63F1E">
            <w:pPr>
              <w:numPr>
                <w:ilvl w:val="0"/>
                <w:numId w:val="1"/>
              </w:numPr>
              <w:spacing w:after="0" w:line="240" w:lineRule="auto"/>
              <w:ind w:left="250" w:hanging="250"/>
              <w:contextualSpacing/>
              <w:rPr>
                <w:rFonts w:ascii="Arial" w:eastAsia="Calibri" w:hAnsi="Arial" w:cs="Arial"/>
                <w:sz w:val="20"/>
                <w:szCs w:val="20"/>
                <w:lang w:val="en-US"/>
              </w:rPr>
            </w:pPr>
            <w:proofErr w:type="gramStart"/>
            <w:r w:rsidRPr="00F63F1E">
              <w:rPr>
                <w:rFonts w:ascii="Arial" w:eastAsia="Calibri" w:hAnsi="Arial" w:cs="Arial"/>
                <w:sz w:val="20"/>
                <w:szCs w:val="20"/>
                <w:lang w:val="en-US"/>
              </w:rPr>
              <w:t>20</w:t>
            </w:r>
            <w:proofErr w:type="gramEnd"/>
            <w:r w:rsidRPr="00F63F1E">
              <w:rPr>
                <w:rFonts w:ascii="Arial" w:eastAsia="Calibri" w:hAnsi="Arial" w:cs="Arial"/>
                <w:sz w:val="20"/>
                <w:szCs w:val="20"/>
                <w:lang w:val="en-US"/>
              </w:rPr>
              <w:t xml:space="preserve"> Cases were closed for various reasons which includes amongst others inability to locate witnesses and limited information to achieve the beyond reasonable doubt criteria.  </w:t>
            </w:r>
          </w:p>
          <w:p w14:paraId="1926ADD8" w14:textId="77777777" w:rsidR="00F63F1E" w:rsidRPr="00F63F1E" w:rsidRDefault="00F63F1E" w:rsidP="00F63F1E">
            <w:pPr>
              <w:numPr>
                <w:ilvl w:val="0"/>
                <w:numId w:val="1"/>
              </w:numPr>
              <w:spacing w:after="0" w:line="240" w:lineRule="auto"/>
              <w:ind w:left="250" w:hanging="250"/>
              <w:contextualSpacing/>
              <w:rPr>
                <w:rFonts w:ascii="Arial" w:eastAsia="Calibri" w:hAnsi="Arial" w:cs="Arial"/>
                <w:sz w:val="20"/>
                <w:szCs w:val="20"/>
                <w:lang w:val="en-US"/>
              </w:rPr>
            </w:pPr>
            <w:r w:rsidRPr="00F63F1E">
              <w:rPr>
                <w:rFonts w:ascii="Arial" w:eastAsia="Calibri" w:hAnsi="Arial" w:cs="Arial"/>
                <w:sz w:val="20"/>
                <w:szCs w:val="20"/>
                <w:lang w:val="en-US"/>
              </w:rPr>
              <w:t xml:space="preserve">Some of the cases were believed to be </w:t>
            </w:r>
            <w:proofErr w:type="spellStart"/>
            <w:r w:rsidRPr="00F63F1E">
              <w:rPr>
                <w:rFonts w:ascii="Arial" w:eastAsia="Calibri" w:hAnsi="Arial" w:cs="Arial"/>
                <w:sz w:val="20"/>
                <w:szCs w:val="20"/>
                <w:lang w:val="en-US"/>
              </w:rPr>
              <w:t>nolle</w:t>
            </w:r>
            <w:proofErr w:type="spellEnd"/>
            <w:r w:rsidRPr="00F63F1E">
              <w:rPr>
                <w:rFonts w:ascii="Arial" w:eastAsia="Calibri" w:hAnsi="Arial" w:cs="Arial"/>
                <w:sz w:val="20"/>
                <w:szCs w:val="20"/>
                <w:lang w:val="en-US"/>
              </w:rPr>
              <w:t xml:space="preserve"> </w:t>
            </w:r>
            <w:proofErr w:type="spellStart"/>
            <w:r w:rsidRPr="00F63F1E">
              <w:rPr>
                <w:rFonts w:ascii="Arial" w:eastAsia="Calibri" w:hAnsi="Arial" w:cs="Arial"/>
                <w:sz w:val="20"/>
                <w:szCs w:val="20"/>
                <w:lang w:val="en-US"/>
              </w:rPr>
              <w:t>procuqui</w:t>
            </w:r>
            <w:proofErr w:type="spellEnd"/>
            <w:r w:rsidRPr="00F63F1E">
              <w:rPr>
                <w:rFonts w:ascii="Arial" w:eastAsia="Calibri" w:hAnsi="Arial" w:cs="Arial"/>
                <w:sz w:val="20"/>
                <w:szCs w:val="20"/>
                <w:lang w:val="en-US"/>
              </w:rPr>
              <w:t xml:space="preserve"> (unwilling to pursue) the case because the chances of successful prosecution are minimal.</w:t>
            </w:r>
          </w:p>
          <w:p w14:paraId="1926ADD9" w14:textId="77777777" w:rsidR="00F63F1E" w:rsidRPr="00F63F1E" w:rsidRDefault="00F63F1E" w:rsidP="00F63F1E">
            <w:pPr>
              <w:numPr>
                <w:ilvl w:val="0"/>
                <w:numId w:val="1"/>
              </w:numPr>
              <w:spacing w:after="0" w:line="240" w:lineRule="auto"/>
              <w:ind w:left="250" w:hanging="250"/>
              <w:contextualSpacing/>
              <w:rPr>
                <w:rFonts w:ascii="Arial" w:eastAsia="Calibri" w:hAnsi="Arial" w:cs="Arial"/>
                <w:sz w:val="20"/>
                <w:szCs w:val="20"/>
                <w:lang w:val="en-US"/>
              </w:rPr>
            </w:pPr>
            <w:proofErr w:type="gramStart"/>
            <w:r w:rsidRPr="00F63F1E">
              <w:rPr>
                <w:rFonts w:ascii="Arial" w:eastAsia="Calibri" w:hAnsi="Arial" w:cs="Arial"/>
                <w:sz w:val="20"/>
                <w:szCs w:val="20"/>
                <w:lang w:val="en-US"/>
              </w:rPr>
              <w:t>3</w:t>
            </w:r>
            <w:proofErr w:type="gramEnd"/>
            <w:r w:rsidRPr="00F63F1E">
              <w:rPr>
                <w:rFonts w:ascii="Arial" w:eastAsia="Calibri" w:hAnsi="Arial" w:cs="Arial"/>
                <w:sz w:val="20"/>
                <w:szCs w:val="20"/>
                <w:lang w:val="en-US"/>
              </w:rPr>
              <w:t xml:space="preserve"> of the 24 cases are still under investigation.</w:t>
            </w:r>
          </w:p>
        </w:tc>
      </w:tr>
      <w:tr w:rsidR="00F63F1E" w:rsidRPr="00F63F1E" w14:paraId="1926ADDE" w14:textId="77777777" w:rsidTr="00F63F1E">
        <w:trPr>
          <w:trHeight w:val="828"/>
        </w:trPr>
        <w:tc>
          <w:tcPr>
            <w:tcW w:w="1042" w:type="dxa"/>
          </w:tcPr>
          <w:p w14:paraId="1926ADDB" w14:textId="77777777" w:rsidR="00F63F1E" w:rsidRPr="00F63F1E" w:rsidRDefault="00F63F1E" w:rsidP="00F63F1E">
            <w:pPr>
              <w:spacing w:after="0" w:line="240" w:lineRule="auto"/>
              <w:rPr>
                <w:rFonts w:ascii="Arial" w:eastAsia="Calibri" w:hAnsi="Arial" w:cs="Arial"/>
                <w:b/>
                <w:sz w:val="20"/>
                <w:szCs w:val="20"/>
                <w:lang w:val="en-US"/>
              </w:rPr>
            </w:pPr>
            <w:r w:rsidRPr="00F63F1E">
              <w:rPr>
                <w:rFonts w:ascii="Arial" w:eastAsia="Calibri" w:hAnsi="Arial" w:cs="Arial"/>
                <w:b/>
                <w:sz w:val="20"/>
                <w:szCs w:val="20"/>
                <w:lang w:val="en-US"/>
              </w:rPr>
              <w:t>B (iii)</w:t>
            </w:r>
          </w:p>
        </w:tc>
        <w:tc>
          <w:tcPr>
            <w:tcW w:w="4686" w:type="dxa"/>
          </w:tcPr>
          <w:p w14:paraId="1926ADDC" w14:textId="77777777" w:rsidR="00F63F1E" w:rsidRPr="00F63F1E" w:rsidRDefault="00F63F1E" w:rsidP="00F63F1E">
            <w:pPr>
              <w:spacing w:after="0" w:line="240" w:lineRule="auto"/>
              <w:rPr>
                <w:rFonts w:ascii="Arial" w:eastAsia="Calibri" w:hAnsi="Arial" w:cs="Arial"/>
                <w:b/>
                <w:sz w:val="20"/>
                <w:szCs w:val="20"/>
                <w:lang w:val="en-US"/>
              </w:rPr>
            </w:pPr>
            <w:r w:rsidRPr="00F63F1E">
              <w:rPr>
                <w:rFonts w:ascii="Arial" w:eastAsia="Calibri" w:hAnsi="Arial" w:cs="Arial"/>
                <w:b/>
                <w:sz w:val="20"/>
                <w:szCs w:val="20"/>
                <w:lang w:val="en-US"/>
              </w:rPr>
              <w:t xml:space="preserve">Convicted cases </w:t>
            </w:r>
          </w:p>
        </w:tc>
        <w:tc>
          <w:tcPr>
            <w:tcW w:w="7937" w:type="dxa"/>
          </w:tcPr>
          <w:p w14:paraId="1926ADDD" w14:textId="77777777" w:rsidR="00F63F1E" w:rsidRPr="00F63F1E" w:rsidRDefault="00F63F1E" w:rsidP="00F63F1E">
            <w:pPr>
              <w:numPr>
                <w:ilvl w:val="0"/>
                <w:numId w:val="1"/>
              </w:numPr>
              <w:spacing w:after="0" w:line="240" w:lineRule="auto"/>
              <w:ind w:left="250" w:hanging="250"/>
              <w:contextualSpacing/>
              <w:rPr>
                <w:rFonts w:ascii="Arial" w:eastAsia="Calibri" w:hAnsi="Arial" w:cs="Arial"/>
                <w:sz w:val="20"/>
                <w:szCs w:val="20"/>
                <w:lang w:val="en-US"/>
              </w:rPr>
            </w:pPr>
            <w:r w:rsidRPr="00F63F1E">
              <w:rPr>
                <w:rFonts w:ascii="Arial" w:eastAsia="Calibri" w:hAnsi="Arial" w:cs="Arial"/>
                <w:sz w:val="20"/>
                <w:szCs w:val="20"/>
                <w:lang w:val="en-US"/>
              </w:rPr>
              <w:t xml:space="preserve">We have one (1) ongoing case where the first accused received a guilty verdict. The second and third accused </w:t>
            </w:r>
            <w:proofErr w:type="gramStart"/>
            <w:r w:rsidRPr="00F63F1E">
              <w:rPr>
                <w:rFonts w:ascii="Arial" w:eastAsia="Calibri" w:hAnsi="Arial" w:cs="Arial"/>
                <w:sz w:val="20"/>
                <w:szCs w:val="20"/>
                <w:lang w:val="en-US"/>
              </w:rPr>
              <w:t>are being pursued</w:t>
            </w:r>
            <w:proofErr w:type="gramEnd"/>
            <w:r w:rsidRPr="00F63F1E">
              <w:rPr>
                <w:rFonts w:ascii="Arial" w:eastAsia="Calibri" w:hAnsi="Arial" w:cs="Arial"/>
                <w:sz w:val="20"/>
                <w:szCs w:val="20"/>
                <w:lang w:val="en-US"/>
              </w:rPr>
              <w:t xml:space="preserve">. The civil element on this case </w:t>
            </w:r>
            <w:proofErr w:type="gramStart"/>
            <w:r w:rsidRPr="00F63F1E">
              <w:rPr>
                <w:rFonts w:ascii="Arial" w:eastAsia="Calibri" w:hAnsi="Arial" w:cs="Arial"/>
                <w:sz w:val="20"/>
                <w:szCs w:val="20"/>
                <w:lang w:val="en-US"/>
              </w:rPr>
              <w:t>is being pursued</w:t>
            </w:r>
            <w:proofErr w:type="gramEnd"/>
            <w:r w:rsidRPr="00F63F1E">
              <w:rPr>
                <w:rFonts w:ascii="Arial" w:eastAsia="Calibri" w:hAnsi="Arial" w:cs="Arial"/>
                <w:sz w:val="20"/>
                <w:szCs w:val="20"/>
                <w:lang w:val="en-US"/>
              </w:rPr>
              <w:t xml:space="preserve"> as well.   </w:t>
            </w:r>
          </w:p>
        </w:tc>
      </w:tr>
    </w:tbl>
    <w:p w14:paraId="1926ADDF" w14:textId="77777777" w:rsidR="00F63F1E" w:rsidRPr="00444117" w:rsidRDefault="00F63F1E" w:rsidP="00F63F1E">
      <w:pPr>
        <w:spacing w:before="100" w:beforeAutospacing="1" w:after="100" w:afterAutospacing="1"/>
        <w:ind w:left="426" w:hanging="426"/>
        <w:jc w:val="both"/>
        <w:rPr>
          <w:rFonts w:ascii="Arial" w:eastAsia="Times New Roman" w:hAnsi="Arial" w:cs="Arial"/>
          <w:b/>
          <w:iCs/>
          <w:sz w:val="20"/>
          <w:szCs w:val="20"/>
          <w:lang w:val="en-US" w:eastAsia="en-ZA"/>
        </w:rPr>
      </w:pPr>
      <w:r w:rsidRPr="00444117">
        <w:rPr>
          <w:rFonts w:ascii="Arial" w:eastAsia="Times New Roman" w:hAnsi="Arial" w:cs="Arial"/>
          <w:b/>
          <w:iCs/>
          <w:sz w:val="20"/>
          <w:szCs w:val="20"/>
          <w:lang w:val="en-US" w:eastAsia="en-ZA"/>
        </w:rPr>
        <w:t>Response from the Department</w:t>
      </w:r>
    </w:p>
    <w:p w14:paraId="1926ADE0" w14:textId="77777777" w:rsidR="00444117" w:rsidRDefault="00444117" w:rsidP="00444117">
      <w:pPr>
        <w:spacing w:before="100" w:beforeAutospacing="1" w:after="100" w:afterAutospacing="1"/>
        <w:jc w:val="both"/>
        <w:rPr>
          <w:rFonts w:ascii="Arial" w:eastAsia="Times New Roman" w:hAnsi="Arial" w:cs="Arial"/>
          <w:iCs/>
          <w:lang w:val="en-US" w:eastAsia="en-ZA"/>
        </w:rPr>
      </w:pPr>
    </w:p>
    <w:p w14:paraId="1926ADE1" w14:textId="77777777" w:rsidR="00F63F1E" w:rsidRPr="00444117" w:rsidRDefault="00F63F1E" w:rsidP="00444117">
      <w:pPr>
        <w:spacing w:before="100" w:beforeAutospacing="1" w:after="100" w:afterAutospacing="1"/>
        <w:ind w:left="567" w:hanging="567"/>
        <w:jc w:val="both"/>
        <w:rPr>
          <w:rFonts w:ascii="Arial" w:eastAsia="Times New Roman" w:hAnsi="Arial" w:cs="Arial"/>
          <w:iCs/>
          <w:sz w:val="20"/>
          <w:szCs w:val="20"/>
          <w:lang w:val="en-US" w:eastAsia="en-ZA"/>
        </w:rPr>
      </w:pPr>
      <w:proofErr w:type="gramStart"/>
      <w:r w:rsidRPr="00444117">
        <w:rPr>
          <w:rFonts w:ascii="Arial" w:eastAsia="Times New Roman" w:hAnsi="Arial" w:cs="Arial"/>
          <w:iCs/>
          <w:sz w:val="20"/>
          <w:szCs w:val="20"/>
          <w:lang w:val="en-US" w:eastAsia="en-ZA"/>
        </w:rPr>
        <w:t>b</w:t>
      </w:r>
      <w:proofErr w:type="gramEnd"/>
      <w:r w:rsidRPr="00444117">
        <w:rPr>
          <w:rFonts w:ascii="Arial" w:eastAsia="Times New Roman" w:hAnsi="Arial" w:cs="Arial"/>
          <w:iCs/>
          <w:sz w:val="20"/>
          <w:szCs w:val="20"/>
          <w:lang w:val="en-US" w:eastAsia="en-ZA"/>
        </w:rPr>
        <w:t xml:space="preserve"> (ii)  The Internal Audit: Chief Directorate </w:t>
      </w:r>
      <w:r w:rsidR="00444117">
        <w:rPr>
          <w:rFonts w:ascii="Arial" w:eastAsia="Times New Roman" w:hAnsi="Arial" w:cs="Arial"/>
          <w:iCs/>
          <w:sz w:val="20"/>
          <w:szCs w:val="20"/>
          <w:lang w:val="en-US" w:eastAsia="en-ZA"/>
        </w:rPr>
        <w:t xml:space="preserve">in </w:t>
      </w:r>
      <w:r w:rsidR="00444117" w:rsidRPr="00444117">
        <w:rPr>
          <w:rFonts w:ascii="Arial" w:eastAsia="Times New Roman" w:hAnsi="Arial" w:cs="Arial"/>
          <w:b/>
          <w:iCs/>
          <w:sz w:val="20"/>
          <w:szCs w:val="20"/>
          <w:lang w:val="en-US" w:eastAsia="en-ZA"/>
        </w:rPr>
        <w:t xml:space="preserve">the </w:t>
      </w:r>
      <w:proofErr w:type="spellStart"/>
      <w:r w:rsidR="00444117" w:rsidRPr="00444117">
        <w:rPr>
          <w:rFonts w:ascii="Arial" w:eastAsia="Times New Roman" w:hAnsi="Arial" w:cs="Arial"/>
          <w:b/>
          <w:iCs/>
          <w:sz w:val="20"/>
          <w:szCs w:val="20"/>
          <w:lang w:val="en-US" w:eastAsia="en-ZA"/>
        </w:rPr>
        <w:t>dti</w:t>
      </w:r>
      <w:proofErr w:type="spellEnd"/>
      <w:r w:rsidR="00444117">
        <w:rPr>
          <w:rFonts w:ascii="Arial" w:eastAsia="Times New Roman" w:hAnsi="Arial" w:cs="Arial"/>
          <w:iCs/>
          <w:sz w:val="20"/>
          <w:szCs w:val="20"/>
          <w:lang w:val="en-US" w:eastAsia="en-ZA"/>
        </w:rPr>
        <w:t xml:space="preserve"> </w:t>
      </w:r>
      <w:r w:rsidRPr="00444117">
        <w:rPr>
          <w:rFonts w:ascii="Arial" w:eastAsia="Times New Roman" w:hAnsi="Arial" w:cs="Arial"/>
          <w:iCs/>
          <w:sz w:val="20"/>
          <w:szCs w:val="20"/>
          <w:lang w:val="en-US" w:eastAsia="en-ZA"/>
        </w:rPr>
        <w:t>follow</w:t>
      </w:r>
      <w:r w:rsidR="00422476">
        <w:rPr>
          <w:rFonts w:ascii="Arial" w:eastAsia="Times New Roman" w:hAnsi="Arial" w:cs="Arial"/>
          <w:iCs/>
          <w:sz w:val="20"/>
          <w:szCs w:val="20"/>
          <w:lang w:val="en-US" w:eastAsia="en-ZA"/>
        </w:rPr>
        <w:t>s</w:t>
      </w:r>
      <w:r w:rsidRPr="00444117">
        <w:rPr>
          <w:rFonts w:ascii="Arial" w:eastAsia="Times New Roman" w:hAnsi="Arial" w:cs="Arial"/>
          <w:iCs/>
          <w:sz w:val="20"/>
          <w:szCs w:val="20"/>
          <w:lang w:val="en-US" w:eastAsia="en-ZA"/>
        </w:rPr>
        <w:t xml:space="preserve"> up monthly with the SAPS on all cases referred to SAPS and </w:t>
      </w:r>
      <w:r w:rsidR="00422476">
        <w:rPr>
          <w:rFonts w:ascii="Arial" w:eastAsia="Times New Roman" w:hAnsi="Arial" w:cs="Arial"/>
          <w:iCs/>
          <w:sz w:val="20"/>
          <w:szCs w:val="20"/>
          <w:lang w:val="en-US" w:eastAsia="en-ZA"/>
        </w:rPr>
        <w:t xml:space="preserve">the </w:t>
      </w:r>
      <w:r w:rsidRPr="00444117">
        <w:rPr>
          <w:rFonts w:ascii="Arial" w:eastAsia="Times New Roman" w:hAnsi="Arial" w:cs="Arial"/>
          <w:iCs/>
          <w:sz w:val="20"/>
          <w:szCs w:val="20"/>
          <w:lang w:val="en-US" w:eastAsia="en-ZA"/>
        </w:rPr>
        <w:t>HAWKS on behalf of the  Director-General.</w:t>
      </w:r>
    </w:p>
    <w:p w14:paraId="1926ADE2" w14:textId="77777777" w:rsidR="00444117" w:rsidRDefault="00444117" w:rsidP="00444117">
      <w:pPr>
        <w:spacing w:before="100" w:beforeAutospacing="1" w:after="100" w:afterAutospacing="1"/>
        <w:jc w:val="both"/>
        <w:rPr>
          <w:rFonts w:ascii="Arial" w:eastAsia="Times New Roman" w:hAnsi="Arial" w:cs="Arial"/>
          <w:iCs/>
          <w:lang w:val="en-US" w:eastAsia="en-ZA"/>
        </w:rPr>
      </w:pPr>
    </w:p>
    <w:p w14:paraId="1926ADE3" w14:textId="77777777" w:rsidR="00444117" w:rsidRPr="00444117" w:rsidRDefault="00444117" w:rsidP="00444117">
      <w:pPr>
        <w:spacing w:before="100" w:beforeAutospacing="1" w:after="100" w:afterAutospacing="1"/>
        <w:jc w:val="both"/>
        <w:rPr>
          <w:rFonts w:ascii="Arial" w:eastAsia="Times New Roman" w:hAnsi="Arial" w:cs="Arial"/>
          <w:b/>
          <w:iCs/>
          <w:sz w:val="20"/>
          <w:szCs w:val="20"/>
          <w:lang w:val="en-US" w:eastAsia="en-ZA"/>
        </w:rPr>
      </w:pPr>
      <w:r w:rsidRPr="00444117">
        <w:rPr>
          <w:rFonts w:ascii="Arial" w:eastAsia="Times New Roman" w:hAnsi="Arial" w:cs="Arial"/>
          <w:b/>
          <w:iCs/>
          <w:sz w:val="20"/>
          <w:szCs w:val="20"/>
          <w:lang w:val="en-US" w:eastAsia="en-ZA"/>
        </w:rPr>
        <w:t>Response from the Entities</w:t>
      </w:r>
    </w:p>
    <w:p w14:paraId="1926ADE4" w14:textId="77777777" w:rsidR="00444117" w:rsidRPr="00444117" w:rsidRDefault="00444117" w:rsidP="00444117">
      <w:pPr>
        <w:spacing w:before="100" w:beforeAutospacing="1" w:after="100" w:afterAutospacing="1"/>
        <w:jc w:val="both"/>
        <w:rPr>
          <w:rFonts w:ascii="Arial" w:eastAsia="Times New Roman" w:hAnsi="Arial" w:cs="Arial"/>
          <w:iCs/>
          <w:sz w:val="20"/>
          <w:szCs w:val="20"/>
          <w:lang w:val="en-US" w:eastAsia="en-ZA"/>
        </w:rPr>
      </w:pPr>
      <w:r w:rsidRPr="00444117">
        <w:rPr>
          <w:rFonts w:ascii="Arial" w:eastAsia="Times New Roman" w:hAnsi="Arial" w:cs="Arial"/>
          <w:iCs/>
          <w:sz w:val="20"/>
          <w:szCs w:val="20"/>
          <w:lang w:val="en-US" w:eastAsia="en-ZA"/>
        </w:rPr>
        <w:t>The South African Bureau of Standards (SABS) did not respond to the question.</w:t>
      </w:r>
    </w:p>
    <w:tbl>
      <w:tblPr>
        <w:tblStyle w:val="TableGrid"/>
        <w:tblW w:w="15593" w:type="dxa"/>
        <w:tblInd w:w="-601" w:type="dxa"/>
        <w:tblLayout w:type="fixed"/>
        <w:tblLook w:val="04A0" w:firstRow="1" w:lastRow="0" w:firstColumn="1" w:lastColumn="0" w:noHBand="0" w:noVBand="1"/>
      </w:tblPr>
      <w:tblGrid>
        <w:gridCol w:w="2552"/>
        <w:gridCol w:w="2835"/>
        <w:gridCol w:w="2977"/>
        <w:gridCol w:w="3544"/>
        <w:gridCol w:w="1984"/>
        <w:gridCol w:w="1701"/>
      </w:tblGrid>
      <w:tr w:rsidR="00B06787" w:rsidRPr="00444117" w14:paraId="1926ADEC" w14:textId="77777777" w:rsidTr="006C4C0E">
        <w:trPr>
          <w:tblHeader/>
        </w:trPr>
        <w:tc>
          <w:tcPr>
            <w:tcW w:w="2552" w:type="dxa"/>
            <w:shd w:val="clear" w:color="auto" w:fill="FFC000"/>
          </w:tcPr>
          <w:p w14:paraId="1926ADE5" w14:textId="77777777" w:rsidR="00EF3395" w:rsidRPr="00444117" w:rsidRDefault="00EF3395" w:rsidP="00DA2651">
            <w:pPr>
              <w:spacing w:before="100" w:beforeAutospacing="1" w:after="0" w:line="259" w:lineRule="auto"/>
              <w:jc w:val="both"/>
              <w:outlineLvl w:val="0"/>
              <w:rPr>
                <w:rFonts w:ascii="Arial" w:hAnsi="Arial" w:cs="Arial"/>
                <w:b/>
                <w:sz w:val="20"/>
                <w:szCs w:val="20"/>
              </w:rPr>
            </w:pPr>
            <w:r w:rsidRPr="00444117">
              <w:rPr>
                <w:rFonts w:ascii="Arial" w:hAnsi="Arial" w:cs="Arial"/>
                <w:b/>
                <w:sz w:val="20"/>
                <w:szCs w:val="20"/>
              </w:rPr>
              <w:t>Entity</w:t>
            </w:r>
          </w:p>
          <w:p w14:paraId="1926ADE6" w14:textId="77777777" w:rsidR="00EF3395" w:rsidRPr="00444117" w:rsidRDefault="00EF3395" w:rsidP="00DA2651">
            <w:pPr>
              <w:spacing w:after="100" w:afterAutospacing="1" w:line="259" w:lineRule="auto"/>
              <w:jc w:val="both"/>
              <w:outlineLvl w:val="0"/>
              <w:rPr>
                <w:rFonts w:ascii="Arial" w:hAnsi="Arial" w:cs="Arial"/>
                <w:b/>
                <w:sz w:val="20"/>
                <w:szCs w:val="20"/>
              </w:rPr>
            </w:pPr>
          </w:p>
        </w:tc>
        <w:tc>
          <w:tcPr>
            <w:tcW w:w="2835" w:type="dxa"/>
            <w:shd w:val="clear" w:color="auto" w:fill="FFC000"/>
          </w:tcPr>
          <w:p w14:paraId="1926ADE7" w14:textId="77777777" w:rsidR="00EF3395" w:rsidRPr="00444117" w:rsidRDefault="00EF3395" w:rsidP="00DA2651">
            <w:pPr>
              <w:spacing w:before="100" w:beforeAutospacing="1" w:after="100" w:afterAutospacing="1" w:line="259" w:lineRule="auto"/>
              <w:jc w:val="both"/>
              <w:outlineLvl w:val="0"/>
              <w:rPr>
                <w:rFonts w:ascii="Arial" w:hAnsi="Arial" w:cs="Arial"/>
                <w:b/>
                <w:sz w:val="20"/>
                <w:szCs w:val="20"/>
              </w:rPr>
            </w:pPr>
            <w:r w:rsidRPr="00444117">
              <w:rPr>
                <w:rFonts w:ascii="Arial" w:hAnsi="Arial" w:cs="Arial"/>
                <w:b/>
                <w:sz w:val="20"/>
                <w:szCs w:val="20"/>
              </w:rPr>
              <w:t>(a)(</w:t>
            </w:r>
            <w:proofErr w:type="spellStart"/>
            <w:r w:rsidRPr="00444117">
              <w:rPr>
                <w:rFonts w:ascii="Arial" w:hAnsi="Arial" w:cs="Arial"/>
                <w:b/>
                <w:sz w:val="20"/>
                <w:szCs w:val="20"/>
              </w:rPr>
              <w:t>i</w:t>
            </w:r>
            <w:proofErr w:type="spellEnd"/>
            <w:r w:rsidRPr="00444117">
              <w:rPr>
                <w:rFonts w:ascii="Arial" w:hAnsi="Arial" w:cs="Arial"/>
                <w:b/>
                <w:sz w:val="20"/>
                <w:szCs w:val="20"/>
              </w:rPr>
              <w:t>)</w:t>
            </w:r>
          </w:p>
        </w:tc>
        <w:tc>
          <w:tcPr>
            <w:tcW w:w="2977" w:type="dxa"/>
            <w:shd w:val="clear" w:color="auto" w:fill="FFC000"/>
          </w:tcPr>
          <w:p w14:paraId="1926ADE8" w14:textId="77777777" w:rsidR="00EF3395" w:rsidRPr="00444117" w:rsidRDefault="00EF3395" w:rsidP="00BE55BB">
            <w:pPr>
              <w:jc w:val="both"/>
              <w:rPr>
                <w:rFonts w:ascii="Arial" w:hAnsi="Arial" w:cs="Arial"/>
                <w:sz w:val="20"/>
                <w:szCs w:val="20"/>
              </w:rPr>
            </w:pPr>
            <w:r w:rsidRPr="00444117">
              <w:rPr>
                <w:rFonts w:ascii="Arial" w:hAnsi="Arial" w:cs="Arial"/>
                <w:b/>
                <w:sz w:val="20"/>
                <w:szCs w:val="20"/>
              </w:rPr>
              <w:t>(a)(ii)</w:t>
            </w:r>
          </w:p>
        </w:tc>
        <w:tc>
          <w:tcPr>
            <w:tcW w:w="3544" w:type="dxa"/>
            <w:shd w:val="clear" w:color="auto" w:fill="FFC000"/>
          </w:tcPr>
          <w:p w14:paraId="1926ADE9" w14:textId="77777777" w:rsidR="00EF3395" w:rsidRPr="00444117" w:rsidRDefault="00EF3395" w:rsidP="00DA2651">
            <w:pPr>
              <w:jc w:val="both"/>
              <w:rPr>
                <w:rFonts w:ascii="Arial" w:hAnsi="Arial" w:cs="Arial"/>
                <w:sz w:val="20"/>
                <w:szCs w:val="20"/>
              </w:rPr>
            </w:pPr>
            <w:r w:rsidRPr="00444117">
              <w:rPr>
                <w:rFonts w:ascii="Arial" w:hAnsi="Arial" w:cs="Arial"/>
                <w:b/>
                <w:sz w:val="20"/>
                <w:szCs w:val="20"/>
              </w:rPr>
              <w:t>(b)(</w:t>
            </w:r>
            <w:proofErr w:type="spellStart"/>
            <w:r w:rsidRPr="00444117">
              <w:rPr>
                <w:rFonts w:ascii="Arial" w:hAnsi="Arial" w:cs="Arial"/>
                <w:b/>
                <w:sz w:val="20"/>
                <w:szCs w:val="20"/>
              </w:rPr>
              <w:t>i</w:t>
            </w:r>
            <w:proofErr w:type="spellEnd"/>
            <w:r w:rsidRPr="00444117">
              <w:rPr>
                <w:rFonts w:ascii="Arial" w:hAnsi="Arial" w:cs="Arial"/>
                <w:b/>
                <w:sz w:val="20"/>
                <w:szCs w:val="20"/>
              </w:rPr>
              <w:t>)</w:t>
            </w:r>
          </w:p>
        </w:tc>
        <w:tc>
          <w:tcPr>
            <w:tcW w:w="1984" w:type="dxa"/>
            <w:shd w:val="clear" w:color="auto" w:fill="FFC000"/>
          </w:tcPr>
          <w:p w14:paraId="1926ADEA" w14:textId="77777777" w:rsidR="00EF3395" w:rsidRPr="00444117" w:rsidRDefault="00EF3395" w:rsidP="00DA2651">
            <w:pPr>
              <w:jc w:val="both"/>
              <w:rPr>
                <w:rFonts w:ascii="Arial" w:hAnsi="Arial" w:cs="Arial"/>
                <w:sz w:val="20"/>
                <w:szCs w:val="20"/>
              </w:rPr>
            </w:pPr>
            <w:r w:rsidRPr="00444117">
              <w:rPr>
                <w:rFonts w:ascii="Arial" w:hAnsi="Arial" w:cs="Arial"/>
                <w:b/>
                <w:sz w:val="20"/>
                <w:szCs w:val="20"/>
              </w:rPr>
              <w:t>(b)(ii)</w:t>
            </w:r>
          </w:p>
        </w:tc>
        <w:tc>
          <w:tcPr>
            <w:tcW w:w="1701" w:type="dxa"/>
            <w:shd w:val="clear" w:color="auto" w:fill="FFC000"/>
          </w:tcPr>
          <w:p w14:paraId="1926ADEB" w14:textId="77777777" w:rsidR="00EF3395" w:rsidRPr="00444117" w:rsidRDefault="00EF3395" w:rsidP="003247ED">
            <w:pPr>
              <w:jc w:val="both"/>
              <w:rPr>
                <w:rFonts w:ascii="Arial" w:hAnsi="Arial" w:cs="Arial"/>
                <w:b/>
                <w:sz w:val="20"/>
                <w:szCs w:val="20"/>
              </w:rPr>
            </w:pPr>
            <w:r w:rsidRPr="00444117">
              <w:rPr>
                <w:rFonts w:ascii="Arial" w:hAnsi="Arial" w:cs="Arial"/>
                <w:b/>
                <w:sz w:val="20"/>
                <w:szCs w:val="20"/>
              </w:rPr>
              <w:t>(b)(iii)</w:t>
            </w:r>
          </w:p>
        </w:tc>
      </w:tr>
      <w:tr w:rsidR="00B06787" w:rsidRPr="00444117" w14:paraId="1926ADF3" w14:textId="77777777" w:rsidTr="006C4C0E">
        <w:trPr>
          <w:trHeight w:val="1819"/>
        </w:trPr>
        <w:tc>
          <w:tcPr>
            <w:tcW w:w="2552" w:type="dxa"/>
            <w:shd w:val="clear" w:color="auto" w:fill="FFFFFF" w:themeFill="background1"/>
          </w:tcPr>
          <w:p w14:paraId="1926ADED"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Companies and Intellectual Property Commission (CIPC)</w:t>
            </w:r>
          </w:p>
        </w:tc>
        <w:tc>
          <w:tcPr>
            <w:tcW w:w="2835" w:type="dxa"/>
            <w:shd w:val="clear" w:color="auto" w:fill="FFFFFF" w:themeFill="background1"/>
          </w:tcPr>
          <w:p w14:paraId="1926ADEE" w14:textId="77777777" w:rsidR="00EF3395" w:rsidRPr="00444117" w:rsidRDefault="00EF3395" w:rsidP="00FD5E45">
            <w:pPr>
              <w:spacing w:after="0" w:line="240" w:lineRule="auto"/>
              <w:ind w:left="29"/>
              <w:jc w:val="both"/>
              <w:rPr>
                <w:rFonts w:ascii="Arial" w:hAnsi="Arial" w:cs="Arial"/>
                <w:sz w:val="20"/>
                <w:szCs w:val="20"/>
              </w:rPr>
            </w:pPr>
            <w:r w:rsidRPr="00444117">
              <w:rPr>
                <w:rFonts w:ascii="Arial" w:hAnsi="Arial" w:cs="Arial"/>
                <w:sz w:val="20"/>
                <w:szCs w:val="20"/>
              </w:rPr>
              <w:t xml:space="preserve">CIPC </w:t>
            </w:r>
            <w:r w:rsidR="009D215B" w:rsidRPr="00444117">
              <w:rPr>
                <w:rFonts w:ascii="Arial" w:hAnsi="Arial" w:cs="Arial"/>
                <w:sz w:val="20"/>
                <w:szCs w:val="20"/>
              </w:rPr>
              <w:t xml:space="preserve">has opened </w:t>
            </w:r>
            <w:r w:rsidR="00FD5E45" w:rsidRPr="00444117">
              <w:rPr>
                <w:rFonts w:ascii="Arial" w:hAnsi="Arial" w:cs="Arial"/>
                <w:sz w:val="20"/>
                <w:szCs w:val="20"/>
              </w:rPr>
              <w:t>one (1)</w:t>
            </w:r>
            <w:r w:rsidR="00B54FCB" w:rsidRPr="00444117">
              <w:rPr>
                <w:rFonts w:ascii="Arial" w:hAnsi="Arial" w:cs="Arial"/>
                <w:sz w:val="20"/>
                <w:szCs w:val="20"/>
              </w:rPr>
              <w:t xml:space="preserve"> case with the South African P</w:t>
            </w:r>
            <w:r w:rsidR="009D215B" w:rsidRPr="00444117">
              <w:rPr>
                <w:rFonts w:ascii="Arial" w:hAnsi="Arial" w:cs="Arial"/>
                <w:sz w:val="20"/>
                <w:szCs w:val="20"/>
              </w:rPr>
              <w:t>olice Services</w:t>
            </w:r>
            <w:r w:rsidR="00FD5E45" w:rsidRPr="00444117">
              <w:rPr>
                <w:rFonts w:ascii="Arial" w:hAnsi="Arial" w:cs="Arial"/>
                <w:sz w:val="20"/>
                <w:szCs w:val="20"/>
              </w:rPr>
              <w:t xml:space="preserve"> (SAPS)</w:t>
            </w:r>
            <w:r w:rsidR="009D215B" w:rsidRPr="00444117">
              <w:rPr>
                <w:rFonts w:ascii="Arial" w:hAnsi="Arial" w:cs="Arial"/>
                <w:sz w:val="20"/>
                <w:szCs w:val="20"/>
              </w:rPr>
              <w:t xml:space="preserve"> in November 2017 regarding the contravention of section 214 (1)(c) of the Companies Act, 2008  read with section 12 (1) (b) (</w:t>
            </w:r>
            <w:proofErr w:type="spellStart"/>
            <w:r w:rsidR="009D215B" w:rsidRPr="00444117">
              <w:rPr>
                <w:rFonts w:ascii="Arial" w:hAnsi="Arial" w:cs="Arial"/>
                <w:sz w:val="20"/>
                <w:szCs w:val="20"/>
              </w:rPr>
              <w:t>i</w:t>
            </w:r>
            <w:proofErr w:type="spellEnd"/>
            <w:r w:rsidR="009D215B" w:rsidRPr="00444117">
              <w:rPr>
                <w:rFonts w:ascii="Arial" w:hAnsi="Arial" w:cs="Arial"/>
                <w:sz w:val="20"/>
                <w:szCs w:val="20"/>
              </w:rPr>
              <w:t>) (aa) of the Prevention and Combatting of Corrupt Activities Act No.12 of 2004 (as amended).</w:t>
            </w:r>
          </w:p>
        </w:tc>
        <w:tc>
          <w:tcPr>
            <w:tcW w:w="2977" w:type="dxa"/>
            <w:shd w:val="clear" w:color="auto" w:fill="FFFFFF" w:themeFill="background1"/>
          </w:tcPr>
          <w:p w14:paraId="1926ADEF" w14:textId="77777777" w:rsidR="00EF3395" w:rsidRPr="00444117" w:rsidRDefault="00B54FCB" w:rsidP="009D215B">
            <w:pPr>
              <w:spacing w:line="240" w:lineRule="auto"/>
              <w:contextualSpacing/>
              <w:jc w:val="both"/>
              <w:rPr>
                <w:rFonts w:ascii="Arial" w:hAnsi="Arial" w:cs="Arial"/>
                <w:sz w:val="20"/>
                <w:szCs w:val="20"/>
              </w:rPr>
            </w:pPr>
            <w:r w:rsidRPr="00444117">
              <w:rPr>
                <w:rFonts w:ascii="Arial" w:hAnsi="Arial" w:cs="Arial"/>
                <w:sz w:val="20"/>
                <w:szCs w:val="20"/>
              </w:rPr>
              <w:t xml:space="preserve">No cases </w:t>
            </w:r>
            <w:proofErr w:type="gramStart"/>
            <w:r w:rsidRPr="00444117">
              <w:rPr>
                <w:rFonts w:ascii="Arial" w:hAnsi="Arial" w:cs="Arial"/>
                <w:sz w:val="20"/>
                <w:szCs w:val="20"/>
              </w:rPr>
              <w:t>were referred</w:t>
            </w:r>
            <w:proofErr w:type="gramEnd"/>
            <w:r w:rsidRPr="00444117">
              <w:rPr>
                <w:rFonts w:ascii="Arial" w:hAnsi="Arial" w:cs="Arial"/>
                <w:sz w:val="20"/>
                <w:szCs w:val="20"/>
              </w:rPr>
              <w:t xml:space="preserve"> to DPCI</w:t>
            </w:r>
            <w:r w:rsidR="009D215B" w:rsidRPr="00444117">
              <w:rPr>
                <w:rFonts w:ascii="Arial" w:hAnsi="Arial" w:cs="Arial"/>
                <w:sz w:val="20"/>
                <w:szCs w:val="20"/>
              </w:rPr>
              <w:t>.</w:t>
            </w:r>
          </w:p>
        </w:tc>
        <w:tc>
          <w:tcPr>
            <w:tcW w:w="3544" w:type="dxa"/>
            <w:shd w:val="clear" w:color="auto" w:fill="FFFFFF" w:themeFill="background1"/>
          </w:tcPr>
          <w:p w14:paraId="1926ADF0" w14:textId="77777777" w:rsidR="00EF3395" w:rsidRPr="00444117" w:rsidRDefault="00FD5E45" w:rsidP="00D51E5C">
            <w:pPr>
              <w:spacing w:line="240" w:lineRule="auto"/>
              <w:jc w:val="both"/>
              <w:rPr>
                <w:rFonts w:ascii="Arial" w:hAnsi="Arial" w:cs="Arial"/>
                <w:sz w:val="20"/>
                <w:szCs w:val="20"/>
              </w:rPr>
            </w:pPr>
            <w:r w:rsidRPr="00444117">
              <w:rPr>
                <w:rFonts w:ascii="Arial" w:hAnsi="Arial" w:cs="Arial"/>
                <w:sz w:val="20"/>
                <w:szCs w:val="20"/>
              </w:rPr>
              <w:t>Since the CIPC has opened the case with SAPS, it is for the SAPS</w:t>
            </w:r>
            <w:r w:rsidR="00B54FCB" w:rsidRPr="00444117">
              <w:rPr>
                <w:rFonts w:ascii="Arial" w:hAnsi="Arial" w:cs="Arial"/>
                <w:sz w:val="20"/>
                <w:szCs w:val="20"/>
              </w:rPr>
              <w:t xml:space="preserve"> </w:t>
            </w:r>
            <w:r w:rsidRPr="00444117">
              <w:rPr>
                <w:rFonts w:ascii="Arial" w:hAnsi="Arial" w:cs="Arial"/>
                <w:sz w:val="20"/>
                <w:szCs w:val="20"/>
              </w:rPr>
              <w:t>to investigate. CIPC</w:t>
            </w:r>
            <w:r w:rsidR="00B54FCB" w:rsidRPr="00444117">
              <w:rPr>
                <w:rFonts w:ascii="Arial" w:hAnsi="Arial" w:cs="Arial"/>
                <w:sz w:val="20"/>
                <w:szCs w:val="20"/>
              </w:rPr>
              <w:t xml:space="preserve"> is assisting the South African Police Services with any further information they might need.</w:t>
            </w:r>
          </w:p>
        </w:tc>
        <w:tc>
          <w:tcPr>
            <w:tcW w:w="1984" w:type="dxa"/>
            <w:shd w:val="clear" w:color="auto" w:fill="FFFFFF" w:themeFill="background1"/>
          </w:tcPr>
          <w:p w14:paraId="1926ADF1"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DF2"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DFA" w14:textId="77777777" w:rsidTr="006C4C0E">
        <w:tc>
          <w:tcPr>
            <w:tcW w:w="2552" w:type="dxa"/>
            <w:shd w:val="clear" w:color="auto" w:fill="FFFFFF" w:themeFill="background1"/>
          </w:tcPr>
          <w:p w14:paraId="1926ADF4"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Companies Tribunal (CT)</w:t>
            </w:r>
          </w:p>
        </w:tc>
        <w:tc>
          <w:tcPr>
            <w:tcW w:w="2835" w:type="dxa"/>
            <w:shd w:val="clear" w:color="auto" w:fill="FFFFFF" w:themeFill="background1"/>
          </w:tcPr>
          <w:p w14:paraId="1926ADF5"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CT did not have any cases relating to the Prevention and Combating of Corrupt Activities Act, Act 12 of 2004, as amended</w:t>
            </w:r>
          </w:p>
        </w:tc>
        <w:tc>
          <w:tcPr>
            <w:tcW w:w="2977" w:type="dxa"/>
            <w:shd w:val="clear" w:color="auto" w:fill="FFFFFF" w:themeFill="background1"/>
          </w:tcPr>
          <w:p w14:paraId="1926ADF6"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DF7"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984" w:type="dxa"/>
            <w:shd w:val="clear" w:color="auto" w:fill="FFFFFF" w:themeFill="background1"/>
          </w:tcPr>
          <w:p w14:paraId="1926ADF8"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DF9"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E01" w14:textId="77777777" w:rsidTr="006C4C0E">
        <w:tc>
          <w:tcPr>
            <w:tcW w:w="2552" w:type="dxa"/>
            <w:shd w:val="clear" w:color="auto" w:fill="FFFFFF" w:themeFill="background1"/>
          </w:tcPr>
          <w:p w14:paraId="1926ADFB"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Export Credit Insurance Corporation (ECIC)</w:t>
            </w:r>
          </w:p>
        </w:tc>
        <w:tc>
          <w:tcPr>
            <w:tcW w:w="2835" w:type="dxa"/>
            <w:shd w:val="clear" w:color="auto" w:fill="FFFFFF" w:themeFill="background1"/>
          </w:tcPr>
          <w:p w14:paraId="1926ADFC" w14:textId="77777777" w:rsidR="00EF3395" w:rsidRPr="00444117" w:rsidRDefault="00EF3395" w:rsidP="003D0C7C">
            <w:pPr>
              <w:spacing w:after="0" w:line="240" w:lineRule="auto"/>
              <w:jc w:val="both"/>
              <w:rPr>
                <w:rFonts w:ascii="Arial" w:hAnsi="Arial" w:cs="Arial"/>
                <w:sz w:val="20"/>
                <w:szCs w:val="20"/>
              </w:rPr>
            </w:pPr>
            <w:r w:rsidRPr="00444117">
              <w:rPr>
                <w:rFonts w:ascii="Arial" w:hAnsi="Arial" w:cs="Arial"/>
                <w:sz w:val="20"/>
                <w:szCs w:val="20"/>
              </w:rPr>
              <w:t xml:space="preserve">ECIC </w:t>
            </w:r>
            <w:r w:rsidR="003D0C7C" w:rsidRPr="00444117">
              <w:rPr>
                <w:rFonts w:ascii="Arial" w:hAnsi="Arial" w:cs="Arial"/>
                <w:sz w:val="20"/>
                <w:szCs w:val="20"/>
              </w:rPr>
              <w:t>has not referred any cases in terms of the Prevention and Combatting of Corrupt Activities Act to the SAPS and Directorate of Priority Crime Investigation.</w:t>
            </w:r>
          </w:p>
        </w:tc>
        <w:tc>
          <w:tcPr>
            <w:tcW w:w="2977" w:type="dxa"/>
            <w:shd w:val="clear" w:color="auto" w:fill="FFFFFF" w:themeFill="background1"/>
          </w:tcPr>
          <w:p w14:paraId="1926ADFD"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DFE"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984" w:type="dxa"/>
            <w:shd w:val="clear" w:color="auto" w:fill="FFFFFF" w:themeFill="background1"/>
          </w:tcPr>
          <w:p w14:paraId="1926ADFF"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00"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E08" w14:textId="77777777" w:rsidTr="00444117">
        <w:trPr>
          <w:trHeight w:val="623"/>
        </w:trPr>
        <w:tc>
          <w:tcPr>
            <w:tcW w:w="2552" w:type="dxa"/>
            <w:shd w:val="clear" w:color="auto" w:fill="FFFFFF" w:themeFill="background1"/>
          </w:tcPr>
          <w:p w14:paraId="1926AE02"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Consumer Commission (NCC)</w:t>
            </w:r>
          </w:p>
        </w:tc>
        <w:tc>
          <w:tcPr>
            <w:tcW w:w="2835" w:type="dxa"/>
            <w:shd w:val="clear" w:color="auto" w:fill="FFFFFF" w:themeFill="background1"/>
          </w:tcPr>
          <w:p w14:paraId="1926AE03"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 xml:space="preserve">One </w:t>
            </w:r>
            <w:r w:rsidR="00FD5E45" w:rsidRPr="00444117">
              <w:rPr>
                <w:rFonts w:ascii="Arial" w:hAnsi="Arial" w:cs="Arial"/>
                <w:sz w:val="20"/>
                <w:szCs w:val="20"/>
              </w:rPr>
              <w:t xml:space="preserve">(1) </w:t>
            </w:r>
            <w:r w:rsidRPr="00444117">
              <w:rPr>
                <w:rFonts w:ascii="Arial" w:hAnsi="Arial" w:cs="Arial"/>
                <w:sz w:val="20"/>
                <w:szCs w:val="20"/>
              </w:rPr>
              <w:t>case was referred to South African Police Service</w:t>
            </w:r>
          </w:p>
        </w:tc>
        <w:tc>
          <w:tcPr>
            <w:tcW w:w="2977" w:type="dxa"/>
            <w:shd w:val="clear" w:color="auto" w:fill="FFFFFF" w:themeFill="background1"/>
          </w:tcPr>
          <w:p w14:paraId="1926AE04"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 xml:space="preserve">No cases were referred to DPCI, however the case </w:t>
            </w:r>
            <w:r w:rsidR="00FD5E45" w:rsidRPr="00444117">
              <w:rPr>
                <w:rFonts w:ascii="Arial" w:hAnsi="Arial" w:cs="Arial"/>
                <w:sz w:val="20"/>
                <w:szCs w:val="20"/>
              </w:rPr>
              <w:t xml:space="preserve">that </w:t>
            </w:r>
            <w:r w:rsidRPr="00444117">
              <w:rPr>
                <w:rFonts w:ascii="Arial" w:hAnsi="Arial" w:cs="Arial"/>
                <w:sz w:val="20"/>
                <w:szCs w:val="20"/>
              </w:rPr>
              <w:t>was reported, was escalated to the Commercial Crime Unit</w:t>
            </w:r>
          </w:p>
        </w:tc>
        <w:tc>
          <w:tcPr>
            <w:tcW w:w="3544" w:type="dxa"/>
            <w:shd w:val="clear" w:color="auto" w:fill="FFFFFF" w:themeFill="background1"/>
          </w:tcPr>
          <w:p w14:paraId="1926AE05"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 xml:space="preserve">One case, with CAS number: 439/9/22 reported at the </w:t>
            </w:r>
            <w:proofErr w:type="spellStart"/>
            <w:r w:rsidRPr="00444117">
              <w:rPr>
                <w:rFonts w:ascii="Arial" w:hAnsi="Arial" w:cs="Arial"/>
                <w:sz w:val="20"/>
                <w:szCs w:val="20"/>
              </w:rPr>
              <w:t>Lyttelton</w:t>
            </w:r>
            <w:proofErr w:type="spellEnd"/>
            <w:r w:rsidRPr="00444117">
              <w:rPr>
                <w:rFonts w:ascii="Arial" w:hAnsi="Arial" w:cs="Arial"/>
                <w:sz w:val="20"/>
                <w:szCs w:val="20"/>
              </w:rPr>
              <w:t xml:space="preserve"> Police Station on 22 September 2014</w:t>
            </w:r>
            <w:r w:rsidR="00422476">
              <w:rPr>
                <w:rFonts w:ascii="Arial" w:hAnsi="Arial" w:cs="Arial"/>
                <w:sz w:val="20"/>
                <w:szCs w:val="20"/>
              </w:rPr>
              <w:t xml:space="preserve"> </w:t>
            </w:r>
            <w:r w:rsidRPr="00444117">
              <w:rPr>
                <w:rFonts w:ascii="Arial" w:hAnsi="Arial" w:cs="Arial"/>
                <w:sz w:val="20"/>
                <w:szCs w:val="20"/>
              </w:rPr>
              <w:t>Involving several suspec</w:t>
            </w:r>
            <w:r w:rsidR="003D0C7C" w:rsidRPr="00444117">
              <w:rPr>
                <w:rFonts w:ascii="Arial" w:hAnsi="Arial" w:cs="Arial"/>
                <w:sz w:val="20"/>
                <w:szCs w:val="20"/>
              </w:rPr>
              <w:t>ts</w:t>
            </w:r>
            <w:r w:rsidR="00422476">
              <w:rPr>
                <w:rFonts w:ascii="Arial" w:hAnsi="Arial" w:cs="Arial"/>
                <w:sz w:val="20"/>
                <w:szCs w:val="20"/>
              </w:rPr>
              <w:t xml:space="preserve"> that</w:t>
            </w:r>
            <w:r w:rsidR="003D0C7C" w:rsidRPr="00444117">
              <w:rPr>
                <w:rFonts w:ascii="Arial" w:hAnsi="Arial" w:cs="Arial"/>
                <w:sz w:val="20"/>
                <w:szCs w:val="20"/>
              </w:rPr>
              <w:t xml:space="preserve"> have been investigated by SAP</w:t>
            </w:r>
            <w:r w:rsidRPr="00444117">
              <w:rPr>
                <w:rFonts w:ascii="Arial" w:hAnsi="Arial" w:cs="Arial"/>
                <w:sz w:val="20"/>
                <w:szCs w:val="20"/>
              </w:rPr>
              <w:t>S</w:t>
            </w:r>
          </w:p>
        </w:tc>
        <w:tc>
          <w:tcPr>
            <w:tcW w:w="1984" w:type="dxa"/>
            <w:shd w:val="clear" w:color="auto" w:fill="FFFFFF" w:themeFill="background1"/>
          </w:tcPr>
          <w:p w14:paraId="1926AE06"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 xml:space="preserve">The </w:t>
            </w:r>
            <w:proofErr w:type="gramStart"/>
            <w:r w:rsidRPr="00444117">
              <w:rPr>
                <w:rFonts w:ascii="Arial" w:hAnsi="Arial" w:cs="Arial"/>
                <w:sz w:val="20"/>
                <w:szCs w:val="20"/>
              </w:rPr>
              <w:t>aforesaid</w:t>
            </w:r>
            <w:proofErr w:type="gramEnd"/>
            <w:r w:rsidRPr="00444117">
              <w:rPr>
                <w:rFonts w:ascii="Arial" w:hAnsi="Arial" w:cs="Arial"/>
                <w:sz w:val="20"/>
                <w:szCs w:val="20"/>
              </w:rPr>
              <w:t xml:space="preserve"> case has been followed up by the NCC</w:t>
            </w:r>
            <w:r w:rsidR="003D0C7C" w:rsidRPr="00444117">
              <w:rPr>
                <w:rFonts w:ascii="Arial" w:hAnsi="Arial" w:cs="Arial"/>
                <w:sz w:val="20"/>
                <w:szCs w:val="20"/>
              </w:rPr>
              <w:t xml:space="preserve"> and the NCC has</w:t>
            </w:r>
            <w:r w:rsidRPr="00444117">
              <w:rPr>
                <w:rFonts w:ascii="Arial" w:hAnsi="Arial" w:cs="Arial"/>
                <w:sz w:val="20"/>
                <w:szCs w:val="20"/>
              </w:rPr>
              <w:t xml:space="preserve"> also secured the services of a forensic firm to assist SAPS in compiling a docket. </w:t>
            </w:r>
            <w:r w:rsidRPr="00444117">
              <w:rPr>
                <w:rFonts w:ascii="Arial" w:hAnsi="Arial" w:cs="Arial"/>
                <w:sz w:val="20"/>
                <w:szCs w:val="20"/>
              </w:rPr>
              <w:lastRenderedPageBreak/>
              <w:t>Meetings were held with the prosecutor and investigating officer allocated to this matter</w:t>
            </w:r>
          </w:p>
        </w:tc>
        <w:tc>
          <w:tcPr>
            <w:tcW w:w="1701" w:type="dxa"/>
            <w:shd w:val="clear" w:color="auto" w:fill="FFFFFF" w:themeFill="background1"/>
          </w:tcPr>
          <w:p w14:paraId="1926AE07"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lastRenderedPageBreak/>
              <w:t>The NCC is not aware of any convention in this matter</w:t>
            </w:r>
          </w:p>
        </w:tc>
      </w:tr>
      <w:tr w:rsidR="00B06787" w:rsidRPr="00444117" w14:paraId="1926AE0F" w14:textId="77777777" w:rsidTr="006C4C0E">
        <w:tc>
          <w:tcPr>
            <w:tcW w:w="2552" w:type="dxa"/>
            <w:shd w:val="clear" w:color="auto" w:fill="FFFFFF" w:themeFill="background1"/>
          </w:tcPr>
          <w:p w14:paraId="1926AE09"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Consumer Tribunal (NCT)</w:t>
            </w:r>
          </w:p>
        </w:tc>
        <w:tc>
          <w:tcPr>
            <w:tcW w:w="2835" w:type="dxa"/>
            <w:shd w:val="clear" w:color="auto" w:fill="FFFFFF" w:themeFill="background1"/>
          </w:tcPr>
          <w:p w14:paraId="1926AE0A"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The National Consumer Tribunal (NCT) has not referred any cases in terms of the Prevention and Combatting of Corrupt Activities Act to the SAPS and Directorate of Priority Crime Investigation.</w:t>
            </w:r>
          </w:p>
        </w:tc>
        <w:tc>
          <w:tcPr>
            <w:tcW w:w="2977" w:type="dxa"/>
            <w:shd w:val="clear" w:color="auto" w:fill="FFFFFF" w:themeFill="background1"/>
          </w:tcPr>
          <w:p w14:paraId="1926AE0B"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E0C"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984" w:type="dxa"/>
            <w:shd w:val="clear" w:color="auto" w:fill="FFFFFF" w:themeFill="background1"/>
          </w:tcPr>
          <w:p w14:paraId="1926AE0D"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0E"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E16" w14:textId="77777777" w:rsidTr="006C4C0E">
        <w:tc>
          <w:tcPr>
            <w:tcW w:w="2552" w:type="dxa"/>
            <w:shd w:val="clear" w:color="auto" w:fill="FFFFFF" w:themeFill="background1"/>
          </w:tcPr>
          <w:p w14:paraId="1926AE10"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Credit Regulator (NCR)</w:t>
            </w:r>
          </w:p>
        </w:tc>
        <w:tc>
          <w:tcPr>
            <w:tcW w:w="2835" w:type="dxa"/>
            <w:shd w:val="clear" w:color="auto" w:fill="FFFFFF" w:themeFill="background1"/>
          </w:tcPr>
          <w:p w14:paraId="1926AE11"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The National Credit Regulator (NCR) has not referred any cases in terms of the Prevention and Combatting of Corrupt Activities Act to the SAPS and Directorate of Priority Crime Investigation.</w:t>
            </w:r>
          </w:p>
        </w:tc>
        <w:tc>
          <w:tcPr>
            <w:tcW w:w="2977" w:type="dxa"/>
            <w:shd w:val="clear" w:color="auto" w:fill="FFFFFF" w:themeFill="background1"/>
          </w:tcPr>
          <w:p w14:paraId="1926AE12"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E13"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984" w:type="dxa"/>
            <w:shd w:val="clear" w:color="auto" w:fill="FFFFFF" w:themeFill="background1"/>
          </w:tcPr>
          <w:p w14:paraId="1926AE14"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15"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E20" w14:textId="77777777" w:rsidTr="006C4C0E">
        <w:tc>
          <w:tcPr>
            <w:tcW w:w="2552" w:type="dxa"/>
            <w:shd w:val="clear" w:color="auto" w:fill="FFFFFF" w:themeFill="background1"/>
          </w:tcPr>
          <w:p w14:paraId="1926AE17"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Empowerment Fund (NEF)</w:t>
            </w:r>
          </w:p>
        </w:tc>
        <w:tc>
          <w:tcPr>
            <w:tcW w:w="2835" w:type="dxa"/>
            <w:shd w:val="clear" w:color="auto" w:fill="FFFFFF" w:themeFill="background1"/>
          </w:tcPr>
          <w:p w14:paraId="1926AE18" w14:textId="77777777" w:rsidR="00EF3395" w:rsidRPr="00444117" w:rsidRDefault="00EF3395" w:rsidP="00521DAE">
            <w:pPr>
              <w:spacing w:after="0" w:line="240" w:lineRule="auto"/>
              <w:jc w:val="both"/>
              <w:rPr>
                <w:rFonts w:ascii="Arial" w:hAnsi="Arial" w:cs="Arial"/>
                <w:sz w:val="20"/>
                <w:szCs w:val="20"/>
              </w:rPr>
            </w:pPr>
            <w:r w:rsidRPr="00444117">
              <w:rPr>
                <w:rFonts w:ascii="Arial" w:hAnsi="Arial" w:cs="Arial"/>
                <w:sz w:val="20"/>
                <w:szCs w:val="20"/>
              </w:rPr>
              <w:t xml:space="preserve">Thirteen cases </w:t>
            </w:r>
            <w:r w:rsidR="003D0C7C" w:rsidRPr="00444117">
              <w:rPr>
                <w:rFonts w:ascii="Arial" w:hAnsi="Arial" w:cs="Arial"/>
                <w:sz w:val="20"/>
                <w:szCs w:val="20"/>
              </w:rPr>
              <w:t xml:space="preserve">were </w:t>
            </w:r>
            <w:r w:rsidRPr="00444117">
              <w:rPr>
                <w:rFonts w:ascii="Arial" w:hAnsi="Arial" w:cs="Arial"/>
                <w:sz w:val="20"/>
                <w:szCs w:val="20"/>
              </w:rPr>
              <w:t>referred to SAPS since 2004 to date (</w:t>
            </w:r>
            <w:r w:rsidR="00521DAE" w:rsidRPr="00444117">
              <w:rPr>
                <w:rFonts w:ascii="Arial" w:hAnsi="Arial" w:cs="Arial"/>
                <w:sz w:val="20"/>
                <w:szCs w:val="20"/>
              </w:rPr>
              <w:t>10 Clients/Applicants and 3 staff members</w:t>
            </w:r>
            <w:r w:rsidRPr="00444117">
              <w:rPr>
                <w:rFonts w:ascii="Arial" w:hAnsi="Arial" w:cs="Arial"/>
                <w:sz w:val="20"/>
                <w:szCs w:val="20"/>
              </w:rPr>
              <w:t xml:space="preserve">) </w:t>
            </w:r>
          </w:p>
        </w:tc>
        <w:tc>
          <w:tcPr>
            <w:tcW w:w="2977" w:type="dxa"/>
            <w:shd w:val="clear" w:color="auto" w:fill="FFFFFF" w:themeFill="background1"/>
          </w:tcPr>
          <w:p w14:paraId="1926AE19"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E1A"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 xml:space="preserve">Thirteen cases was </w:t>
            </w:r>
            <w:r w:rsidR="003D0C7C" w:rsidRPr="00444117">
              <w:rPr>
                <w:rFonts w:ascii="Arial" w:hAnsi="Arial" w:cs="Arial"/>
                <w:sz w:val="20"/>
                <w:szCs w:val="20"/>
              </w:rPr>
              <w:t>investigated by SAPS: 10 Clients/Applica</w:t>
            </w:r>
            <w:r w:rsidRPr="00444117">
              <w:rPr>
                <w:rFonts w:ascii="Arial" w:hAnsi="Arial" w:cs="Arial"/>
                <w:sz w:val="20"/>
                <w:szCs w:val="20"/>
              </w:rPr>
              <w:t>n</w:t>
            </w:r>
            <w:r w:rsidR="003D0C7C" w:rsidRPr="00444117">
              <w:rPr>
                <w:rFonts w:ascii="Arial" w:hAnsi="Arial" w:cs="Arial"/>
                <w:sz w:val="20"/>
                <w:szCs w:val="20"/>
              </w:rPr>
              <w:t>t</w:t>
            </w:r>
            <w:r w:rsidRPr="00444117">
              <w:rPr>
                <w:rFonts w:ascii="Arial" w:hAnsi="Arial" w:cs="Arial"/>
                <w:sz w:val="20"/>
                <w:szCs w:val="20"/>
              </w:rPr>
              <w:t>s and</w:t>
            </w:r>
            <w:r w:rsidR="003D0C7C" w:rsidRPr="00444117">
              <w:rPr>
                <w:rFonts w:ascii="Arial" w:hAnsi="Arial" w:cs="Arial"/>
                <w:sz w:val="20"/>
                <w:szCs w:val="20"/>
              </w:rPr>
              <w:t xml:space="preserve"> 3 s</w:t>
            </w:r>
            <w:r w:rsidRPr="00444117">
              <w:rPr>
                <w:rFonts w:ascii="Arial" w:hAnsi="Arial" w:cs="Arial"/>
                <w:sz w:val="20"/>
                <w:szCs w:val="20"/>
              </w:rPr>
              <w:t>taff</w:t>
            </w:r>
            <w:r w:rsidR="003D0C7C" w:rsidRPr="00444117">
              <w:rPr>
                <w:rFonts w:ascii="Arial" w:hAnsi="Arial" w:cs="Arial"/>
                <w:sz w:val="20"/>
                <w:szCs w:val="20"/>
              </w:rPr>
              <w:t xml:space="preserve"> members</w:t>
            </w:r>
          </w:p>
          <w:p w14:paraId="1926AE1B" w14:textId="77777777" w:rsidR="00EF3395" w:rsidRPr="00444117" w:rsidRDefault="00EF3395" w:rsidP="00D51E5C">
            <w:pPr>
              <w:spacing w:line="240" w:lineRule="auto"/>
              <w:jc w:val="both"/>
              <w:rPr>
                <w:rFonts w:ascii="Arial" w:hAnsi="Arial" w:cs="Arial"/>
                <w:b/>
                <w:sz w:val="20"/>
                <w:szCs w:val="20"/>
              </w:rPr>
            </w:pPr>
          </w:p>
        </w:tc>
        <w:tc>
          <w:tcPr>
            <w:tcW w:w="1984" w:type="dxa"/>
            <w:shd w:val="clear" w:color="auto" w:fill="FFFFFF" w:themeFill="background1"/>
          </w:tcPr>
          <w:p w14:paraId="1926AE1C"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All reported matters are followed up by the Risk &amp; Legal departments on a quarterly basis</w:t>
            </w:r>
          </w:p>
        </w:tc>
        <w:tc>
          <w:tcPr>
            <w:tcW w:w="1701" w:type="dxa"/>
            <w:shd w:val="clear" w:color="auto" w:fill="FFFFFF" w:themeFill="background1"/>
          </w:tcPr>
          <w:p w14:paraId="1926AE1D" w14:textId="77777777" w:rsidR="00EF3395" w:rsidRPr="00444117" w:rsidRDefault="003D0C7C" w:rsidP="00D51E5C">
            <w:pPr>
              <w:spacing w:line="240" w:lineRule="auto"/>
              <w:jc w:val="both"/>
              <w:rPr>
                <w:rFonts w:ascii="Arial" w:hAnsi="Arial" w:cs="Arial"/>
                <w:sz w:val="20"/>
                <w:szCs w:val="20"/>
              </w:rPr>
            </w:pPr>
            <w:r w:rsidRPr="00444117">
              <w:rPr>
                <w:rFonts w:ascii="Arial" w:hAnsi="Arial" w:cs="Arial"/>
                <w:sz w:val="20"/>
                <w:szCs w:val="20"/>
              </w:rPr>
              <w:t>One (1) client</w:t>
            </w:r>
            <w:r w:rsidR="00EF3395" w:rsidRPr="00444117">
              <w:rPr>
                <w:rFonts w:ascii="Arial" w:hAnsi="Arial" w:cs="Arial"/>
                <w:sz w:val="20"/>
                <w:szCs w:val="20"/>
              </w:rPr>
              <w:t xml:space="preserve"> </w:t>
            </w:r>
            <w:r w:rsidRPr="00444117">
              <w:rPr>
                <w:rFonts w:ascii="Arial" w:hAnsi="Arial" w:cs="Arial"/>
                <w:sz w:val="20"/>
                <w:szCs w:val="20"/>
              </w:rPr>
              <w:t>was</w:t>
            </w:r>
            <w:r w:rsidR="00B54FCB" w:rsidRPr="00444117">
              <w:rPr>
                <w:rFonts w:ascii="Arial" w:hAnsi="Arial" w:cs="Arial"/>
                <w:sz w:val="20"/>
                <w:szCs w:val="20"/>
              </w:rPr>
              <w:t xml:space="preserve"> convicted </w:t>
            </w:r>
            <w:r w:rsidRPr="00444117">
              <w:rPr>
                <w:rFonts w:ascii="Arial" w:hAnsi="Arial" w:cs="Arial"/>
                <w:sz w:val="20"/>
                <w:szCs w:val="20"/>
              </w:rPr>
              <w:t>in the f</w:t>
            </w:r>
            <w:r w:rsidR="00EF3395" w:rsidRPr="00444117">
              <w:rPr>
                <w:rFonts w:ascii="Arial" w:hAnsi="Arial" w:cs="Arial"/>
                <w:sz w:val="20"/>
                <w:szCs w:val="20"/>
              </w:rPr>
              <w:t>inancial year 2017/2018</w:t>
            </w:r>
          </w:p>
          <w:p w14:paraId="1926AE1E" w14:textId="77777777" w:rsidR="00EF3395" w:rsidRPr="00444117" w:rsidRDefault="003D0C7C" w:rsidP="00D51E5C">
            <w:pPr>
              <w:spacing w:line="240" w:lineRule="auto"/>
              <w:jc w:val="both"/>
              <w:rPr>
                <w:rFonts w:ascii="Arial" w:hAnsi="Arial" w:cs="Arial"/>
                <w:sz w:val="20"/>
                <w:szCs w:val="20"/>
              </w:rPr>
            </w:pPr>
            <w:r w:rsidRPr="00444117">
              <w:rPr>
                <w:rFonts w:ascii="Arial" w:hAnsi="Arial" w:cs="Arial"/>
                <w:sz w:val="20"/>
                <w:szCs w:val="20"/>
              </w:rPr>
              <w:t>Two (</w:t>
            </w:r>
            <w:r w:rsidR="00EF3395" w:rsidRPr="00444117">
              <w:rPr>
                <w:rFonts w:ascii="Arial" w:hAnsi="Arial" w:cs="Arial"/>
                <w:sz w:val="20"/>
                <w:szCs w:val="20"/>
              </w:rPr>
              <w:t>2</w:t>
            </w:r>
            <w:r w:rsidRPr="00444117">
              <w:rPr>
                <w:rFonts w:ascii="Arial" w:hAnsi="Arial" w:cs="Arial"/>
                <w:sz w:val="20"/>
                <w:szCs w:val="20"/>
              </w:rPr>
              <w:t>) s</w:t>
            </w:r>
            <w:r w:rsidR="00EF3395" w:rsidRPr="00444117">
              <w:rPr>
                <w:rFonts w:ascii="Arial" w:hAnsi="Arial" w:cs="Arial"/>
                <w:sz w:val="20"/>
                <w:szCs w:val="20"/>
              </w:rPr>
              <w:t>taff</w:t>
            </w:r>
            <w:r w:rsidRPr="00444117">
              <w:rPr>
                <w:rFonts w:ascii="Arial" w:hAnsi="Arial" w:cs="Arial"/>
                <w:sz w:val="20"/>
                <w:szCs w:val="20"/>
              </w:rPr>
              <w:t xml:space="preserve"> members</w:t>
            </w:r>
            <w:r w:rsidR="00EF3395" w:rsidRPr="00444117">
              <w:rPr>
                <w:rFonts w:ascii="Arial" w:hAnsi="Arial" w:cs="Arial"/>
                <w:sz w:val="20"/>
                <w:szCs w:val="20"/>
              </w:rPr>
              <w:t xml:space="preserve"> </w:t>
            </w:r>
            <w:r w:rsidR="00B54FCB" w:rsidRPr="00444117">
              <w:rPr>
                <w:rFonts w:ascii="Arial" w:hAnsi="Arial" w:cs="Arial"/>
                <w:sz w:val="20"/>
                <w:szCs w:val="20"/>
              </w:rPr>
              <w:t xml:space="preserve">were convicted </w:t>
            </w:r>
            <w:r w:rsidRPr="00444117">
              <w:rPr>
                <w:rFonts w:ascii="Arial" w:hAnsi="Arial" w:cs="Arial"/>
                <w:sz w:val="20"/>
                <w:szCs w:val="20"/>
              </w:rPr>
              <w:t>in the f</w:t>
            </w:r>
            <w:r w:rsidR="00EF3395" w:rsidRPr="00444117">
              <w:rPr>
                <w:rFonts w:ascii="Arial" w:hAnsi="Arial" w:cs="Arial"/>
                <w:sz w:val="20"/>
                <w:szCs w:val="20"/>
              </w:rPr>
              <w:t>inancial year 2008/2009</w:t>
            </w:r>
          </w:p>
          <w:p w14:paraId="1926AE1F" w14:textId="77777777" w:rsidR="00EF3395" w:rsidRPr="00444117" w:rsidRDefault="00EF3395" w:rsidP="00B54FCB">
            <w:pPr>
              <w:spacing w:line="240" w:lineRule="auto"/>
              <w:jc w:val="both"/>
              <w:rPr>
                <w:rFonts w:ascii="Arial" w:hAnsi="Arial" w:cs="Arial"/>
                <w:sz w:val="20"/>
                <w:szCs w:val="20"/>
              </w:rPr>
            </w:pPr>
            <w:r w:rsidRPr="00444117">
              <w:rPr>
                <w:rFonts w:ascii="Arial" w:hAnsi="Arial" w:cs="Arial"/>
                <w:sz w:val="20"/>
                <w:szCs w:val="20"/>
              </w:rPr>
              <w:t>Another ma</w:t>
            </w:r>
            <w:r w:rsidR="00B54FCB" w:rsidRPr="00444117">
              <w:rPr>
                <w:rFonts w:ascii="Arial" w:hAnsi="Arial" w:cs="Arial"/>
                <w:sz w:val="20"/>
                <w:szCs w:val="20"/>
              </w:rPr>
              <w:t xml:space="preserve">tter relating to a staff member - </w:t>
            </w:r>
            <w:r w:rsidRPr="00444117">
              <w:rPr>
                <w:rFonts w:ascii="Arial" w:hAnsi="Arial" w:cs="Arial"/>
                <w:sz w:val="20"/>
                <w:szCs w:val="20"/>
              </w:rPr>
              <w:t>criminal case is in progress</w:t>
            </w:r>
          </w:p>
        </w:tc>
      </w:tr>
      <w:tr w:rsidR="00B06787" w:rsidRPr="00444117" w14:paraId="1926AE27" w14:textId="77777777" w:rsidTr="006C4C0E">
        <w:tc>
          <w:tcPr>
            <w:tcW w:w="2552" w:type="dxa"/>
            <w:shd w:val="clear" w:color="auto" w:fill="FFFFFF" w:themeFill="background1"/>
          </w:tcPr>
          <w:p w14:paraId="1926AE21"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Gambling Board (NGB)</w:t>
            </w:r>
          </w:p>
        </w:tc>
        <w:tc>
          <w:tcPr>
            <w:tcW w:w="2835" w:type="dxa"/>
            <w:shd w:val="clear" w:color="auto" w:fill="FFFFFF" w:themeFill="background1"/>
          </w:tcPr>
          <w:p w14:paraId="1926AE22" w14:textId="77777777" w:rsidR="00EF3395" w:rsidRPr="00444117" w:rsidRDefault="00EF3395" w:rsidP="00521DAE">
            <w:pPr>
              <w:spacing w:after="0" w:line="240" w:lineRule="auto"/>
              <w:jc w:val="both"/>
              <w:rPr>
                <w:rFonts w:ascii="Arial" w:hAnsi="Arial" w:cs="Arial"/>
                <w:sz w:val="20"/>
                <w:szCs w:val="20"/>
              </w:rPr>
            </w:pPr>
            <w:r w:rsidRPr="00444117">
              <w:rPr>
                <w:rFonts w:ascii="Arial" w:hAnsi="Arial" w:cs="Arial"/>
                <w:sz w:val="20"/>
                <w:szCs w:val="20"/>
              </w:rPr>
              <w:t xml:space="preserve">NGB </w:t>
            </w:r>
            <w:r w:rsidR="00521DAE" w:rsidRPr="00444117">
              <w:rPr>
                <w:rFonts w:ascii="Arial" w:hAnsi="Arial" w:cs="Arial"/>
                <w:sz w:val="20"/>
                <w:szCs w:val="20"/>
              </w:rPr>
              <w:t xml:space="preserve">has not referred any cases in terms of the </w:t>
            </w:r>
            <w:r w:rsidR="00521DAE" w:rsidRPr="00444117">
              <w:rPr>
                <w:rFonts w:ascii="Arial" w:hAnsi="Arial" w:cs="Arial"/>
                <w:sz w:val="20"/>
                <w:szCs w:val="20"/>
              </w:rPr>
              <w:lastRenderedPageBreak/>
              <w:t>Prevention and Combatting of Corrupt Activities Act to the SAPS and Directorate of Priority Crime Investigation.</w:t>
            </w:r>
          </w:p>
        </w:tc>
        <w:tc>
          <w:tcPr>
            <w:tcW w:w="2977" w:type="dxa"/>
            <w:shd w:val="clear" w:color="auto" w:fill="FFFFFF" w:themeFill="background1"/>
          </w:tcPr>
          <w:p w14:paraId="1926AE23"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lastRenderedPageBreak/>
              <w:t>Not applicable</w:t>
            </w:r>
          </w:p>
        </w:tc>
        <w:tc>
          <w:tcPr>
            <w:tcW w:w="3544" w:type="dxa"/>
            <w:shd w:val="clear" w:color="auto" w:fill="FFFFFF" w:themeFill="background1"/>
          </w:tcPr>
          <w:p w14:paraId="1926AE24"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984" w:type="dxa"/>
            <w:shd w:val="clear" w:color="auto" w:fill="FFFFFF" w:themeFill="background1"/>
          </w:tcPr>
          <w:p w14:paraId="1926AE25"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26"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E2E" w14:textId="77777777" w:rsidTr="006C4C0E">
        <w:tc>
          <w:tcPr>
            <w:tcW w:w="2552" w:type="dxa"/>
            <w:shd w:val="clear" w:color="auto" w:fill="FFFFFF" w:themeFill="background1"/>
          </w:tcPr>
          <w:p w14:paraId="1926AE28"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Lotteries Commission (NLC)</w:t>
            </w:r>
          </w:p>
        </w:tc>
        <w:tc>
          <w:tcPr>
            <w:tcW w:w="2835" w:type="dxa"/>
            <w:shd w:val="clear" w:color="auto" w:fill="FFFFFF" w:themeFill="background1"/>
          </w:tcPr>
          <w:p w14:paraId="1926AE29"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 xml:space="preserve">Eight (8) cases relating to the Prevention and Combating of Corrupt Activities Act, Act 12 of 2004, as amended, </w:t>
            </w:r>
            <w:proofErr w:type="gramStart"/>
            <w:r w:rsidRPr="00444117">
              <w:rPr>
                <w:rFonts w:ascii="Arial" w:hAnsi="Arial" w:cs="Arial"/>
                <w:sz w:val="20"/>
                <w:szCs w:val="20"/>
              </w:rPr>
              <w:t>have been referred</w:t>
            </w:r>
            <w:proofErr w:type="gramEnd"/>
            <w:r w:rsidRPr="00444117">
              <w:rPr>
                <w:rFonts w:ascii="Arial" w:hAnsi="Arial" w:cs="Arial"/>
                <w:sz w:val="20"/>
                <w:szCs w:val="20"/>
              </w:rPr>
              <w:t xml:space="preserve"> to the SA Police Service (SAPS).</w:t>
            </w:r>
          </w:p>
        </w:tc>
        <w:tc>
          <w:tcPr>
            <w:tcW w:w="2977" w:type="dxa"/>
            <w:shd w:val="clear" w:color="auto" w:fill="FFFFFF" w:themeFill="background1"/>
          </w:tcPr>
          <w:p w14:paraId="1926AE2A"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E2B"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 xml:space="preserve">Investigations on all eight </w:t>
            </w:r>
            <w:r w:rsidR="00521DAE" w:rsidRPr="00444117">
              <w:rPr>
                <w:rFonts w:ascii="Arial" w:hAnsi="Arial" w:cs="Arial"/>
                <w:sz w:val="20"/>
                <w:szCs w:val="20"/>
              </w:rPr>
              <w:t xml:space="preserve">(8) </w:t>
            </w:r>
            <w:r w:rsidRPr="00444117">
              <w:rPr>
                <w:rFonts w:ascii="Arial" w:hAnsi="Arial" w:cs="Arial"/>
                <w:sz w:val="20"/>
                <w:szCs w:val="20"/>
              </w:rPr>
              <w:t>cases are still in progress</w:t>
            </w:r>
          </w:p>
        </w:tc>
        <w:tc>
          <w:tcPr>
            <w:tcW w:w="1984" w:type="dxa"/>
            <w:shd w:val="clear" w:color="auto" w:fill="FFFFFF" w:themeFill="background1"/>
          </w:tcPr>
          <w:p w14:paraId="1926AE2C"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2D"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Eight</w:t>
            </w:r>
            <w:r w:rsidR="00521DAE" w:rsidRPr="00444117">
              <w:rPr>
                <w:rFonts w:ascii="Arial" w:hAnsi="Arial" w:cs="Arial"/>
                <w:sz w:val="20"/>
                <w:szCs w:val="20"/>
              </w:rPr>
              <w:t xml:space="preserve"> (8)</w:t>
            </w:r>
            <w:r w:rsidRPr="00444117">
              <w:rPr>
                <w:rFonts w:ascii="Arial" w:hAnsi="Arial" w:cs="Arial"/>
                <w:sz w:val="20"/>
                <w:szCs w:val="20"/>
              </w:rPr>
              <w:t xml:space="preserve"> cases are still in progress with SAPS</w:t>
            </w:r>
          </w:p>
        </w:tc>
      </w:tr>
      <w:tr w:rsidR="00B06787" w:rsidRPr="00444117" w14:paraId="1926AE37" w14:textId="77777777" w:rsidTr="00444117">
        <w:trPr>
          <w:trHeight w:val="1645"/>
        </w:trPr>
        <w:tc>
          <w:tcPr>
            <w:tcW w:w="2552" w:type="dxa"/>
            <w:shd w:val="clear" w:color="auto" w:fill="FFFFFF" w:themeFill="background1"/>
          </w:tcPr>
          <w:p w14:paraId="1926AE2F"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Metrology Institute of South Africa  (NMISA)</w:t>
            </w:r>
          </w:p>
        </w:tc>
        <w:tc>
          <w:tcPr>
            <w:tcW w:w="2835" w:type="dxa"/>
            <w:shd w:val="clear" w:color="auto" w:fill="FFFFFF" w:themeFill="background1"/>
          </w:tcPr>
          <w:p w14:paraId="1926AE30"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 xml:space="preserve">One (1) case </w:t>
            </w:r>
            <w:proofErr w:type="gramStart"/>
            <w:r w:rsidRPr="00444117">
              <w:rPr>
                <w:rFonts w:ascii="Arial" w:hAnsi="Arial" w:cs="Arial"/>
                <w:sz w:val="20"/>
                <w:szCs w:val="20"/>
              </w:rPr>
              <w:t>was referred</w:t>
            </w:r>
            <w:proofErr w:type="gramEnd"/>
            <w:r w:rsidRPr="00444117">
              <w:rPr>
                <w:rFonts w:ascii="Arial" w:hAnsi="Arial" w:cs="Arial"/>
                <w:sz w:val="20"/>
                <w:szCs w:val="20"/>
              </w:rPr>
              <w:t xml:space="preserve"> t</w:t>
            </w:r>
            <w:r w:rsidR="007B6380" w:rsidRPr="00444117">
              <w:rPr>
                <w:rFonts w:ascii="Arial" w:hAnsi="Arial" w:cs="Arial"/>
                <w:sz w:val="20"/>
                <w:szCs w:val="20"/>
              </w:rPr>
              <w:t>o the SA Police Service (SAPS).</w:t>
            </w:r>
          </w:p>
        </w:tc>
        <w:tc>
          <w:tcPr>
            <w:tcW w:w="2977" w:type="dxa"/>
            <w:shd w:val="clear" w:color="auto" w:fill="FFFFFF" w:themeFill="background1"/>
          </w:tcPr>
          <w:p w14:paraId="1926AE31"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 xml:space="preserve">NMISA </w:t>
            </w:r>
            <w:proofErr w:type="gramStart"/>
            <w:r w:rsidRPr="00444117">
              <w:rPr>
                <w:rFonts w:ascii="Arial" w:hAnsi="Arial" w:cs="Arial"/>
                <w:sz w:val="20"/>
                <w:szCs w:val="20"/>
              </w:rPr>
              <w:t>was subsequently advised</w:t>
            </w:r>
            <w:proofErr w:type="gramEnd"/>
            <w:r w:rsidRPr="00444117">
              <w:rPr>
                <w:rFonts w:ascii="Arial" w:hAnsi="Arial" w:cs="Arial"/>
                <w:sz w:val="20"/>
                <w:szCs w:val="20"/>
              </w:rPr>
              <w:t xml:space="preserve"> to refer the matter to Directorate for Priority Crime Investigation (DPCI) as the organisation did not suffer any loss, and the case is still under investigation.</w:t>
            </w:r>
          </w:p>
        </w:tc>
        <w:tc>
          <w:tcPr>
            <w:tcW w:w="3544" w:type="dxa"/>
            <w:shd w:val="clear" w:color="auto" w:fill="FFFFFF" w:themeFill="background1"/>
          </w:tcPr>
          <w:p w14:paraId="1926AE32" w14:textId="77777777" w:rsidR="00444117" w:rsidRDefault="00521DAE" w:rsidP="00521DAE">
            <w:pPr>
              <w:spacing w:line="240" w:lineRule="auto"/>
              <w:jc w:val="both"/>
              <w:rPr>
                <w:rFonts w:ascii="Arial" w:hAnsi="Arial" w:cs="Arial"/>
                <w:sz w:val="20"/>
                <w:szCs w:val="20"/>
              </w:rPr>
            </w:pPr>
            <w:r w:rsidRPr="00444117">
              <w:rPr>
                <w:rFonts w:ascii="Arial" w:hAnsi="Arial" w:cs="Arial"/>
                <w:sz w:val="20"/>
                <w:szCs w:val="20"/>
              </w:rPr>
              <w:t>One (1) case was investigated by the SAPS</w:t>
            </w:r>
            <w:r w:rsidR="007B6380" w:rsidRPr="00444117">
              <w:rPr>
                <w:rFonts w:ascii="Arial" w:hAnsi="Arial" w:cs="Arial"/>
                <w:sz w:val="20"/>
                <w:szCs w:val="20"/>
              </w:rPr>
              <w:t xml:space="preserve"> and Directorate for Priority Crime Investigation (DPCI)</w:t>
            </w:r>
          </w:p>
          <w:p w14:paraId="1926AE33" w14:textId="77777777" w:rsidR="00444117" w:rsidRPr="00444117" w:rsidRDefault="00444117" w:rsidP="00444117">
            <w:pPr>
              <w:rPr>
                <w:rFonts w:ascii="Arial" w:hAnsi="Arial" w:cs="Arial"/>
                <w:sz w:val="20"/>
                <w:szCs w:val="20"/>
              </w:rPr>
            </w:pPr>
          </w:p>
          <w:p w14:paraId="1926AE34" w14:textId="77777777" w:rsidR="00EF3395" w:rsidRPr="00444117" w:rsidRDefault="00EF3395" w:rsidP="00444117">
            <w:pPr>
              <w:rPr>
                <w:rFonts w:ascii="Arial" w:hAnsi="Arial" w:cs="Arial"/>
                <w:sz w:val="20"/>
                <w:szCs w:val="20"/>
              </w:rPr>
            </w:pPr>
          </w:p>
        </w:tc>
        <w:tc>
          <w:tcPr>
            <w:tcW w:w="1984" w:type="dxa"/>
            <w:shd w:val="clear" w:color="auto" w:fill="FFFFFF" w:themeFill="background1"/>
          </w:tcPr>
          <w:p w14:paraId="1926AE35"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36"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E3E" w14:textId="77777777" w:rsidTr="006C4C0E">
        <w:tc>
          <w:tcPr>
            <w:tcW w:w="2552" w:type="dxa"/>
            <w:shd w:val="clear" w:color="auto" w:fill="FFFFFF" w:themeFill="background1"/>
          </w:tcPr>
          <w:p w14:paraId="1926AE38"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National Regulator For Compulsory Specifications (NRCS)</w:t>
            </w:r>
          </w:p>
        </w:tc>
        <w:tc>
          <w:tcPr>
            <w:tcW w:w="2835" w:type="dxa"/>
            <w:shd w:val="clear" w:color="auto" w:fill="FFFFFF" w:themeFill="background1"/>
          </w:tcPr>
          <w:p w14:paraId="1926AE39"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NRCS did not have any cases relating to the Prevention and Combating of Corrupt Activities Act, Act 12 of 2004, as amended</w:t>
            </w:r>
          </w:p>
        </w:tc>
        <w:tc>
          <w:tcPr>
            <w:tcW w:w="2977" w:type="dxa"/>
            <w:shd w:val="clear" w:color="auto" w:fill="FFFFFF" w:themeFill="background1"/>
          </w:tcPr>
          <w:p w14:paraId="1926AE3A"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E3B"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984" w:type="dxa"/>
            <w:shd w:val="clear" w:color="auto" w:fill="FFFFFF" w:themeFill="background1"/>
          </w:tcPr>
          <w:p w14:paraId="1926AE3C"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3D"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r w:rsidR="00B06787" w:rsidRPr="00444117" w14:paraId="1926AE45" w14:textId="77777777" w:rsidTr="006C4C0E">
        <w:tc>
          <w:tcPr>
            <w:tcW w:w="2552" w:type="dxa"/>
            <w:shd w:val="clear" w:color="auto" w:fill="FFFFFF" w:themeFill="background1"/>
          </w:tcPr>
          <w:p w14:paraId="1926AE3F" w14:textId="77777777" w:rsidR="00EF3395" w:rsidRPr="00444117" w:rsidRDefault="00EF3395" w:rsidP="00D51E5C">
            <w:pPr>
              <w:spacing w:before="100" w:beforeAutospacing="1" w:after="100" w:afterAutospacing="1" w:line="240" w:lineRule="auto"/>
              <w:jc w:val="both"/>
              <w:outlineLvl w:val="0"/>
              <w:rPr>
                <w:rFonts w:ascii="Arial" w:hAnsi="Arial" w:cs="Arial"/>
                <w:b/>
                <w:sz w:val="20"/>
                <w:szCs w:val="20"/>
              </w:rPr>
            </w:pPr>
            <w:r w:rsidRPr="00444117">
              <w:rPr>
                <w:rFonts w:ascii="Arial" w:hAnsi="Arial" w:cs="Arial"/>
                <w:b/>
                <w:sz w:val="20"/>
                <w:szCs w:val="20"/>
              </w:rPr>
              <w:t>South African National Accreditation System (SANAS)</w:t>
            </w:r>
          </w:p>
        </w:tc>
        <w:tc>
          <w:tcPr>
            <w:tcW w:w="2835" w:type="dxa"/>
            <w:shd w:val="clear" w:color="auto" w:fill="FFFFFF" w:themeFill="background1"/>
          </w:tcPr>
          <w:p w14:paraId="1926AE40" w14:textId="77777777" w:rsidR="00EF3395" w:rsidRPr="00444117" w:rsidRDefault="00EF3395" w:rsidP="00D51E5C">
            <w:pPr>
              <w:spacing w:after="0" w:line="240" w:lineRule="auto"/>
              <w:jc w:val="both"/>
              <w:rPr>
                <w:rFonts w:ascii="Arial" w:hAnsi="Arial" w:cs="Arial"/>
                <w:sz w:val="20"/>
                <w:szCs w:val="20"/>
              </w:rPr>
            </w:pPr>
            <w:r w:rsidRPr="00444117">
              <w:rPr>
                <w:rFonts w:ascii="Arial" w:hAnsi="Arial" w:cs="Arial"/>
                <w:sz w:val="20"/>
                <w:szCs w:val="20"/>
              </w:rPr>
              <w:t xml:space="preserve">SANAS did not have any cases relating to the Prevention and Combating of Corrupt Activities Act, Act 12 of 2004, as amended </w:t>
            </w:r>
          </w:p>
        </w:tc>
        <w:tc>
          <w:tcPr>
            <w:tcW w:w="2977" w:type="dxa"/>
            <w:shd w:val="clear" w:color="auto" w:fill="FFFFFF" w:themeFill="background1"/>
          </w:tcPr>
          <w:p w14:paraId="1926AE41"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3544" w:type="dxa"/>
            <w:shd w:val="clear" w:color="auto" w:fill="FFFFFF" w:themeFill="background1"/>
          </w:tcPr>
          <w:p w14:paraId="1926AE42"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984" w:type="dxa"/>
            <w:shd w:val="clear" w:color="auto" w:fill="FFFFFF" w:themeFill="background1"/>
          </w:tcPr>
          <w:p w14:paraId="1926AE43"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c>
          <w:tcPr>
            <w:tcW w:w="1701" w:type="dxa"/>
            <w:shd w:val="clear" w:color="auto" w:fill="FFFFFF" w:themeFill="background1"/>
          </w:tcPr>
          <w:p w14:paraId="1926AE44" w14:textId="77777777" w:rsidR="00EF3395" w:rsidRPr="00444117" w:rsidRDefault="00EF3395" w:rsidP="00D51E5C">
            <w:pPr>
              <w:spacing w:line="240" w:lineRule="auto"/>
              <w:jc w:val="both"/>
              <w:rPr>
                <w:rFonts w:ascii="Arial" w:hAnsi="Arial" w:cs="Arial"/>
                <w:sz w:val="20"/>
                <w:szCs w:val="20"/>
              </w:rPr>
            </w:pPr>
            <w:r w:rsidRPr="00444117">
              <w:rPr>
                <w:rFonts w:ascii="Arial" w:hAnsi="Arial" w:cs="Arial"/>
                <w:sz w:val="20"/>
                <w:szCs w:val="20"/>
              </w:rPr>
              <w:t>Not applicable</w:t>
            </w:r>
          </w:p>
        </w:tc>
      </w:tr>
    </w:tbl>
    <w:p w14:paraId="1926AE46" w14:textId="77777777" w:rsidR="00505B24" w:rsidRPr="00444117" w:rsidRDefault="00505B24" w:rsidP="003D2372">
      <w:pPr>
        <w:spacing w:after="0" w:line="240" w:lineRule="auto"/>
        <w:jc w:val="both"/>
        <w:rPr>
          <w:rFonts w:ascii="Arial" w:eastAsia="Arial Unicode MS" w:hAnsi="Arial" w:cs="Arial"/>
          <w:sz w:val="20"/>
          <w:szCs w:val="20"/>
        </w:rPr>
      </w:pPr>
    </w:p>
    <w:p w14:paraId="1926AE47" w14:textId="77777777" w:rsidR="00EF3395" w:rsidRPr="00444117" w:rsidRDefault="00521DAE" w:rsidP="00521DAE">
      <w:pPr>
        <w:spacing w:after="0" w:line="240" w:lineRule="auto"/>
        <w:ind w:left="-720"/>
        <w:jc w:val="both"/>
        <w:rPr>
          <w:rFonts w:ascii="Arial" w:eastAsia="Arial Unicode MS" w:hAnsi="Arial" w:cs="Arial"/>
          <w:sz w:val="20"/>
          <w:szCs w:val="20"/>
        </w:rPr>
      </w:pPr>
      <w:r w:rsidRPr="00444117">
        <w:rPr>
          <w:rStyle w:val="Emphasis"/>
          <w:rFonts w:ascii="Arial" w:hAnsi="Arial" w:cs="Arial"/>
          <w:sz w:val="20"/>
          <w:szCs w:val="20"/>
        </w:rPr>
        <w:t xml:space="preserve">"Except as explicitly state herein the Ministry: Department of Trade and Industry </w:t>
      </w:r>
      <w:r w:rsidRPr="00444117">
        <w:rPr>
          <w:rStyle w:val="Strong"/>
          <w:rFonts w:ascii="Arial" w:hAnsi="Arial" w:cs="Arial"/>
          <w:i/>
          <w:iCs/>
          <w:sz w:val="20"/>
          <w:szCs w:val="20"/>
        </w:rPr>
        <w:t>(the</w:t>
      </w:r>
      <w:r w:rsidRPr="00444117">
        <w:rPr>
          <w:rStyle w:val="Emphasis"/>
          <w:rFonts w:ascii="Arial" w:hAnsi="Arial" w:cs="Arial"/>
          <w:sz w:val="20"/>
          <w:szCs w:val="20"/>
        </w:rPr>
        <w:t xml:space="preserve"> </w:t>
      </w:r>
      <w:proofErr w:type="spellStart"/>
      <w:r w:rsidRPr="00444117">
        <w:rPr>
          <w:rStyle w:val="Strong"/>
          <w:rFonts w:ascii="Arial" w:hAnsi="Arial" w:cs="Arial"/>
          <w:i/>
          <w:iCs/>
          <w:sz w:val="20"/>
          <w:szCs w:val="20"/>
        </w:rPr>
        <w:t>dti</w:t>
      </w:r>
      <w:proofErr w:type="spellEnd"/>
      <w:r w:rsidRPr="00444117">
        <w:rPr>
          <w:rStyle w:val="Strong"/>
          <w:rFonts w:ascii="Arial" w:hAnsi="Arial" w:cs="Arial"/>
          <w:i/>
          <w:iCs/>
          <w:sz w:val="20"/>
          <w:szCs w:val="20"/>
        </w:rPr>
        <w:t>)</w:t>
      </w:r>
      <w:r w:rsidRPr="00444117">
        <w:rPr>
          <w:rStyle w:val="Emphasis"/>
          <w:rFonts w:ascii="Arial" w:hAnsi="Arial" w:cs="Arial"/>
          <w:sz w:val="20"/>
          <w:szCs w:val="20"/>
        </w:rPr>
        <w:t xml:space="preserve"> does not express an opinion in respect of any factual representations.</w:t>
      </w:r>
      <w:r w:rsidR="00422476">
        <w:rPr>
          <w:rStyle w:val="Emphasis"/>
          <w:rFonts w:ascii="Arial" w:hAnsi="Arial" w:cs="Arial"/>
          <w:sz w:val="20"/>
          <w:szCs w:val="20"/>
        </w:rPr>
        <w:t xml:space="preserve"> The opinion /memo provided </w:t>
      </w:r>
      <w:r w:rsidRPr="00444117">
        <w:rPr>
          <w:rStyle w:val="Emphasis"/>
          <w:rFonts w:ascii="Arial" w:hAnsi="Arial" w:cs="Arial"/>
          <w:sz w:val="20"/>
          <w:szCs w:val="20"/>
        </w:rPr>
        <w:t xml:space="preserve">is limited to the matters stated in it and may not be relied on upon by any person outside </w:t>
      </w:r>
      <w:r w:rsidRPr="00444117">
        <w:rPr>
          <w:rStyle w:val="Strong"/>
          <w:rFonts w:ascii="Arial" w:hAnsi="Arial" w:cs="Arial"/>
          <w:i/>
          <w:iCs/>
          <w:sz w:val="20"/>
          <w:szCs w:val="20"/>
        </w:rPr>
        <w:t xml:space="preserve">the </w:t>
      </w:r>
      <w:proofErr w:type="spellStart"/>
      <w:r w:rsidRPr="00444117">
        <w:rPr>
          <w:rStyle w:val="Strong"/>
          <w:rFonts w:ascii="Arial" w:hAnsi="Arial" w:cs="Arial"/>
          <w:i/>
          <w:iCs/>
          <w:sz w:val="20"/>
          <w:szCs w:val="20"/>
        </w:rPr>
        <w:t>dti</w:t>
      </w:r>
      <w:proofErr w:type="spellEnd"/>
      <w:r w:rsidRPr="00444117">
        <w:rPr>
          <w:rStyle w:val="Emphasis"/>
          <w:rFonts w:ascii="Arial" w:hAnsi="Arial" w:cs="Arial"/>
          <w:sz w:val="20"/>
          <w:szCs w:val="20"/>
        </w:rPr>
        <w:t xml:space="preserve"> or used for any other purpose neither in its intent or existence.</w:t>
      </w:r>
      <w:r w:rsidR="00A74382">
        <w:rPr>
          <w:rStyle w:val="Emphasis"/>
          <w:rFonts w:ascii="Arial" w:hAnsi="Arial" w:cs="Arial"/>
          <w:sz w:val="20"/>
          <w:szCs w:val="20"/>
        </w:rPr>
        <w:t xml:space="preserve"> </w:t>
      </w:r>
      <w:r w:rsidRPr="00444117">
        <w:rPr>
          <w:rStyle w:val="Emphasis"/>
          <w:rFonts w:ascii="Arial" w:hAnsi="Arial" w:cs="Arial"/>
          <w:sz w:val="20"/>
          <w:szCs w:val="20"/>
        </w:rPr>
        <w:t xml:space="preserve">It </w:t>
      </w:r>
      <w:proofErr w:type="gramStart"/>
      <w:r w:rsidRPr="00444117">
        <w:rPr>
          <w:rStyle w:val="Emphasis"/>
          <w:rFonts w:ascii="Arial" w:hAnsi="Arial" w:cs="Arial"/>
          <w:sz w:val="20"/>
          <w:szCs w:val="20"/>
        </w:rPr>
        <w:t>must not be disclosed</w:t>
      </w:r>
      <w:proofErr w:type="gramEnd"/>
      <w:r w:rsidRPr="00444117">
        <w:rPr>
          <w:rStyle w:val="Emphasis"/>
          <w:rFonts w:ascii="Arial" w:hAnsi="Arial" w:cs="Arial"/>
          <w:sz w:val="20"/>
          <w:szCs w:val="20"/>
        </w:rPr>
        <w:t xml:space="preserve"> to any other person without prior written approval other than by law. Nothing contained herein shall be construed as limiting the rights of </w:t>
      </w:r>
      <w:r w:rsidRPr="00444117">
        <w:rPr>
          <w:rStyle w:val="Strong"/>
          <w:rFonts w:ascii="Arial" w:hAnsi="Arial" w:cs="Arial"/>
          <w:i/>
          <w:iCs/>
          <w:sz w:val="20"/>
          <w:szCs w:val="20"/>
        </w:rPr>
        <w:t xml:space="preserve">the </w:t>
      </w:r>
      <w:proofErr w:type="spellStart"/>
      <w:r w:rsidRPr="00444117">
        <w:rPr>
          <w:rStyle w:val="Strong"/>
          <w:rFonts w:ascii="Arial" w:hAnsi="Arial" w:cs="Arial"/>
          <w:i/>
          <w:iCs/>
          <w:sz w:val="20"/>
          <w:szCs w:val="20"/>
        </w:rPr>
        <w:t>dti</w:t>
      </w:r>
      <w:proofErr w:type="spellEnd"/>
      <w:r w:rsidRPr="00444117">
        <w:rPr>
          <w:rStyle w:val="Emphasis"/>
          <w:rFonts w:ascii="Arial" w:hAnsi="Arial" w:cs="Arial"/>
          <w:sz w:val="20"/>
          <w:szCs w:val="20"/>
        </w:rPr>
        <w:t xml:space="preserve"> to defend or oppose any claim or action against </w:t>
      </w:r>
      <w:r w:rsidRPr="00444117">
        <w:rPr>
          <w:rStyle w:val="Strong"/>
          <w:rFonts w:ascii="Arial" w:hAnsi="Arial" w:cs="Arial"/>
          <w:i/>
          <w:iCs/>
          <w:sz w:val="20"/>
          <w:szCs w:val="20"/>
        </w:rPr>
        <w:t xml:space="preserve">the </w:t>
      </w:r>
      <w:proofErr w:type="spellStart"/>
      <w:r w:rsidRPr="00444117">
        <w:rPr>
          <w:rStyle w:val="Strong"/>
          <w:rFonts w:ascii="Arial" w:hAnsi="Arial" w:cs="Arial"/>
          <w:i/>
          <w:iCs/>
          <w:sz w:val="20"/>
          <w:szCs w:val="20"/>
        </w:rPr>
        <w:t>dti</w:t>
      </w:r>
      <w:proofErr w:type="spellEnd"/>
      <w:r w:rsidRPr="00444117">
        <w:rPr>
          <w:rStyle w:val="Emphasis"/>
          <w:rFonts w:ascii="Arial" w:hAnsi="Arial" w:cs="Arial"/>
          <w:sz w:val="20"/>
          <w:szCs w:val="20"/>
        </w:rPr>
        <w:t>."</w:t>
      </w:r>
    </w:p>
    <w:p w14:paraId="1926AE48" w14:textId="77777777" w:rsidR="00B06787" w:rsidRPr="00444117" w:rsidRDefault="00B06787" w:rsidP="003D2372">
      <w:pPr>
        <w:spacing w:after="0" w:line="240" w:lineRule="auto"/>
        <w:jc w:val="both"/>
        <w:rPr>
          <w:rFonts w:ascii="Arial" w:eastAsia="Arial Unicode MS" w:hAnsi="Arial" w:cs="Arial"/>
          <w:sz w:val="20"/>
          <w:szCs w:val="20"/>
        </w:rPr>
      </w:pPr>
    </w:p>
    <w:p w14:paraId="1926AE49" w14:textId="77777777" w:rsidR="00B06787" w:rsidRPr="00444117" w:rsidRDefault="00B06787" w:rsidP="003D2372">
      <w:pPr>
        <w:spacing w:after="0" w:line="240" w:lineRule="auto"/>
        <w:jc w:val="both"/>
        <w:rPr>
          <w:rFonts w:ascii="Arial" w:eastAsia="Arial Unicode MS" w:hAnsi="Arial" w:cs="Arial"/>
          <w:sz w:val="20"/>
          <w:szCs w:val="20"/>
        </w:rPr>
      </w:pPr>
    </w:p>
    <w:p w14:paraId="1926AE4A" w14:textId="77777777" w:rsidR="00B06787" w:rsidRPr="00444117" w:rsidRDefault="00B06787" w:rsidP="003D2372">
      <w:pPr>
        <w:spacing w:after="0" w:line="240" w:lineRule="auto"/>
        <w:jc w:val="both"/>
        <w:rPr>
          <w:rFonts w:ascii="Arial" w:eastAsia="Arial Unicode MS" w:hAnsi="Arial" w:cs="Arial"/>
          <w:sz w:val="20"/>
          <w:szCs w:val="20"/>
        </w:rPr>
      </w:pPr>
    </w:p>
    <w:p w14:paraId="1926AE4B" w14:textId="77777777" w:rsidR="00B06787" w:rsidRPr="00444117" w:rsidRDefault="00B06787" w:rsidP="003D2372">
      <w:pPr>
        <w:spacing w:after="0" w:line="240" w:lineRule="auto"/>
        <w:jc w:val="both"/>
        <w:rPr>
          <w:rFonts w:ascii="Arial" w:eastAsia="Arial Unicode MS" w:hAnsi="Arial" w:cs="Arial"/>
          <w:sz w:val="20"/>
          <w:szCs w:val="20"/>
        </w:rPr>
      </w:pPr>
    </w:p>
    <w:p w14:paraId="1926AE4C" w14:textId="77777777" w:rsidR="00444117" w:rsidRPr="00444117" w:rsidRDefault="00444117" w:rsidP="003D2372">
      <w:pPr>
        <w:spacing w:after="0" w:line="240" w:lineRule="auto"/>
        <w:jc w:val="both"/>
        <w:rPr>
          <w:rFonts w:ascii="Arial" w:eastAsia="Arial Unicode MS" w:hAnsi="Arial" w:cs="Arial"/>
          <w:sz w:val="20"/>
          <w:szCs w:val="20"/>
        </w:rPr>
      </w:pPr>
    </w:p>
    <w:p w14:paraId="1926AE4D" w14:textId="77777777" w:rsidR="00444117" w:rsidRPr="00444117" w:rsidRDefault="00444117" w:rsidP="003D2372">
      <w:pPr>
        <w:spacing w:after="0" w:line="240" w:lineRule="auto"/>
        <w:jc w:val="both"/>
        <w:rPr>
          <w:rFonts w:ascii="Arial" w:eastAsia="Arial Unicode MS" w:hAnsi="Arial" w:cs="Arial"/>
          <w:sz w:val="20"/>
          <w:szCs w:val="20"/>
        </w:rPr>
      </w:pPr>
    </w:p>
    <w:p w14:paraId="1926AE4E" w14:textId="77777777" w:rsidR="003D2372" w:rsidRPr="00444117" w:rsidRDefault="003D2372" w:rsidP="003D2372">
      <w:pPr>
        <w:spacing w:after="0" w:line="240" w:lineRule="auto"/>
        <w:jc w:val="both"/>
        <w:rPr>
          <w:rFonts w:ascii="Arial" w:eastAsia="Arial Unicode MS" w:hAnsi="Arial" w:cs="Arial"/>
          <w:b/>
          <w:bCs/>
          <w:sz w:val="20"/>
          <w:szCs w:val="20"/>
          <w:lang w:val="en-US"/>
        </w:rPr>
      </w:pPr>
      <w:r w:rsidRPr="00444117">
        <w:rPr>
          <w:rFonts w:ascii="Arial" w:eastAsia="Arial Unicode MS" w:hAnsi="Arial" w:cs="Arial"/>
          <w:sz w:val="20"/>
          <w:szCs w:val="20"/>
        </w:rPr>
        <w:lastRenderedPageBreak/>
        <w:t xml:space="preserve">. </w:t>
      </w:r>
    </w:p>
    <w:sectPr w:rsidR="003D2372" w:rsidRPr="00444117" w:rsidSect="00EF3395">
      <w:footerReference w:type="default" r:id="rId8"/>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AE53" w14:textId="77777777" w:rsidR="00110394" w:rsidRDefault="00110394" w:rsidP="00EC79E9">
      <w:pPr>
        <w:spacing w:after="0" w:line="240" w:lineRule="auto"/>
      </w:pPr>
      <w:r>
        <w:separator/>
      </w:r>
    </w:p>
  </w:endnote>
  <w:endnote w:type="continuationSeparator" w:id="0">
    <w:p w14:paraId="1926AE54" w14:textId="77777777" w:rsidR="00110394" w:rsidRDefault="00110394" w:rsidP="00EC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86016409"/>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1926AE55" w14:textId="34D8F614" w:rsidR="00BF5261" w:rsidRPr="00EC79E9" w:rsidRDefault="00BF5261">
            <w:pPr>
              <w:pStyle w:val="Footer"/>
              <w:jc w:val="right"/>
              <w:rPr>
                <w:rFonts w:ascii="Arial" w:hAnsi="Arial" w:cs="Arial"/>
                <w:sz w:val="20"/>
                <w:szCs w:val="20"/>
              </w:rPr>
            </w:pPr>
            <w:r w:rsidRPr="00EC79E9">
              <w:rPr>
                <w:rFonts w:ascii="Arial" w:hAnsi="Arial" w:cs="Arial"/>
                <w:sz w:val="20"/>
                <w:szCs w:val="20"/>
              </w:rPr>
              <w:t xml:space="preserve">Page </w:t>
            </w:r>
            <w:r w:rsidRPr="00EC79E9">
              <w:rPr>
                <w:rFonts w:ascii="Arial" w:hAnsi="Arial" w:cs="Arial"/>
                <w:b/>
                <w:bCs/>
                <w:sz w:val="20"/>
                <w:szCs w:val="20"/>
              </w:rPr>
              <w:fldChar w:fldCharType="begin"/>
            </w:r>
            <w:r w:rsidRPr="00EC79E9">
              <w:rPr>
                <w:rFonts w:ascii="Arial" w:hAnsi="Arial" w:cs="Arial"/>
                <w:b/>
                <w:bCs/>
                <w:sz w:val="20"/>
                <w:szCs w:val="20"/>
              </w:rPr>
              <w:instrText xml:space="preserve"> PAGE </w:instrText>
            </w:r>
            <w:r w:rsidRPr="00EC79E9">
              <w:rPr>
                <w:rFonts w:ascii="Arial" w:hAnsi="Arial" w:cs="Arial"/>
                <w:b/>
                <w:bCs/>
                <w:sz w:val="20"/>
                <w:szCs w:val="20"/>
              </w:rPr>
              <w:fldChar w:fldCharType="separate"/>
            </w:r>
            <w:r w:rsidR="000F4E96">
              <w:rPr>
                <w:rFonts w:ascii="Arial" w:hAnsi="Arial" w:cs="Arial"/>
                <w:b/>
                <w:bCs/>
                <w:noProof/>
                <w:sz w:val="20"/>
                <w:szCs w:val="20"/>
              </w:rPr>
              <w:t>5</w:t>
            </w:r>
            <w:r w:rsidRPr="00EC79E9">
              <w:rPr>
                <w:rFonts w:ascii="Arial" w:hAnsi="Arial" w:cs="Arial"/>
                <w:b/>
                <w:bCs/>
                <w:sz w:val="20"/>
                <w:szCs w:val="20"/>
              </w:rPr>
              <w:fldChar w:fldCharType="end"/>
            </w:r>
            <w:r w:rsidRPr="00EC79E9">
              <w:rPr>
                <w:rFonts w:ascii="Arial" w:hAnsi="Arial" w:cs="Arial"/>
                <w:sz w:val="20"/>
                <w:szCs w:val="20"/>
              </w:rPr>
              <w:t xml:space="preserve"> of </w:t>
            </w:r>
            <w:r w:rsidRPr="00EC79E9">
              <w:rPr>
                <w:rFonts w:ascii="Arial" w:hAnsi="Arial" w:cs="Arial"/>
                <w:b/>
                <w:bCs/>
                <w:sz w:val="20"/>
                <w:szCs w:val="20"/>
              </w:rPr>
              <w:fldChar w:fldCharType="begin"/>
            </w:r>
            <w:r w:rsidRPr="00EC79E9">
              <w:rPr>
                <w:rFonts w:ascii="Arial" w:hAnsi="Arial" w:cs="Arial"/>
                <w:b/>
                <w:bCs/>
                <w:sz w:val="20"/>
                <w:szCs w:val="20"/>
              </w:rPr>
              <w:instrText xml:space="preserve"> NUMPAGES  </w:instrText>
            </w:r>
            <w:r w:rsidRPr="00EC79E9">
              <w:rPr>
                <w:rFonts w:ascii="Arial" w:hAnsi="Arial" w:cs="Arial"/>
                <w:b/>
                <w:bCs/>
                <w:sz w:val="20"/>
                <w:szCs w:val="20"/>
              </w:rPr>
              <w:fldChar w:fldCharType="separate"/>
            </w:r>
            <w:r w:rsidR="000F4E96">
              <w:rPr>
                <w:rFonts w:ascii="Arial" w:hAnsi="Arial" w:cs="Arial"/>
                <w:b/>
                <w:bCs/>
                <w:noProof/>
                <w:sz w:val="20"/>
                <w:szCs w:val="20"/>
              </w:rPr>
              <w:t>5</w:t>
            </w:r>
            <w:r w:rsidRPr="00EC79E9">
              <w:rPr>
                <w:rFonts w:ascii="Arial" w:hAnsi="Arial" w:cs="Arial"/>
                <w:b/>
                <w:bCs/>
                <w:sz w:val="20"/>
                <w:szCs w:val="20"/>
              </w:rPr>
              <w:fldChar w:fldCharType="end"/>
            </w:r>
          </w:p>
        </w:sdtContent>
      </w:sdt>
    </w:sdtContent>
  </w:sdt>
  <w:p w14:paraId="1926AE56" w14:textId="77777777" w:rsidR="00BF5261" w:rsidRPr="00EC79E9" w:rsidRDefault="00F63F1E" w:rsidP="00F63F1E">
    <w:pPr>
      <w:pStyle w:val="Footer"/>
      <w:tabs>
        <w:tab w:val="clear" w:pos="4513"/>
        <w:tab w:val="clear" w:pos="9026"/>
        <w:tab w:val="left" w:pos="2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AE51" w14:textId="77777777" w:rsidR="00110394" w:rsidRDefault="00110394" w:rsidP="00EC79E9">
      <w:pPr>
        <w:spacing w:after="0" w:line="240" w:lineRule="auto"/>
      </w:pPr>
      <w:r>
        <w:separator/>
      </w:r>
    </w:p>
  </w:footnote>
  <w:footnote w:type="continuationSeparator" w:id="0">
    <w:p w14:paraId="1926AE52" w14:textId="77777777" w:rsidR="00110394" w:rsidRDefault="00110394" w:rsidP="00EC7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D7"/>
    <w:multiLevelType w:val="hybridMultilevel"/>
    <w:tmpl w:val="951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5F"/>
    <w:rsid w:val="00011D77"/>
    <w:rsid w:val="000E652C"/>
    <w:rsid w:val="000F4E96"/>
    <w:rsid w:val="00110394"/>
    <w:rsid w:val="00132D47"/>
    <w:rsid w:val="002302D4"/>
    <w:rsid w:val="002A390D"/>
    <w:rsid w:val="00317404"/>
    <w:rsid w:val="003247ED"/>
    <w:rsid w:val="003D0C7C"/>
    <w:rsid w:val="003D2372"/>
    <w:rsid w:val="00422476"/>
    <w:rsid w:val="00443396"/>
    <w:rsid w:val="00444117"/>
    <w:rsid w:val="00473C88"/>
    <w:rsid w:val="0049023F"/>
    <w:rsid w:val="00490D5F"/>
    <w:rsid w:val="004D0A4E"/>
    <w:rsid w:val="00505B24"/>
    <w:rsid w:val="00521DAE"/>
    <w:rsid w:val="00531B83"/>
    <w:rsid w:val="005A4B1F"/>
    <w:rsid w:val="005B0C91"/>
    <w:rsid w:val="005C2F7A"/>
    <w:rsid w:val="005D4A73"/>
    <w:rsid w:val="00614537"/>
    <w:rsid w:val="006902DE"/>
    <w:rsid w:val="006C1AEF"/>
    <w:rsid w:val="006C4C0E"/>
    <w:rsid w:val="00724836"/>
    <w:rsid w:val="00730140"/>
    <w:rsid w:val="007B6380"/>
    <w:rsid w:val="00802EE1"/>
    <w:rsid w:val="008667ED"/>
    <w:rsid w:val="00875410"/>
    <w:rsid w:val="008E67C7"/>
    <w:rsid w:val="009165AC"/>
    <w:rsid w:val="009C1D4D"/>
    <w:rsid w:val="009D215B"/>
    <w:rsid w:val="00A065CF"/>
    <w:rsid w:val="00A11B99"/>
    <w:rsid w:val="00A12387"/>
    <w:rsid w:val="00A74382"/>
    <w:rsid w:val="00A911FC"/>
    <w:rsid w:val="00B06787"/>
    <w:rsid w:val="00B162AF"/>
    <w:rsid w:val="00B54FCB"/>
    <w:rsid w:val="00B865E6"/>
    <w:rsid w:val="00BA3D04"/>
    <w:rsid w:val="00BB6361"/>
    <w:rsid w:val="00BE55BB"/>
    <w:rsid w:val="00BF5261"/>
    <w:rsid w:val="00C66898"/>
    <w:rsid w:val="00CB29DA"/>
    <w:rsid w:val="00CB3D98"/>
    <w:rsid w:val="00CF431A"/>
    <w:rsid w:val="00D51E5C"/>
    <w:rsid w:val="00D728CF"/>
    <w:rsid w:val="00D9406A"/>
    <w:rsid w:val="00DA2651"/>
    <w:rsid w:val="00E749BA"/>
    <w:rsid w:val="00EC79E9"/>
    <w:rsid w:val="00EF3395"/>
    <w:rsid w:val="00F63F1E"/>
    <w:rsid w:val="00FD5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6ADC7"/>
  <w15:docId w15:val="{1C318BC6-6C57-4A1C-9467-FD9CC17D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88"/>
    <w:rPr>
      <w:rFonts w:ascii="Tahoma" w:hAnsi="Tahoma" w:cs="Tahoma"/>
      <w:sz w:val="16"/>
      <w:szCs w:val="16"/>
    </w:rPr>
  </w:style>
  <w:style w:type="paragraph" w:styleId="Header">
    <w:name w:val="header"/>
    <w:basedOn w:val="Normal"/>
    <w:link w:val="HeaderChar"/>
    <w:uiPriority w:val="99"/>
    <w:unhideWhenUsed/>
    <w:rsid w:val="00EC7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E9"/>
  </w:style>
  <w:style w:type="paragraph" w:styleId="Footer">
    <w:name w:val="footer"/>
    <w:basedOn w:val="Normal"/>
    <w:link w:val="FooterChar"/>
    <w:uiPriority w:val="99"/>
    <w:unhideWhenUsed/>
    <w:rsid w:val="00EC7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E9"/>
  </w:style>
  <w:style w:type="character" w:styleId="Emphasis">
    <w:name w:val="Emphasis"/>
    <w:basedOn w:val="DefaultParagraphFont"/>
    <w:uiPriority w:val="20"/>
    <w:qFormat/>
    <w:rsid w:val="00521DAE"/>
    <w:rPr>
      <w:i/>
      <w:iCs/>
    </w:rPr>
  </w:style>
  <w:style w:type="character" w:styleId="Strong">
    <w:name w:val="Strong"/>
    <w:basedOn w:val="DefaultParagraphFont"/>
    <w:uiPriority w:val="22"/>
    <w:qFormat/>
    <w:rsid w:val="00521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Philby Lorraine Petersen</cp:lastModifiedBy>
  <cp:revision>3</cp:revision>
  <cp:lastPrinted>2018-05-31T13:22:00Z</cp:lastPrinted>
  <dcterms:created xsi:type="dcterms:W3CDTF">2018-05-31T12:45:00Z</dcterms:created>
  <dcterms:modified xsi:type="dcterms:W3CDTF">2018-05-31T13:23:00Z</dcterms:modified>
</cp:coreProperties>
</file>