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47" w:rsidRPr="00656195" w:rsidRDefault="005B0B47" w:rsidP="005B0B47">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5B0B47" w:rsidRPr="00656195" w:rsidRDefault="005B0B47" w:rsidP="005B0B47">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5B0B47" w:rsidRPr="00656195" w:rsidRDefault="005B0B47" w:rsidP="005B0B47">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5B0B47" w:rsidRPr="00656195" w:rsidRDefault="005B0B47" w:rsidP="005B0B47">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56195">
        <w:rPr>
          <w:rFonts w:ascii="Arial Narrow" w:eastAsia="Arial Unicode MS" w:hAnsi="Arial Unicode MS" w:cs="Arial Unicode MS"/>
          <w:b/>
          <w:bCs/>
          <w:noProof/>
          <w:color w:val="000000"/>
          <w:sz w:val="24"/>
          <w:szCs w:val="24"/>
          <w:u w:color="000000"/>
          <w:bdr w:val="nil"/>
          <w:lang w:eastAsia="en-ZA"/>
        </w:rPr>
        <w:drawing>
          <wp:inline distT="0" distB="0" distL="0" distR="0" wp14:anchorId="37959E11" wp14:editId="01DDBDB5">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71500" cy="800100"/>
                    </a:xfrm>
                    <a:prstGeom prst="rect">
                      <a:avLst/>
                    </a:prstGeom>
                    <a:ln w="12700" cap="flat">
                      <a:noFill/>
                      <a:miter lim="400000"/>
                    </a:ln>
                    <a:effectLst/>
                  </pic:spPr>
                </pic:pic>
              </a:graphicData>
            </a:graphic>
          </wp:inline>
        </w:drawing>
      </w:r>
    </w:p>
    <w:p w:rsidR="005B0B47" w:rsidRPr="00656195" w:rsidRDefault="005B0B47" w:rsidP="005B0B47">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5B0B47" w:rsidRPr="00656195" w:rsidRDefault="005B0B47" w:rsidP="005B0B47">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56195">
        <w:rPr>
          <w:rFonts w:ascii="Arial" w:eastAsia="Arial Unicode MS" w:hAnsi="Arial Unicode MS" w:cs="Arial Unicode MS"/>
          <w:b/>
          <w:bCs/>
          <w:color w:val="003300"/>
          <w:sz w:val="20"/>
          <w:szCs w:val="20"/>
          <w:u w:color="003300"/>
          <w:bdr w:val="nil"/>
          <w:lang w:val="en-US" w:eastAsia="en-GB"/>
        </w:rPr>
        <w:t>MINISTRY OF TOURISM</w:t>
      </w:r>
    </w:p>
    <w:p w:rsidR="005B0B47" w:rsidRPr="00656195" w:rsidRDefault="005B0B47" w:rsidP="005B0B47">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56195">
        <w:rPr>
          <w:rFonts w:ascii="Arial" w:eastAsia="Arial Unicode MS" w:hAnsi="Arial Unicode MS" w:cs="Arial Unicode MS"/>
          <w:b/>
          <w:bCs/>
          <w:color w:val="003300"/>
          <w:sz w:val="20"/>
          <w:szCs w:val="20"/>
          <w:u w:color="003300"/>
          <w:bdr w:val="nil"/>
          <w:lang w:val="en-US" w:eastAsia="en-GB"/>
        </w:rPr>
        <w:t>REPUBLIC OF SOUTH AFRICA</w:t>
      </w:r>
    </w:p>
    <w:p w:rsidR="005B0B47" w:rsidRPr="00656195" w:rsidRDefault="005B0B47" w:rsidP="005B0B47">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5B0B47" w:rsidRPr="00656195" w:rsidRDefault="005B0B47" w:rsidP="005B0B47">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5619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5B0B47" w:rsidRPr="00656195" w:rsidRDefault="005B0B47" w:rsidP="005B0B47">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5619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5B0B47" w:rsidRPr="00656195" w:rsidRDefault="005B0B47" w:rsidP="005B0B47">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5B0B47" w:rsidRPr="00656195" w:rsidRDefault="005B0B47" w:rsidP="005B0B47">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656195">
        <w:rPr>
          <w:rFonts w:ascii="Arial" w:eastAsia="Arial Unicode MS" w:hAnsi="Arial Unicode MS" w:cs="Arial Unicode MS"/>
          <w:color w:val="000000"/>
          <w:sz w:val="20"/>
          <w:szCs w:val="20"/>
          <w:u w:color="000000"/>
          <w:bdr w:val="nil"/>
          <w:lang w:val="en-US" w:eastAsia="en-GB"/>
        </w:rPr>
        <w:t>Ref: TM 2/1/1/10</w:t>
      </w:r>
    </w:p>
    <w:p w:rsidR="005B0B47" w:rsidRDefault="005B0B47" w:rsidP="005B0B47">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5B0B47" w:rsidRDefault="005B0B47" w:rsidP="005B0B47">
      <w:pPr>
        <w:spacing w:line="360" w:lineRule="auto"/>
        <w:ind w:left="284"/>
        <w:rPr>
          <w:rFonts w:ascii="Arial Narrow" w:hAnsi="Arial Narrow"/>
          <w:b/>
          <w:bCs/>
          <w:sz w:val="24"/>
          <w:szCs w:val="24"/>
          <w:u w:val="single"/>
        </w:rPr>
      </w:pPr>
      <w:r>
        <w:rPr>
          <w:rFonts w:ascii="Arial Narrow" w:hAnsi="Arial Narrow"/>
          <w:b/>
          <w:bCs/>
          <w:sz w:val="24"/>
          <w:szCs w:val="24"/>
          <w:u w:val="single"/>
        </w:rPr>
        <w:t>NATIONAL ASSEMBLY:</w:t>
      </w:r>
    </w:p>
    <w:p w:rsidR="005B0B47" w:rsidRDefault="005B0B47" w:rsidP="005B0B47">
      <w:pPr>
        <w:spacing w:line="360" w:lineRule="auto"/>
        <w:ind w:left="284"/>
        <w:rPr>
          <w:rFonts w:ascii="Arial Narrow" w:hAnsi="Arial Narrow" w:cs="Arial"/>
          <w:b/>
          <w:sz w:val="24"/>
          <w:szCs w:val="24"/>
        </w:rPr>
      </w:pPr>
      <w:r>
        <w:rPr>
          <w:rFonts w:ascii="Arial Narrow" w:hAnsi="Arial Narrow"/>
          <w:b/>
          <w:bCs/>
          <w:sz w:val="24"/>
          <w:szCs w:val="24"/>
        </w:rPr>
        <w:t>QUESTION FOR WRITTEN REPLY:</w:t>
      </w:r>
    </w:p>
    <w:p w:rsidR="005B0B47" w:rsidRDefault="005B0B47" w:rsidP="005B0B47">
      <w:pPr>
        <w:tabs>
          <w:tab w:val="left" w:pos="2268"/>
        </w:tabs>
        <w:spacing w:line="360" w:lineRule="auto"/>
        <w:ind w:left="284"/>
        <w:rPr>
          <w:rFonts w:ascii="Arial Narrow" w:hAnsi="Arial Narrow" w:cs="Times New Roman"/>
          <w:b/>
          <w:bCs/>
          <w:sz w:val="24"/>
          <w:szCs w:val="24"/>
        </w:rPr>
      </w:pPr>
      <w:r>
        <w:rPr>
          <w:rFonts w:ascii="Arial Narrow" w:hAnsi="Arial Narrow"/>
          <w:b/>
          <w:bCs/>
          <w:sz w:val="24"/>
          <w:szCs w:val="24"/>
        </w:rPr>
        <w:t>Question Number:</w:t>
      </w:r>
      <w:r>
        <w:rPr>
          <w:rFonts w:ascii="Arial Narrow" w:hAnsi="Arial Narrow"/>
          <w:b/>
          <w:bCs/>
          <w:sz w:val="24"/>
          <w:szCs w:val="24"/>
        </w:rPr>
        <w:tab/>
        <w:t>1670</w:t>
      </w:r>
    </w:p>
    <w:p w:rsidR="005B0B47" w:rsidRDefault="005B0B47" w:rsidP="005B0B47">
      <w:pPr>
        <w:tabs>
          <w:tab w:val="left" w:pos="2268"/>
        </w:tabs>
        <w:spacing w:line="360" w:lineRule="auto"/>
        <w:ind w:left="284"/>
        <w:rPr>
          <w:rFonts w:ascii="Arial Narrow" w:hAnsi="Arial Narrow"/>
          <w:b/>
          <w:bCs/>
          <w:sz w:val="24"/>
          <w:szCs w:val="24"/>
        </w:rPr>
      </w:pPr>
      <w:r>
        <w:rPr>
          <w:rFonts w:ascii="Arial Narrow" w:hAnsi="Arial Narrow"/>
          <w:b/>
          <w:bCs/>
          <w:sz w:val="24"/>
          <w:szCs w:val="24"/>
        </w:rPr>
        <w:t xml:space="preserve">Date of Publication: </w:t>
      </w:r>
      <w:r>
        <w:rPr>
          <w:rFonts w:ascii="Arial Narrow" w:hAnsi="Arial Narrow"/>
          <w:b/>
          <w:bCs/>
          <w:sz w:val="24"/>
          <w:szCs w:val="24"/>
        </w:rPr>
        <w:tab/>
        <w:t>29 May 2018</w:t>
      </w:r>
    </w:p>
    <w:p w:rsidR="005B0B47" w:rsidRDefault="005B0B47" w:rsidP="005B0B47">
      <w:pPr>
        <w:tabs>
          <w:tab w:val="left" w:pos="2268"/>
        </w:tabs>
        <w:spacing w:line="360" w:lineRule="auto"/>
        <w:ind w:left="284"/>
        <w:rPr>
          <w:rFonts w:ascii="Arial Narrow" w:hAnsi="Arial Narrow"/>
          <w:b/>
          <w:bCs/>
          <w:sz w:val="24"/>
          <w:szCs w:val="24"/>
        </w:rPr>
      </w:pPr>
      <w:r>
        <w:rPr>
          <w:rFonts w:ascii="Arial Narrow" w:hAnsi="Arial Narrow"/>
          <w:b/>
          <w:bCs/>
          <w:sz w:val="24"/>
          <w:szCs w:val="24"/>
        </w:rPr>
        <w:t>NA IQP Number:</w:t>
      </w:r>
      <w:r>
        <w:rPr>
          <w:rFonts w:ascii="Arial Narrow" w:hAnsi="Arial Narrow"/>
          <w:b/>
          <w:bCs/>
          <w:sz w:val="24"/>
          <w:szCs w:val="24"/>
        </w:rPr>
        <w:tab/>
        <w:t xml:space="preserve"> 10</w:t>
      </w:r>
    </w:p>
    <w:p w:rsidR="005B0B47" w:rsidRDefault="005B0B47" w:rsidP="005B0B47">
      <w:pPr>
        <w:spacing w:line="360" w:lineRule="auto"/>
        <w:ind w:left="284"/>
        <w:rPr>
          <w:rFonts w:ascii="Arial Narrow" w:hAnsi="Arial Narrow"/>
          <w:b/>
          <w:bCs/>
          <w:sz w:val="24"/>
          <w:szCs w:val="24"/>
        </w:rPr>
      </w:pPr>
      <w:r>
        <w:rPr>
          <w:rFonts w:ascii="Arial Narrow" w:hAnsi="Arial Narrow"/>
          <w:b/>
          <w:bCs/>
          <w:sz w:val="24"/>
          <w:szCs w:val="24"/>
        </w:rPr>
        <w:t>Date of reply:</w:t>
      </w:r>
      <w:r>
        <w:rPr>
          <w:rFonts w:ascii="Arial Narrow" w:hAnsi="Arial Narrow"/>
          <w:b/>
          <w:bCs/>
          <w:sz w:val="24"/>
          <w:szCs w:val="24"/>
        </w:rPr>
        <w:tab/>
      </w:r>
      <w:r>
        <w:rPr>
          <w:rFonts w:ascii="Arial Narrow" w:hAnsi="Arial Narrow"/>
          <w:b/>
          <w:bCs/>
          <w:sz w:val="24"/>
          <w:szCs w:val="24"/>
        </w:rPr>
        <w:t>14 June 2018</w:t>
      </w:r>
    </w:p>
    <w:p w:rsidR="005B0B47" w:rsidRDefault="005B0B47" w:rsidP="005B0B47">
      <w:pPr>
        <w:spacing w:before="100" w:beforeAutospacing="1" w:after="100" w:afterAutospacing="1"/>
        <w:ind w:left="605" w:hanging="425"/>
        <w:jc w:val="both"/>
        <w:outlineLvl w:val="0"/>
        <w:rPr>
          <w:rFonts w:ascii="Arial Narrow" w:hAnsi="Arial Narrow"/>
          <w:sz w:val="24"/>
          <w:szCs w:val="24"/>
        </w:rPr>
      </w:pPr>
      <w:r>
        <w:rPr>
          <w:rFonts w:ascii="Arial Narrow" w:hAnsi="Arial Narrow"/>
          <w:b/>
          <w:sz w:val="24"/>
          <w:szCs w:val="24"/>
        </w:rPr>
        <w:t xml:space="preserve">Mr T W </w:t>
      </w:r>
      <w:proofErr w:type="spellStart"/>
      <w:r>
        <w:rPr>
          <w:rFonts w:ascii="Arial Narrow" w:hAnsi="Arial Narrow"/>
          <w:b/>
          <w:sz w:val="24"/>
          <w:szCs w:val="24"/>
        </w:rPr>
        <w:t>Mhlongo</w:t>
      </w:r>
      <w:proofErr w:type="spellEnd"/>
      <w:r>
        <w:rPr>
          <w:rFonts w:ascii="Arial Narrow" w:hAnsi="Arial Narrow"/>
          <w:b/>
          <w:sz w:val="24"/>
          <w:szCs w:val="24"/>
        </w:rPr>
        <w:t xml:space="preserve"> (DA) to ask the Minister of Tourism:</w:t>
      </w:r>
    </w:p>
    <w:p w:rsidR="005B0B47" w:rsidRPr="00170D38" w:rsidRDefault="005B0B47" w:rsidP="005B0B47">
      <w:pPr>
        <w:spacing w:line="360" w:lineRule="auto"/>
        <w:ind w:left="240"/>
        <w:jc w:val="both"/>
        <w:rPr>
          <w:rFonts w:ascii="Arial Narrow" w:eastAsia="Calibri" w:hAnsi="Arial Narrow"/>
          <w:sz w:val="24"/>
          <w:szCs w:val="24"/>
        </w:rPr>
      </w:pPr>
      <w:r>
        <w:rPr>
          <w:rFonts w:ascii="Arial Narrow" w:eastAsia="Calibri" w:hAnsi="Arial Narrow"/>
          <w:color w:val="000000"/>
          <w:sz w:val="24"/>
          <w:szCs w:val="24"/>
          <w:lang w:eastAsia="en-ZA"/>
        </w:rPr>
        <w:t>(a) What number of cases relating to the Prevention and Combating of Corrupt Activities Act, Act 12 of 2004, as amended, have been referred to the (</w:t>
      </w:r>
      <w:proofErr w:type="spellStart"/>
      <w:r>
        <w:rPr>
          <w:rFonts w:ascii="Arial Narrow" w:eastAsia="Calibri" w:hAnsi="Arial Narrow"/>
          <w:color w:val="000000"/>
          <w:sz w:val="24"/>
          <w:szCs w:val="24"/>
          <w:lang w:eastAsia="en-ZA"/>
        </w:rPr>
        <w:t>i</w:t>
      </w:r>
      <w:proofErr w:type="spellEnd"/>
      <w:r>
        <w:rPr>
          <w:rFonts w:ascii="Arial Narrow" w:eastAsia="Calibri" w:hAnsi="Arial Narrow"/>
          <w:color w:val="000000"/>
          <w:sz w:val="24"/>
          <w:szCs w:val="24"/>
          <w:lang w:eastAsia="en-ZA"/>
        </w:rPr>
        <w:t xml:space="preserve">) SA </w:t>
      </w:r>
      <w:r>
        <w:rPr>
          <w:rFonts w:ascii="Arial Narrow" w:eastAsia="Calibri" w:hAnsi="Arial Narrow"/>
          <w:noProof/>
          <w:color w:val="000000"/>
          <w:sz w:val="24"/>
          <w:szCs w:val="24"/>
          <w:lang w:val="af-ZA" w:eastAsia="en-ZA"/>
        </w:rPr>
        <w:t>Police</w:t>
      </w:r>
      <w:r>
        <w:rPr>
          <w:rFonts w:ascii="Arial Narrow" w:eastAsia="Calibri" w:hAnsi="Arial Narrow"/>
          <w:color w:val="000000"/>
          <w:sz w:val="24"/>
          <w:szCs w:val="24"/>
          <w:lang w:eastAsia="en-ZA"/>
        </w:rPr>
        <w:t xml:space="preserve"> Service (SAPS) and (ii) Directorate for Priority Crime Investigation (DPCI) by (aa) his department and (bb) each entity reporting to him for further investigation since the Act was assented to and (b) what number of the specified cases have (</w:t>
      </w:r>
      <w:proofErr w:type="spellStart"/>
      <w:r>
        <w:rPr>
          <w:rFonts w:ascii="Arial Narrow" w:eastAsia="Calibri" w:hAnsi="Arial Narrow"/>
          <w:color w:val="000000"/>
          <w:sz w:val="24"/>
          <w:szCs w:val="24"/>
          <w:lang w:eastAsia="en-ZA"/>
        </w:rPr>
        <w:t>i</w:t>
      </w:r>
      <w:proofErr w:type="spellEnd"/>
      <w:r>
        <w:rPr>
          <w:rFonts w:ascii="Arial Narrow" w:eastAsia="Calibri" w:hAnsi="Arial Narrow"/>
          <w:color w:val="000000"/>
          <w:sz w:val="24"/>
          <w:szCs w:val="24"/>
          <w:lang w:eastAsia="en-ZA"/>
        </w:rPr>
        <w:t>) been investigated by SAPS and DPCI, (ii) been followed up by the respective accounting officers and (iii) resulted in a conviction in each specified finance   year since 2004</w:t>
      </w:r>
      <w:r>
        <w:rPr>
          <w:rFonts w:ascii="Arial Narrow" w:eastAsia="Calibri" w:hAnsi="Arial Narrow"/>
          <w:sz w:val="24"/>
          <w:szCs w:val="24"/>
        </w:rPr>
        <w:t>?</w:t>
      </w:r>
      <w:r>
        <w:rPr>
          <w:rFonts w:ascii="Arial Narrow" w:eastAsia="Calibri" w:hAnsi="Arial Narrow"/>
          <w:sz w:val="24"/>
          <w:szCs w:val="24"/>
        </w:rPr>
        <w:tab/>
        <w:t>NW1820E</w:t>
      </w:r>
      <w:r>
        <w:rPr>
          <w:rFonts w:ascii="Arial Narrow" w:eastAsia="Calibri" w:hAnsi="Arial Narrow"/>
          <w:color w:val="000000"/>
          <w:sz w:val="24"/>
          <w:szCs w:val="24"/>
          <w:lang w:eastAsia="en-ZA"/>
        </w:rPr>
        <w:t xml:space="preserve">                                                                                                                                                                                                                                                                                                                                                                                                                                                                                                                                                                                                                                                                                                                                                                                                                                                                                                                                                                                                                                                                                                                                                                                                                                                                                                                                                                                                                   </w:t>
      </w:r>
      <w:r>
        <w:rPr>
          <w:rFonts w:ascii="Arial Narrow" w:hAnsi="Arial Narrow"/>
          <w:b/>
          <w:noProof/>
          <w:sz w:val="24"/>
          <w:szCs w:val="24"/>
          <w:lang w:val="af-ZA"/>
        </w:rPr>
        <w:t>Reply:</w:t>
      </w:r>
    </w:p>
    <w:p w:rsidR="005B0B47" w:rsidRDefault="005B0B47" w:rsidP="005B0B47">
      <w:pPr>
        <w:spacing w:before="100" w:beforeAutospacing="1" w:after="100" w:afterAutospacing="1"/>
        <w:ind w:left="851" w:hanging="567"/>
        <w:jc w:val="both"/>
        <w:rPr>
          <w:rFonts w:ascii="Arial Narrow" w:eastAsia="Calibri" w:hAnsi="Arial Narrow"/>
          <w:b/>
          <w:color w:val="000000"/>
          <w:sz w:val="24"/>
          <w:szCs w:val="24"/>
          <w:lang w:val="en-GB" w:eastAsia="en-ZA"/>
        </w:rPr>
      </w:pPr>
      <w:r>
        <w:rPr>
          <w:rFonts w:ascii="Arial Narrow" w:eastAsia="Calibri" w:hAnsi="Arial Narrow"/>
          <w:b/>
          <w:color w:val="000000"/>
          <w:sz w:val="24"/>
          <w:szCs w:val="24"/>
          <w:lang w:eastAsia="en-ZA"/>
        </w:rPr>
        <w:t>(</w:t>
      </w:r>
      <w:proofErr w:type="gramStart"/>
      <w:r>
        <w:rPr>
          <w:rFonts w:ascii="Arial Narrow" w:eastAsia="Calibri" w:hAnsi="Arial Narrow"/>
          <w:b/>
          <w:color w:val="000000"/>
          <w:sz w:val="24"/>
          <w:szCs w:val="24"/>
          <w:lang w:eastAsia="en-ZA"/>
        </w:rPr>
        <w:t>aa</w:t>
      </w:r>
      <w:proofErr w:type="gramEnd"/>
      <w:r>
        <w:rPr>
          <w:rFonts w:ascii="Arial Narrow" w:eastAsia="Calibri" w:hAnsi="Arial Narrow"/>
          <w:b/>
          <w:color w:val="000000"/>
          <w:sz w:val="24"/>
          <w:szCs w:val="24"/>
          <w:lang w:eastAsia="en-ZA"/>
        </w:rPr>
        <w:t xml:space="preserve">) DEPARTMENT </w:t>
      </w:r>
    </w:p>
    <w:p w:rsidR="005B0B47" w:rsidRDefault="005B0B47" w:rsidP="005B0B47">
      <w:pPr>
        <w:ind w:left="851" w:hanging="567"/>
        <w:jc w:val="both"/>
        <w:rPr>
          <w:rFonts w:ascii="Arial Narrow" w:eastAsia="Calibri" w:hAnsi="Arial Narrow"/>
          <w:color w:val="000000"/>
          <w:sz w:val="24"/>
          <w:szCs w:val="24"/>
          <w:lang w:eastAsia="en-ZA"/>
        </w:rPr>
      </w:pPr>
      <w:r>
        <w:rPr>
          <w:rFonts w:ascii="Arial Narrow" w:eastAsia="Calibri" w:hAnsi="Arial Narrow"/>
          <w:color w:val="000000"/>
          <w:sz w:val="24"/>
          <w:szCs w:val="24"/>
          <w:lang w:eastAsia="en-ZA"/>
        </w:rPr>
        <w:t>(a)</w:t>
      </w:r>
      <w:r>
        <w:rPr>
          <w:rFonts w:ascii="Arial Narrow" w:eastAsia="Calibri" w:hAnsi="Arial Narrow"/>
          <w:color w:val="000000"/>
          <w:sz w:val="24"/>
          <w:szCs w:val="24"/>
          <w:lang w:eastAsia="en-ZA"/>
        </w:rPr>
        <w:tab/>
        <w:t xml:space="preserve">Number of cases referred to the </w:t>
      </w:r>
    </w:p>
    <w:p w:rsidR="005B0B47" w:rsidRDefault="005B0B47" w:rsidP="005B0B47">
      <w:pPr>
        <w:ind w:left="1418" w:hanging="567"/>
        <w:jc w:val="both"/>
        <w:rPr>
          <w:rFonts w:ascii="Arial Narrow" w:eastAsia="Calibri" w:hAnsi="Arial Narrow"/>
          <w:color w:val="000000"/>
          <w:sz w:val="24"/>
          <w:szCs w:val="24"/>
          <w:lang w:eastAsia="en-ZA"/>
        </w:rPr>
      </w:pPr>
      <w:r>
        <w:rPr>
          <w:rFonts w:ascii="Arial Narrow" w:eastAsia="Calibri" w:hAnsi="Arial Narrow"/>
          <w:color w:val="000000"/>
          <w:sz w:val="24"/>
          <w:szCs w:val="24"/>
          <w:lang w:eastAsia="en-ZA"/>
        </w:rPr>
        <w:t>(</w:t>
      </w:r>
      <w:proofErr w:type="spellStart"/>
      <w:r>
        <w:rPr>
          <w:rFonts w:ascii="Arial Narrow" w:eastAsia="Calibri" w:hAnsi="Arial Narrow"/>
          <w:color w:val="000000"/>
          <w:sz w:val="24"/>
          <w:szCs w:val="24"/>
          <w:lang w:eastAsia="en-ZA"/>
        </w:rPr>
        <w:t>i</w:t>
      </w:r>
      <w:proofErr w:type="spellEnd"/>
      <w:r>
        <w:rPr>
          <w:rFonts w:ascii="Arial Narrow" w:eastAsia="Calibri" w:hAnsi="Arial Narrow"/>
          <w:color w:val="000000"/>
          <w:sz w:val="24"/>
          <w:szCs w:val="24"/>
          <w:lang w:eastAsia="en-ZA"/>
        </w:rPr>
        <w:t>)</w:t>
      </w:r>
      <w:r>
        <w:rPr>
          <w:rFonts w:ascii="Arial Narrow" w:eastAsia="Calibri" w:hAnsi="Arial Narrow"/>
          <w:color w:val="000000"/>
          <w:sz w:val="24"/>
          <w:szCs w:val="24"/>
          <w:lang w:eastAsia="en-ZA"/>
        </w:rPr>
        <w:tab/>
        <w:t>SAPS: 6</w:t>
      </w:r>
    </w:p>
    <w:p w:rsidR="005B0B47" w:rsidRDefault="005B0B47" w:rsidP="005B0B47">
      <w:pPr>
        <w:ind w:left="1418" w:hanging="567"/>
        <w:jc w:val="both"/>
        <w:rPr>
          <w:rFonts w:ascii="Arial Narrow" w:eastAsia="Calibri" w:hAnsi="Arial Narrow"/>
          <w:color w:val="000000"/>
          <w:sz w:val="24"/>
          <w:szCs w:val="24"/>
          <w:lang w:eastAsia="en-ZA"/>
        </w:rPr>
      </w:pPr>
      <w:r>
        <w:rPr>
          <w:rFonts w:ascii="Arial Narrow" w:eastAsia="Calibri" w:hAnsi="Arial Narrow"/>
          <w:color w:val="000000"/>
          <w:sz w:val="24"/>
          <w:szCs w:val="24"/>
          <w:lang w:eastAsia="en-ZA"/>
        </w:rPr>
        <w:t>(ii)</w:t>
      </w:r>
      <w:r>
        <w:rPr>
          <w:rFonts w:ascii="Arial Narrow" w:eastAsia="Calibri" w:hAnsi="Arial Narrow"/>
          <w:color w:val="000000"/>
          <w:sz w:val="24"/>
          <w:szCs w:val="24"/>
          <w:lang w:eastAsia="en-ZA"/>
        </w:rPr>
        <w:tab/>
        <w:t>DPCI: 1 of the 6 referred to SAPS was also referred to DPCI</w:t>
      </w:r>
    </w:p>
    <w:p w:rsidR="005B0B47" w:rsidRDefault="005B0B47" w:rsidP="005B0B47">
      <w:pPr>
        <w:jc w:val="both"/>
        <w:outlineLvl w:val="0"/>
        <w:rPr>
          <w:rFonts w:ascii="Arial Narrow" w:eastAsia="Times New Roman" w:hAnsi="Arial Narrow"/>
          <w:b/>
          <w:sz w:val="24"/>
          <w:szCs w:val="24"/>
        </w:rPr>
      </w:pPr>
    </w:p>
    <w:p w:rsidR="005B0B47" w:rsidRDefault="005B0B47" w:rsidP="005B0B47">
      <w:pPr>
        <w:pStyle w:val="ListParagraph"/>
        <w:spacing w:line="360" w:lineRule="auto"/>
        <w:ind w:left="851" w:hanging="567"/>
        <w:jc w:val="both"/>
        <w:outlineLvl w:val="0"/>
        <w:rPr>
          <w:rFonts w:ascii="Arial Narrow" w:hAnsi="Arial Narrow"/>
          <w:sz w:val="24"/>
          <w:szCs w:val="24"/>
        </w:rPr>
      </w:pPr>
      <w:r>
        <w:rPr>
          <w:rFonts w:ascii="Arial Narrow" w:hAnsi="Arial Narrow"/>
          <w:sz w:val="24"/>
          <w:szCs w:val="24"/>
        </w:rPr>
        <w:t>(b)</w:t>
      </w:r>
      <w:r>
        <w:rPr>
          <w:rFonts w:ascii="Arial Narrow" w:hAnsi="Arial Narrow"/>
          <w:sz w:val="24"/>
          <w:szCs w:val="24"/>
        </w:rPr>
        <w:tab/>
        <w:t>(</w:t>
      </w:r>
      <w:proofErr w:type="spellStart"/>
      <w:proofErr w:type="gramStart"/>
      <w:r>
        <w:rPr>
          <w:rFonts w:ascii="Arial Narrow" w:hAnsi="Arial Narrow"/>
          <w:sz w:val="24"/>
          <w:szCs w:val="24"/>
        </w:rPr>
        <w:t>i</w:t>
      </w:r>
      <w:proofErr w:type="spellEnd"/>
      <w:proofErr w:type="gramEnd"/>
      <w:r>
        <w:rPr>
          <w:rFonts w:ascii="Arial Narrow" w:hAnsi="Arial Narrow"/>
          <w:sz w:val="24"/>
          <w:szCs w:val="24"/>
        </w:rPr>
        <w:t>)</w:t>
      </w:r>
      <w:r>
        <w:rPr>
          <w:rFonts w:ascii="Arial Narrow" w:hAnsi="Arial Narrow"/>
          <w:sz w:val="24"/>
          <w:szCs w:val="24"/>
        </w:rPr>
        <w:tab/>
        <w:t xml:space="preserve">Investigated by SAPS and DPCI: 1 </w:t>
      </w:r>
    </w:p>
    <w:p w:rsidR="005B0B47" w:rsidRDefault="005B0B47" w:rsidP="005B0B47">
      <w:pPr>
        <w:pStyle w:val="ListParagraph"/>
        <w:spacing w:line="360" w:lineRule="auto"/>
        <w:ind w:left="1436" w:hanging="585"/>
        <w:jc w:val="both"/>
        <w:outlineLvl w:val="0"/>
        <w:rPr>
          <w:rFonts w:ascii="Arial Narrow" w:hAnsi="Arial Narrow"/>
          <w:sz w:val="24"/>
          <w:szCs w:val="24"/>
        </w:rPr>
      </w:pPr>
      <w:r>
        <w:rPr>
          <w:rFonts w:ascii="Arial Narrow" w:hAnsi="Arial Narrow"/>
          <w:sz w:val="24"/>
          <w:szCs w:val="24"/>
        </w:rPr>
        <w:t>(ii)</w:t>
      </w:r>
      <w:r>
        <w:rPr>
          <w:rFonts w:ascii="Arial Narrow" w:hAnsi="Arial Narrow"/>
          <w:sz w:val="24"/>
          <w:szCs w:val="24"/>
        </w:rPr>
        <w:tab/>
        <w:t>Followed up by accounting officer: All 6 cases.</w:t>
      </w:r>
    </w:p>
    <w:p w:rsidR="005B0B47" w:rsidRDefault="005B0B47" w:rsidP="005B0B47">
      <w:pPr>
        <w:pStyle w:val="ListParagraph"/>
        <w:spacing w:line="360" w:lineRule="auto"/>
        <w:ind w:left="567" w:firstLine="284"/>
        <w:jc w:val="both"/>
        <w:outlineLvl w:val="0"/>
        <w:rPr>
          <w:rFonts w:ascii="Arial Narrow" w:hAnsi="Arial Narrow"/>
          <w:sz w:val="24"/>
          <w:szCs w:val="24"/>
        </w:rPr>
      </w:pPr>
      <w:r>
        <w:rPr>
          <w:rFonts w:ascii="Arial Narrow" w:hAnsi="Arial Narrow"/>
          <w:sz w:val="24"/>
          <w:szCs w:val="24"/>
        </w:rPr>
        <w:t>(iii)</w:t>
      </w:r>
      <w:r>
        <w:rPr>
          <w:rFonts w:ascii="Arial Narrow" w:hAnsi="Arial Narrow"/>
          <w:sz w:val="24"/>
          <w:szCs w:val="24"/>
        </w:rPr>
        <w:tab/>
        <w:t>Resulted in conviction in each specified finance year since 2004:</w:t>
      </w:r>
    </w:p>
    <w:p w:rsidR="005B0B47" w:rsidRDefault="005B0B47" w:rsidP="005B0B47">
      <w:pPr>
        <w:pStyle w:val="ListParagraph"/>
        <w:ind w:left="1287" w:firstLine="153"/>
        <w:jc w:val="both"/>
        <w:outlineLvl w:val="0"/>
        <w:rPr>
          <w:rFonts w:ascii="Arial Narrow" w:hAnsi="Arial Narrow"/>
          <w:sz w:val="24"/>
          <w:szCs w:val="24"/>
        </w:rPr>
      </w:pPr>
      <w:r>
        <w:rPr>
          <w:rFonts w:ascii="Arial Narrow" w:hAnsi="Arial Narrow"/>
          <w:sz w:val="24"/>
          <w:szCs w:val="24"/>
        </w:rPr>
        <w:t>2004 – 2018   No convictions were made as yet.</w:t>
      </w:r>
    </w:p>
    <w:p w:rsidR="005B0B47" w:rsidRDefault="005B0B47" w:rsidP="005B0B47">
      <w:pPr>
        <w:spacing w:before="100" w:beforeAutospacing="1" w:after="100" w:afterAutospacing="1"/>
        <w:jc w:val="both"/>
        <w:rPr>
          <w:rFonts w:ascii="Arial Narrow" w:eastAsia="Calibri" w:hAnsi="Arial Narrow"/>
          <w:b/>
          <w:color w:val="000000"/>
          <w:sz w:val="24"/>
          <w:szCs w:val="24"/>
          <w:lang w:eastAsia="en-ZA"/>
        </w:rPr>
      </w:pPr>
    </w:p>
    <w:p w:rsidR="005B0B47" w:rsidRDefault="005B0B47" w:rsidP="005B0B47">
      <w:pPr>
        <w:spacing w:before="100" w:beforeAutospacing="1" w:after="100" w:afterAutospacing="1"/>
        <w:jc w:val="both"/>
        <w:rPr>
          <w:rFonts w:ascii="Arial Narrow" w:eastAsia="Calibri" w:hAnsi="Arial Narrow"/>
          <w:b/>
          <w:color w:val="000000"/>
          <w:sz w:val="24"/>
          <w:szCs w:val="24"/>
          <w:lang w:eastAsia="en-ZA"/>
        </w:rPr>
      </w:pPr>
      <w:r>
        <w:rPr>
          <w:rFonts w:ascii="Arial Narrow" w:eastAsia="Calibri" w:hAnsi="Arial Narrow"/>
          <w:b/>
          <w:color w:val="000000"/>
          <w:sz w:val="24"/>
          <w:szCs w:val="24"/>
          <w:lang w:eastAsia="en-ZA"/>
        </w:rPr>
        <w:t xml:space="preserve"> (</w:t>
      </w:r>
      <w:proofErr w:type="gramStart"/>
      <w:r>
        <w:rPr>
          <w:rFonts w:ascii="Arial Narrow" w:eastAsia="Calibri" w:hAnsi="Arial Narrow"/>
          <w:b/>
          <w:color w:val="000000"/>
          <w:sz w:val="24"/>
          <w:szCs w:val="24"/>
          <w:lang w:eastAsia="en-ZA"/>
        </w:rPr>
        <w:t>bb</w:t>
      </w:r>
      <w:proofErr w:type="gramEnd"/>
      <w:r>
        <w:rPr>
          <w:rFonts w:ascii="Arial Narrow" w:eastAsia="Calibri" w:hAnsi="Arial Narrow"/>
          <w:b/>
          <w:color w:val="000000"/>
          <w:sz w:val="24"/>
          <w:szCs w:val="24"/>
          <w:lang w:eastAsia="en-ZA"/>
        </w:rPr>
        <w:t>) SA TOURISM</w:t>
      </w:r>
    </w:p>
    <w:p w:rsidR="005B0B47" w:rsidRDefault="005B0B47" w:rsidP="005B0B47">
      <w:pPr>
        <w:ind w:left="284" w:hanging="284"/>
        <w:jc w:val="both"/>
        <w:rPr>
          <w:rFonts w:ascii="Arial Narrow" w:eastAsia="Times New Roman" w:hAnsi="Arial Narrow"/>
          <w:sz w:val="24"/>
          <w:szCs w:val="24"/>
        </w:rPr>
      </w:pPr>
      <w:r>
        <w:rPr>
          <w:rFonts w:ascii="Arial Narrow" w:eastAsia="Calibri" w:hAnsi="Arial Narrow"/>
          <w:color w:val="000000"/>
          <w:sz w:val="24"/>
          <w:szCs w:val="24"/>
          <w:lang w:eastAsia="en-ZA"/>
        </w:rPr>
        <w:t>(</w:t>
      </w:r>
      <w:proofErr w:type="gramStart"/>
      <w:r>
        <w:rPr>
          <w:rFonts w:ascii="Arial Narrow" w:eastAsia="Calibri" w:hAnsi="Arial Narrow"/>
          <w:color w:val="000000"/>
          <w:sz w:val="24"/>
          <w:szCs w:val="24"/>
          <w:lang w:eastAsia="en-ZA"/>
        </w:rPr>
        <w:t>a )</w:t>
      </w:r>
      <w:proofErr w:type="gramEnd"/>
      <w:r>
        <w:rPr>
          <w:rFonts w:ascii="Arial Narrow" w:eastAsia="Calibri" w:hAnsi="Arial Narrow"/>
          <w:color w:val="000000"/>
          <w:sz w:val="24"/>
          <w:szCs w:val="24"/>
          <w:lang w:eastAsia="en-ZA"/>
        </w:rPr>
        <w:t>(</w:t>
      </w:r>
      <w:proofErr w:type="spellStart"/>
      <w:r>
        <w:rPr>
          <w:rFonts w:ascii="Arial Narrow" w:eastAsia="Calibri" w:hAnsi="Arial Narrow"/>
          <w:color w:val="000000"/>
          <w:sz w:val="24"/>
          <w:szCs w:val="24"/>
          <w:lang w:eastAsia="en-ZA"/>
        </w:rPr>
        <w:t>i</w:t>
      </w:r>
      <w:proofErr w:type="spellEnd"/>
      <w:r>
        <w:rPr>
          <w:rFonts w:ascii="Arial Narrow" w:eastAsia="Calibri" w:hAnsi="Arial Narrow"/>
          <w:color w:val="000000"/>
          <w:sz w:val="24"/>
          <w:szCs w:val="24"/>
          <w:lang w:eastAsia="en-ZA"/>
        </w:rPr>
        <w:t xml:space="preserve">)  SAPS: 1 One case has been referred to SAPS. </w:t>
      </w:r>
      <w:r>
        <w:rPr>
          <w:rFonts w:ascii="Arial Narrow" w:hAnsi="Arial Narrow"/>
          <w:sz w:val="24"/>
          <w:szCs w:val="24"/>
        </w:rPr>
        <w:t>The matter is still under investigation.</w:t>
      </w:r>
    </w:p>
    <w:p w:rsidR="005B0B47" w:rsidRDefault="005B0B47" w:rsidP="005B0B47">
      <w:pPr>
        <w:ind w:left="284"/>
        <w:jc w:val="both"/>
        <w:outlineLvl w:val="0"/>
        <w:rPr>
          <w:rFonts w:ascii="Arial Narrow" w:hAnsi="Arial Narrow"/>
          <w:b/>
          <w:noProof/>
          <w:sz w:val="24"/>
          <w:szCs w:val="24"/>
          <w:lang w:val="af-ZA"/>
        </w:rPr>
      </w:pPr>
      <w:r>
        <w:rPr>
          <w:rFonts w:ascii="Arial Narrow" w:eastAsia="Calibri" w:hAnsi="Arial Narrow"/>
          <w:color w:val="000000"/>
          <w:sz w:val="24"/>
          <w:szCs w:val="24"/>
          <w:lang w:eastAsia="en-ZA"/>
        </w:rPr>
        <w:t xml:space="preserve">(ii)  DPCI: 0        </w:t>
      </w:r>
    </w:p>
    <w:p w:rsidR="005B0B47" w:rsidRDefault="005B0B47" w:rsidP="005B0B47">
      <w:pPr>
        <w:pStyle w:val="ListParagraph"/>
        <w:spacing w:line="360" w:lineRule="auto"/>
        <w:ind w:left="993"/>
        <w:jc w:val="both"/>
        <w:outlineLvl w:val="0"/>
        <w:rPr>
          <w:rFonts w:ascii="Arial Narrow" w:hAnsi="Arial Narrow"/>
          <w:b/>
          <w:sz w:val="24"/>
          <w:szCs w:val="24"/>
        </w:rPr>
      </w:pPr>
    </w:p>
    <w:p w:rsidR="005B0B47" w:rsidRDefault="005B0B47" w:rsidP="005B0B47">
      <w:pPr>
        <w:pStyle w:val="ListParagraph"/>
        <w:spacing w:line="360" w:lineRule="auto"/>
        <w:ind w:left="709" w:hanging="709"/>
        <w:jc w:val="both"/>
        <w:outlineLvl w:val="0"/>
        <w:rPr>
          <w:rFonts w:ascii="Arial Narrow" w:hAnsi="Arial Narrow"/>
          <w:sz w:val="24"/>
          <w:szCs w:val="24"/>
        </w:rPr>
      </w:pPr>
      <w:r>
        <w:rPr>
          <w:rFonts w:ascii="Arial Narrow" w:hAnsi="Arial Narrow"/>
          <w:sz w:val="24"/>
          <w:szCs w:val="24"/>
        </w:rPr>
        <w:t xml:space="preserve">(b) </w:t>
      </w:r>
      <w:r>
        <w:rPr>
          <w:rFonts w:ascii="Arial Narrow" w:hAnsi="Arial Narrow"/>
          <w:b/>
          <w:sz w:val="24"/>
          <w:szCs w:val="24"/>
        </w:rPr>
        <w:t xml:space="preserve"> </w:t>
      </w:r>
      <w:r>
        <w:rPr>
          <w:rFonts w:ascii="Arial Narrow" w:hAnsi="Arial Narrow"/>
          <w:sz w:val="24"/>
          <w:szCs w:val="24"/>
        </w:rPr>
        <w:t xml:space="preserve">Number of specified cases </w:t>
      </w:r>
    </w:p>
    <w:p w:rsidR="005B0B47" w:rsidRDefault="005B0B47" w:rsidP="005B0B47">
      <w:pPr>
        <w:pStyle w:val="ListParagraph"/>
        <w:ind w:left="284"/>
        <w:jc w:val="both"/>
        <w:outlineLvl w:val="0"/>
        <w:rPr>
          <w:rFonts w:ascii="Arial Narrow" w:hAnsi="Arial Narrow"/>
          <w:sz w:val="24"/>
          <w:szCs w:val="24"/>
        </w:rPr>
      </w:pPr>
      <w:r>
        <w:rPr>
          <w:rFonts w:ascii="Arial Narrow" w:hAnsi="Arial Narrow"/>
          <w:sz w:val="24"/>
          <w:szCs w:val="24"/>
        </w:rPr>
        <w:t>(</w:t>
      </w:r>
      <w:proofErr w:type="spellStart"/>
      <w:r>
        <w:rPr>
          <w:rFonts w:ascii="Arial Narrow" w:hAnsi="Arial Narrow"/>
          <w:sz w:val="24"/>
          <w:szCs w:val="24"/>
        </w:rPr>
        <w:t>i</w:t>
      </w:r>
      <w:proofErr w:type="spellEnd"/>
      <w:r>
        <w:rPr>
          <w:rFonts w:ascii="Arial Narrow" w:hAnsi="Arial Narrow"/>
          <w:sz w:val="24"/>
          <w:szCs w:val="24"/>
        </w:rPr>
        <w:t>)  Investigated by SAPS and DPCI = 0</w:t>
      </w:r>
    </w:p>
    <w:p w:rsidR="005B0B47" w:rsidRDefault="005B0B47" w:rsidP="005B0B47">
      <w:pPr>
        <w:pStyle w:val="ListParagraph"/>
        <w:ind w:left="284"/>
        <w:jc w:val="both"/>
        <w:outlineLvl w:val="0"/>
        <w:rPr>
          <w:rFonts w:ascii="Arial Narrow" w:hAnsi="Arial Narrow"/>
          <w:sz w:val="24"/>
          <w:szCs w:val="24"/>
        </w:rPr>
      </w:pPr>
      <w:r>
        <w:rPr>
          <w:rFonts w:ascii="Arial Narrow" w:hAnsi="Arial Narrow"/>
          <w:sz w:val="24"/>
          <w:szCs w:val="24"/>
        </w:rPr>
        <w:t>(ii)  Followed up by accounting officers – N/A</w:t>
      </w:r>
    </w:p>
    <w:p w:rsidR="005B0B47" w:rsidRDefault="005B0B47" w:rsidP="005B0B47">
      <w:pPr>
        <w:pStyle w:val="ListParagraph"/>
        <w:ind w:left="284"/>
        <w:jc w:val="both"/>
        <w:outlineLvl w:val="0"/>
        <w:rPr>
          <w:rFonts w:ascii="Arial Narrow" w:hAnsi="Arial Narrow"/>
          <w:sz w:val="24"/>
          <w:szCs w:val="24"/>
        </w:rPr>
      </w:pPr>
      <w:r>
        <w:rPr>
          <w:rFonts w:ascii="Arial Narrow" w:hAnsi="Arial Narrow"/>
          <w:sz w:val="24"/>
          <w:szCs w:val="24"/>
        </w:rPr>
        <w:t>(iii) Resulted in conviction in each specified finance year since 2004 – 2018 N/A</w:t>
      </w:r>
    </w:p>
    <w:p w:rsidR="005B0B47" w:rsidRDefault="005B0B47" w:rsidP="005B0B47">
      <w:pPr>
        <w:rPr>
          <w:rFonts w:ascii="Times New Roman" w:hAnsi="Times New Roman"/>
          <w:sz w:val="20"/>
          <w:szCs w:val="20"/>
        </w:rPr>
      </w:pPr>
    </w:p>
    <w:p w:rsidR="005B0B47" w:rsidRPr="00656195" w:rsidRDefault="005B0B47" w:rsidP="005B0B47">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5E6FB0" w:rsidRDefault="005E6FB0">
      <w:bookmarkStart w:id="0" w:name="_GoBack"/>
      <w:bookmarkEnd w:id="0"/>
    </w:p>
    <w:sectPr w:rsidR="005E6FB0" w:rsidSect="002E00C0">
      <w:footerReference w:type="default" r:id="rId5"/>
      <w:footerReference w:type="first" r:id="rId6"/>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5B0B47"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5B0B47">
    <w:pPr>
      <w:pStyle w:val="Footer"/>
      <w:jc w:val="right"/>
    </w:pPr>
  </w:p>
  <w:p w:rsidR="001656DE" w:rsidRDefault="005B0B47">
    <w:pPr>
      <w:pStyle w:val="Header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47"/>
    <w:rsid w:val="005B0B47"/>
    <w:rsid w:val="005E6F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BA935-CB35-40D6-82DD-BEEE60E3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B0B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0B47"/>
  </w:style>
  <w:style w:type="paragraph" w:customStyle="1" w:styleId="HeaderFooter">
    <w:name w:val="Header &amp; Footer"/>
    <w:rsid w:val="005B0B4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ListParagraph">
    <w:name w:val="List Paragraph"/>
    <w:basedOn w:val="Normal"/>
    <w:uiPriority w:val="34"/>
    <w:qFormat/>
    <w:rsid w:val="005B0B47"/>
    <w:pPr>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2018-06-14T09:20:00Z</dcterms:created>
  <dcterms:modified xsi:type="dcterms:W3CDTF">2018-06-14T09:21:00Z</dcterms:modified>
</cp:coreProperties>
</file>