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</w:p>
    <w:p w:rsidR="00A772CC" w:rsidRPr="004A1C31" w:rsidRDefault="00A772CC" w:rsidP="00A772C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4A1C31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00172</w:t>
      </w:r>
    </w:p>
    <w:p w:rsidR="00A772CC" w:rsidRPr="004A1C31" w:rsidRDefault="00A772CC" w:rsidP="00A772C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4A1C31">
        <w:rPr>
          <w:rFonts w:ascii="Arial" w:hAnsi="Arial" w:cs="Arial"/>
          <w:b/>
        </w:rPr>
        <w:t>NATIONAL ASSEMBLY</w:t>
      </w:r>
    </w:p>
    <w:p w:rsidR="00A772CC" w:rsidRPr="004A1C31" w:rsidRDefault="00A772CC" w:rsidP="00A772C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772CC" w:rsidRPr="004A1C31" w:rsidRDefault="00A772CC" w:rsidP="00A772C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A1C31">
        <w:rPr>
          <w:rFonts w:ascii="Arial" w:hAnsi="Arial" w:cs="Arial"/>
          <w:b/>
          <w:u w:val="single"/>
        </w:rPr>
        <w:t>FOR WRITTEN REPLY</w:t>
      </w:r>
    </w:p>
    <w:p w:rsidR="00A772CC" w:rsidRPr="004A1C31" w:rsidRDefault="00A772CC" w:rsidP="00A772C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772CC" w:rsidRPr="004A1C31" w:rsidRDefault="00A772CC" w:rsidP="00A772C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A1C31">
        <w:rPr>
          <w:rFonts w:ascii="Arial" w:hAnsi="Arial" w:cs="Arial"/>
          <w:b/>
          <w:u w:val="single"/>
        </w:rPr>
        <w:t>QUESTION 1670</w:t>
      </w:r>
    </w:p>
    <w:p w:rsidR="00A772CC" w:rsidRPr="004A1C31" w:rsidRDefault="00A772CC" w:rsidP="00A772C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772CC" w:rsidRPr="004A1C31" w:rsidRDefault="00A772CC" w:rsidP="00A772C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4A1C31">
        <w:rPr>
          <w:rFonts w:ascii="Arial" w:hAnsi="Arial" w:cs="Arial"/>
          <w:b/>
          <w:u w:val="single"/>
        </w:rPr>
        <w:t>DATE OF PUBLICATION IN INTERNAL QUESTION PAPER: 9 JUNE 2017</w:t>
      </w:r>
    </w:p>
    <w:p w:rsidR="00A772CC" w:rsidRPr="004A1C31" w:rsidRDefault="00A772CC" w:rsidP="00A772CC">
      <w:pPr>
        <w:jc w:val="center"/>
        <w:rPr>
          <w:rFonts w:ascii="Arial" w:hAnsi="Arial" w:cs="Arial"/>
          <w:b/>
          <w:u w:val="single"/>
        </w:rPr>
      </w:pPr>
      <w:r w:rsidRPr="004A1C31">
        <w:rPr>
          <w:rFonts w:ascii="Arial" w:hAnsi="Arial" w:cs="Arial"/>
          <w:b/>
          <w:u w:val="single"/>
        </w:rPr>
        <w:t>(INTERNAL QUESTION PAPER NO 21- 2017)</w:t>
      </w:r>
    </w:p>
    <w:p w:rsidR="00A772CC" w:rsidRPr="004A1C31" w:rsidRDefault="00A772CC" w:rsidP="00A772CC">
      <w:pPr>
        <w:jc w:val="center"/>
        <w:rPr>
          <w:rFonts w:ascii="Arial" w:hAnsi="Arial" w:cs="Arial"/>
          <w:b/>
          <w:u w:val="single"/>
        </w:rPr>
      </w:pPr>
    </w:p>
    <w:p w:rsidR="00A772CC" w:rsidRPr="004A1C31" w:rsidRDefault="00A772CC" w:rsidP="00A772CC">
      <w:pPr>
        <w:pStyle w:val="Default"/>
        <w:rPr>
          <w:rFonts w:ascii="Arial" w:hAnsi="Arial" w:cs="Arial"/>
          <w:b/>
          <w:bCs/>
        </w:rPr>
      </w:pPr>
      <w:r w:rsidRPr="004A1C31">
        <w:rPr>
          <w:rFonts w:ascii="Arial" w:hAnsi="Arial" w:cs="Arial"/>
          <w:b/>
          <w:bCs/>
        </w:rPr>
        <w:t xml:space="preserve">1670. Mr Z N </w:t>
      </w:r>
      <w:proofErr w:type="spellStart"/>
      <w:r w:rsidRPr="004A1C31">
        <w:rPr>
          <w:rFonts w:ascii="Arial" w:hAnsi="Arial" w:cs="Arial"/>
          <w:b/>
          <w:bCs/>
        </w:rPr>
        <w:t>Mbhele</w:t>
      </w:r>
      <w:proofErr w:type="spellEnd"/>
      <w:r w:rsidRPr="004A1C31">
        <w:rPr>
          <w:rFonts w:ascii="Arial" w:hAnsi="Arial" w:cs="Arial"/>
          <w:b/>
          <w:bCs/>
        </w:rPr>
        <w:t xml:space="preserve"> (DA) to ask the Minister of Police: </w:t>
      </w:r>
    </w:p>
    <w:p w:rsidR="00A772CC" w:rsidRPr="004A1C31" w:rsidRDefault="00A772CC" w:rsidP="00A772CC">
      <w:pPr>
        <w:pStyle w:val="Default"/>
        <w:rPr>
          <w:rFonts w:ascii="Arial" w:hAnsi="Arial" w:cs="Arial"/>
        </w:rPr>
      </w:pPr>
    </w:p>
    <w:p w:rsidR="00A772CC" w:rsidRPr="004A1C31" w:rsidRDefault="00A772CC" w:rsidP="00A772CC">
      <w:pPr>
        <w:jc w:val="both"/>
        <w:rPr>
          <w:rFonts w:ascii="Arial" w:hAnsi="Arial" w:cs="Arial"/>
        </w:rPr>
      </w:pPr>
      <w:r w:rsidRPr="004A1C31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4A1C31">
        <w:rPr>
          <w:rFonts w:ascii="Arial" w:hAnsi="Arial" w:cs="Arial"/>
        </w:rPr>
        <w:t>i</w:t>
      </w:r>
      <w:proofErr w:type="spellEnd"/>
      <w:r w:rsidRPr="004A1C31">
        <w:rPr>
          <w:rFonts w:ascii="Arial" w:hAnsi="Arial" w:cs="Arial"/>
        </w:rPr>
        <w:t xml:space="preserve">) </w:t>
      </w:r>
      <w:proofErr w:type="spellStart"/>
      <w:r w:rsidRPr="004A1C31">
        <w:rPr>
          <w:rFonts w:ascii="Arial" w:hAnsi="Arial" w:cs="Arial"/>
        </w:rPr>
        <w:t>Ikamvelihle</w:t>
      </w:r>
      <w:proofErr w:type="spellEnd"/>
      <w:r w:rsidRPr="004A1C31">
        <w:rPr>
          <w:rFonts w:ascii="Arial" w:hAnsi="Arial" w:cs="Arial"/>
        </w:rPr>
        <w:t xml:space="preserve">, (ii) </w:t>
      </w:r>
      <w:proofErr w:type="spellStart"/>
      <w:r w:rsidRPr="004A1C31">
        <w:rPr>
          <w:rFonts w:ascii="Arial" w:hAnsi="Arial" w:cs="Arial"/>
        </w:rPr>
        <w:t>Mtontsasa</w:t>
      </w:r>
      <w:proofErr w:type="spellEnd"/>
      <w:r w:rsidRPr="004A1C31">
        <w:rPr>
          <w:rFonts w:ascii="Arial" w:hAnsi="Arial" w:cs="Arial"/>
        </w:rPr>
        <w:t xml:space="preserve">, (iii) Storms River, </w:t>
      </w:r>
      <w:proofErr w:type="gramStart"/>
      <w:r w:rsidRPr="004A1C31">
        <w:rPr>
          <w:rFonts w:ascii="Arial" w:hAnsi="Arial" w:cs="Arial"/>
        </w:rPr>
        <w:t xml:space="preserve">(iv) </w:t>
      </w:r>
      <w:proofErr w:type="spellStart"/>
      <w:r w:rsidRPr="004A1C31">
        <w:rPr>
          <w:rFonts w:ascii="Arial" w:hAnsi="Arial" w:cs="Arial"/>
        </w:rPr>
        <w:t>Thornhill</w:t>
      </w:r>
      <w:proofErr w:type="spellEnd"/>
      <w:proofErr w:type="gramEnd"/>
      <w:r w:rsidRPr="004A1C31">
        <w:rPr>
          <w:rFonts w:ascii="Arial" w:hAnsi="Arial" w:cs="Arial"/>
        </w:rPr>
        <w:t xml:space="preserve">, (v) </w:t>
      </w:r>
      <w:proofErr w:type="spellStart"/>
      <w:r w:rsidRPr="004A1C31">
        <w:rPr>
          <w:rFonts w:ascii="Arial" w:hAnsi="Arial" w:cs="Arial"/>
        </w:rPr>
        <w:t>Motherwell</w:t>
      </w:r>
      <w:proofErr w:type="spellEnd"/>
      <w:r w:rsidRPr="004A1C31">
        <w:rPr>
          <w:rFonts w:ascii="Arial" w:hAnsi="Arial" w:cs="Arial"/>
        </w:rPr>
        <w:t xml:space="preserve">, (vi) Cookhouse, (vii) Alexandria in the Cacadu district and (viii) </w:t>
      </w:r>
      <w:proofErr w:type="spellStart"/>
      <w:r w:rsidRPr="004A1C31">
        <w:rPr>
          <w:rFonts w:ascii="Arial" w:hAnsi="Arial" w:cs="Arial"/>
        </w:rPr>
        <w:t>Tsolo</w:t>
      </w:r>
      <w:proofErr w:type="spellEnd"/>
      <w:r w:rsidRPr="004A1C31">
        <w:rPr>
          <w:rFonts w:ascii="Arial" w:hAnsi="Arial" w:cs="Arial"/>
        </w:rPr>
        <w:t xml:space="preserve"> police stations in the Eastern Cape in each of the past 10 financial years?</w:t>
      </w:r>
    </w:p>
    <w:p w:rsidR="00A772CC" w:rsidRPr="004A1C31" w:rsidRDefault="00A772CC" w:rsidP="00A772CC">
      <w:pPr>
        <w:jc w:val="right"/>
        <w:rPr>
          <w:rFonts w:ascii="Arial" w:hAnsi="Arial" w:cs="Arial"/>
        </w:rPr>
      </w:pPr>
      <w:r w:rsidRPr="004A1C31">
        <w:rPr>
          <w:rFonts w:ascii="Arial" w:hAnsi="Arial" w:cs="Arial"/>
        </w:rPr>
        <w:t>NW1876E</w:t>
      </w:r>
    </w:p>
    <w:p w:rsidR="00A772CC" w:rsidRDefault="00A772CC" w:rsidP="00A772CC">
      <w:pPr>
        <w:rPr>
          <w:rFonts w:ascii="Arial" w:hAnsi="Arial" w:cs="Arial"/>
          <w:b/>
        </w:rPr>
      </w:pPr>
      <w:r w:rsidRPr="004A1C31">
        <w:rPr>
          <w:rFonts w:ascii="Arial" w:hAnsi="Arial" w:cs="Arial"/>
          <w:b/>
        </w:rPr>
        <w:t>REPLY:</w:t>
      </w:r>
    </w:p>
    <w:p w:rsidR="00A772CC" w:rsidRDefault="00A772CC" w:rsidP="00A772C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the Eastern Cape is as follows: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9"/>
        <w:gridCol w:w="691"/>
        <w:gridCol w:w="830"/>
        <w:gridCol w:w="830"/>
        <w:gridCol w:w="830"/>
        <w:gridCol w:w="830"/>
        <w:gridCol w:w="830"/>
        <w:gridCol w:w="801"/>
      </w:tblGrid>
      <w:tr w:rsidR="00A772CC" w:rsidRPr="00440D3F" w:rsidTr="00191778">
        <w:trPr>
          <w:trHeight w:val="454"/>
          <w:jc w:val="center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A772CC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EASTERN CAPE</w:t>
            </w:r>
          </w:p>
        </w:tc>
      </w:tr>
      <w:tr w:rsidR="00A772CC" w:rsidRPr="00440D3F" w:rsidTr="00191778">
        <w:trPr>
          <w:trHeight w:val="454"/>
          <w:jc w:val="center"/>
        </w:trPr>
        <w:tc>
          <w:tcPr>
            <w:tcW w:w="1282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476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97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77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77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77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77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77" w:type="pct"/>
            <w:shd w:val="clear" w:color="auto" w:fill="B8CCE4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460" w:type="pct"/>
            <w:shd w:val="clear" w:color="auto" w:fill="B8CCE4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A772CC" w:rsidRPr="00440D3F" w:rsidTr="00191778">
        <w:trPr>
          <w:trHeight w:val="600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Ikamvelihle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Mtontsasa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Storms River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Thornhill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Motherwell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A772CC" w:rsidRPr="00440D3F" w:rsidTr="00191778">
        <w:trPr>
          <w:trHeight w:val="564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>Cookhouse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Alexandria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Tsolo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77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0" w:type="pct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</w:tbl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A772CC" w:rsidRPr="00440D3F" w:rsidTr="00191778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EASTERN CAPE BY DPCI</w:t>
            </w:r>
          </w:p>
        </w:tc>
      </w:tr>
      <w:tr w:rsidR="00A772CC" w:rsidRPr="00440D3F" w:rsidTr="00191778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A772CC" w:rsidRPr="00AE1A9A" w:rsidRDefault="00A772CC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Ikamvelihle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Mtontsasa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Storms River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Thornhill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Motherwell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Cookhouse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Alexandria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72CC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A772CC" w:rsidRPr="00242B44" w:rsidRDefault="00A772CC" w:rsidP="00A772CC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Tsolo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A772CC" w:rsidRPr="00242B44" w:rsidRDefault="00A772CC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rPr>
          <w:rFonts w:ascii="Arial" w:hAnsi="Arial" w:cs="Arial"/>
        </w:rPr>
      </w:pPr>
    </w:p>
    <w:p w:rsidR="00A772CC" w:rsidRDefault="00A772CC" w:rsidP="00A772CC">
      <w:pPr>
        <w:rPr>
          <w:rFonts w:ascii="Arial" w:hAnsi="Arial" w:cs="Arial"/>
          <w:b/>
        </w:rPr>
      </w:pPr>
      <w:bookmarkStart w:id="0" w:name="_GoBack"/>
      <w:bookmarkEnd w:id="0"/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E441B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C1" w:rsidRDefault="00CA25C1" w:rsidP="00020C8A">
      <w:r>
        <w:separator/>
      </w:r>
    </w:p>
  </w:endnote>
  <w:endnote w:type="continuationSeparator" w:id="0">
    <w:p w:rsidR="00CA25C1" w:rsidRDefault="00CA25C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C1" w:rsidRDefault="00CA25C1" w:rsidP="00020C8A">
      <w:r>
        <w:separator/>
      </w:r>
    </w:p>
  </w:footnote>
  <w:footnote w:type="continuationSeparator" w:id="0">
    <w:p w:rsidR="00CA25C1" w:rsidRDefault="00CA25C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2AF6"/>
    <w:multiLevelType w:val="hybridMultilevel"/>
    <w:tmpl w:val="4CC44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52B"/>
    <w:multiLevelType w:val="hybridMultilevel"/>
    <w:tmpl w:val="5D32D934"/>
    <w:lvl w:ilvl="0" w:tplc="55806B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2C4"/>
    <w:multiLevelType w:val="hybridMultilevel"/>
    <w:tmpl w:val="7D28C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4BB9"/>
    <w:multiLevelType w:val="hybridMultilevel"/>
    <w:tmpl w:val="C666B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C4A1E"/>
    <w:multiLevelType w:val="hybridMultilevel"/>
    <w:tmpl w:val="BBE82446"/>
    <w:lvl w:ilvl="0" w:tplc="34F276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E1F22"/>
    <w:multiLevelType w:val="hybridMultilevel"/>
    <w:tmpl w:val="3CAAD17A"/>
    <w:lvl w:ilvl="0" w:tplc="1C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2246F78"/>
    <w:multiLevelType w:val="hybridMultilevel"/>
    <w:tmpl w:val="AE58F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005A7"/>
    <w:multiLevelType w:val="hybridMultilevel"/>
    <w:tmpl w:val="08260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609F7"/>
    <w:multiLevelType w:val="hybridMultilevel"/>
    <w:tmpl w:val="F614D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482"/>
    <w:multiLevelType w:val="hybridMultilevel"/>
    <w:tmpl w:val="547EECD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A43"/>
    <w:multiLevelType w:val="hybridMultilevel"/>
    <w:tmpl w:val="FA7020DC"/>
    <w:lvl w:ilvl="0" w:tplc="1C24DAAE">
      <w:start w:val="1"/>
      <w:numFmt w:val="decimal"/>
      <w:lvlText w:val="(%1)"/>
      <w:lvlJc w:val="left"/>
      <w:pPr>
        <w:ind w:left="1613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721E50"/>
    <w:multiLevelType w:val="hybridMultilevel"/>
    <w:tmpl w:val="5AE45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1"/>
  </w:num>
  <w:num w:numId="7">
    <w:abstractNumId w:val="4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9"/>
  </w:num>
  <w:num w:numId="17">
    <w:abstractNumId w:val="24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1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FED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0029B"/>
    <w:rsid w:val="00235D5E"/>
    <w:rsid w:val="002526D2"/>
    <w:rsid w:val="002561C9"/>
    <w:rsid w:val="002660B4"/>
    <w:rsid w:val="0027011F"/>
    <w:rsid w:val="00271524"/>
    <w:rsid w:val="002B060F"/>
    <w:rsid w:val="002F6206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1568"/>
    <w:rsid w:val="004D7391"/>
    <w:rsid w:val="004E259E"/>
    <w:rsid w:val="005225FA"/>
    <w:rsid w:val="005667CC"/>
    <w:rsid w:val="00574D4B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73A9B"/>
    <w:rsid w:val="00A772CC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A25C1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445C"/>
    <w:rsid w:val="00E239F0"/>
    <w:rsid w:val="00E275AB"/>
    <w:rsid w:val="00E275AD"/>
    <w:rsid w:val="00E441B8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2017-08-24T16:29:00Z</dcterms:created>
  <dcterms:modified xsi:type="dcterms:W3CDTF">2017-08-24T16:29:00Z</dcterms:modified>
</cp:coreProperties>
</file>