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5E" w:rsidRDefault="004A035E" w:rsidP="00E53BF6">
      <w:pPr>
        <w:spacing w:after="0" w:line="240" w:lineRule="auto"/>
        <w:rPr>
          <w:rFonts w:ascii="Arial" w:hAnsi="Arial" w:cs="Arial"/>
          <w:b/>
          <w:sz w:val="24"/>
          <w:szCs w:val="24"/>
          <w:lang w:val="fr-FR"/>
        </w:rPr>
      </w:pPr>
      <w:bookmarkStart w:id="0" w:name="_GoBack"/>
      <w:bookmarkEnd w:id="0"/>
    </w:p>
    <w:p w:rsidR="004A035E" w:rsidRPr="0032538F" w:rsidRDefault="004A035E" w:rsidP="00E81167">
      <w:pPr>
        <w:spacing w:after="0" w:line="240" w:lineRule="auto"/>
        <w:jc w:val="both"/>
        <w:rPr>
          <w:rFonts w:ascii="Arial" w:hAnsi="Arial" w:cs="Arial"/>
        </w:rPr>
      </w:pPr>
    </w:p>
    <w:p w:rsidR="004A035E" w:rsidRPr="008C2F92" w:rsidRDefault="004A035E"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4A035E" w:rsidRPr="008C2F92" w:rsidRDefault="004A035E" w:rsidP="00E81167">
      <w:pPr>
        <w:pStyle w:val="Heading2"/>
        <w:tabs>
          <w:tab w:val="left" w:pos="5940"/>
        </w:tabs>
        <w:ind w:left="0" w:firstLine="0"/>
        <w:jc w:val="both"/>
        <w:rPr>
          <w:rFonts w:ascii="Arial" w:hAnsi="Arial" w:cs="Arial"/>
          <w:sz w:val="22"/>
          <w:szCs w:val="22"/>
          <w:lang w:val="en-ZA"/>
        </w:rPr>
      </w:pPr>
    </w:p>
    <w:p w:rsidR="004A035E" w:rsidRPr="008C2F92" w:rsidRDefault="004A035E" w:rsidP="00E81167">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167</w:t>
      </w:r>
    </w:p>
    <w:p w:rsidR="004A035E" w:rsidRPr="00F6776E" w:rsidRDefault="004A035E" w:rsidP="00B029BC">
      <w:pPr>
        <w:spacing w:before="100" w:beforeAutospacing="1" w:after="100" w:afterAutospacing="1" w:line="240" w:lineRule="auto"/>
        <w:ind w:left="709" w:hanging="720"/>
        <w:jc w:val="both"/>
        <w:outlineLvl w:val="0"/>
        <w:rPr>
          <w:rFonts w:ascii="Arial" w:hAnsi="Arial" w:cs="Arial"/>
          <w:b/>
          <w:bCs/>
          <w:sz w:val="24"/>
          <w:szCs w:val="24"/>
        </w:rPr>
      </w:pPr>
      <w:r w:rsidRPr="00F6776E">
        <w:rPr>
          <w:rFonts w:ascii="Arial" w:hAnsi="Arial" w:cs="Arial"/>
          <w:b/>
          <w:bCs/>
          <w:sz w:val="24"/>
          <w:szCs w:val="24"/>
        </w:rPr>
        <w:t>Ms S P Kopane (DA) to ask the Minister of Transport:</w:t>
      </w:r>
    </w:p>
    <w:p w:rsidR="004A035E" w:rsidRPr="00F6776E" w:rsidRDefault="004A035E" w:rsidP="00931824">
      <w:pPr>
        <w:spacing w:before="100" w:beforeAutospacing="1" w:after="100" w:afterAutospacing="1" w:line="240" w:lineRule="auto"/>
        <w:ind w:left="709" w:hanging="709"/>
        <w:jc w:val="both"/>
        <w:rPr>
          <w:rFonts w:ascii="Arial" w:eastAsia="Times New Roman" w:hAnsi="Arial" w:cs="Arial"/>
          <w:lang w:val="en-ZA"/>
        </w:rPr>
      </w:pPr>
      <w:r w:rsidRPr="00F6776E">
        <w:rPr>
          <w:rFonts w:ascii="Arial" w:eastAsia="Times New Roman" w:hAnsi="Arial" w:cs="Arial"/>
        </w:rPr>
        <w:t>(1)</w:t>
      </w:r>
      <w:r w:rsidRPr="00F6776E">
        <w:rPr>
          <w:rFonts w:ascii="Arial" w:eastAsia="Times New Roman" w:hAnsi="Arial" w:cs="Arial"/>
        </w:rPr>
        <w:tab/>
        <w:t>(a) What salary increases were given to Road Traffic Management Corporation (RTMC) staff in the (i) 2012-13, (ii) 2013-14 and (iii) 2014-15 financial years and (b) in respect of each specified case (i) what amount was given to each staff member and (ii) on what basis was each specified amount determined;</w:t>
      </w:r>
    </w:p>
    <w:p w:rsidR="004A035E" w:rsidRPr="00F6776E" w:rsidRDefault="004A035E" w:rsidP="00931824">
      <w:pPr>
        <w:spacing w:before="100" w:beforeAutospacing="1" w:after="100" w:afterAutospacing="1" w:line="240" w:lineRule="auto"/>
        <w:ind w:left="709" w:hanging="709"/>
        <w:jc w:val="both"/>
        <w:rPr>
          <w:rFonts w:ascii="Arial" w:eastAsia="Times New Roman" w:hAnsi="Arial" w:cs="Arial"/>
        </w:rPr>
      </w:pPr>
      <w:r w:rsidRPr="00F6776E">
        <w:rPr>
          <w:rFonts w:ascii="Arial" w:eastAsia="Times New Roman" w:hAnsi="Arial" w:cs="Arial"/>
        </w:rPr>
        <w:t>(2)</w:t>
      </w:r>
      <w:r w:rsidRPr="00F6776E">
        <w:rPr>
          <w:rFonts w:ascii="Arial" w:eastAsia="Times New Roman" w:hAnsi="Arial" w:cs="Arial"/>
        </w:rPr>
        <w:tab/>
        <w:t>(a) what are the salaries of the (i) chiefs and (ii) deputy chiefs of the RTMC, (b) how were these salaries determined and (c) when were the specified individuals appointed respectively;</w:t>
      </w:r>
    </w:p>
    <w:p w:rsidR="004A035E" w:rsidRPr="00AF22B5" w:rsidRDefault="004A035E" w:rsidP="00AF22B5">
      <w:pPr>
        <w:spacing w:before="100" w:beforeAutospacing="1" w:after="100" w:afterAutospacing="1" w:line="240" w:lineRule="auto"/>
        <w:ind w:left="709" w:hanging="709"/>
        <w:jc w:val="both"/>
        <w:rPr>
          <w:rFonts w:ascii="Arial" w:hAnsi="Arial" w:cs="Arial"/>
          <w:sz w:val="24"/>
          <w:szCs w:val="24"/>
        </w:rPr>
      </w:pPr>
      <w:r w:rsidRPr="00F6776E">
        <w:rPr>
          <w:rFonts w:ascii="Arial" w:eastAsia="Times New Roman" w:hAnsi="Arial" w:cs="Arial"/>
        </w:rPr>
        <w:t xml:space="preserve">(3) </w:t>
      </w:r>
      <w:r w:rsidRPr="00F6776E">
        <w:rPr>
          <w:rFonts w:ascii="Arial" w:eastAsia="Times New Roman" w:hAnsi="Arial" w:cs="Arial"/>
        </w:rPr>
        <w:tab/>
        <w:t xml:space="preserve">whether State Security Agency (SSA) clearances were obtained for the </w:t>
      </w:r>
      <w:r w:rsidRPr="00F6776E">
        <w:rPr>
          <w:rFonts w:ascii="Arial" w:hAnsi="Arial" w:cs="Arial"/>
        </w:rPr>
        <w:t>appointment</w:t>
      </w:r>
      <w:r w:rsidRPr="00F6776E">
        <w:rPr>
          <w:rFonts w:ascii="Arial" w:eastAsia="Times New Roman" w:hAnsi="Arial" w:cs="Arial"/>
        </w:rPr>
        <w:t xml:space="preserve"> of each specified individual; if not, why not; if so, (a) what were the results of the obtained SSA clearances and (b) in what form did they come?</w:t>
      </w:r>
      <w:r w:rsidRPr="00F6776E">
        <w:rPr>
          <w:rFonts w:ascii="Arial" w:eastAsia="Times New Roman" w:hAnsi="Arial" w:cs="Arial"/>
        </w:rPr>
        <w:tab/>
      </w:r>
      <w:r w:rsidRPr="00F6776E">
        <w:rPr>
          <w:rFonts w:ascii="Arial" w:eastAsia="Times New Roman" w:hAnsi="Arial" w:cs="Arial"/>
        </w:rPr>
        <w:tab/>
      </w:r>
      <w:r w:rsidRPr="00F6776E">
        <w:rPr>
          <w:rFonts w:ascii="Arial" w:eastAsia="Times New Roman" w:hAnsi="Arial" w:cs="Arial"/>
        </w:rPr>
        <w:tab/>
      </w:r>
      <w:r w:rsidRPr="00F6776E">
        <w:rPr>
          <w:rFonts w:ascii="Arial" w:eastAsia="Times New Roman" w:hAnsi="Arial" w:cs="Arial"/>
        </w:rPr>
        <w:tab/>
      </w:r>
      <w:r w:rsidRPr="00F6776E">
        <w:rPr>
          <w:rFonts w:ascii="Arial" w:eastAsia="Times New Roman" w:hAnsi="Arial" w:cs="Arial"/>
        </w:rPr>
        <w:tab/>
      </w:r>
      <w:r w:rsidRPr="00F6776E">
        <w:rPr>
          <w:rFonts w:ascii="Arial" w:eastAsia="Times New Roman" w:hAnsi="Arial" w:cs="Arial"/>
        </w:rPr>
        <w:tab/>
      </w:r>
      <w:r w:rsidRPr="00F6776E">
        <w:rPr>
          <w:rFonts w:ascii="Arial" w:eastAsia="Times New Roman" w:hAnsi="Arial" w:cs="Arial"/>
        </w:rPr>
        <w:tab/>
      </w:r>
      <w:r w:rsidRPr="00F6776E">
        <w:rPr>
          <w:rFonts w:ascii="Arial" w:eastAsia="Times New Roman" w:hAnsi="Arial" w:cs="Arial"/>
        </w:rPr>
        <w:tab/>
      </w:r>
      <w:r w:rsidRPr="00F6776E">
        <w:rPr>
          <w:rFonts w:ascii="Arial" w:eastAsia="Times New Roman" w:hAnsi="Arial" w:cs="Arial"/>
        </w:rPr>
        <w:tab/>
      </w:r>
      <w:r w:rsidRPr="00F6776E">
        <w:rPr>
          <w:rFonts w:ascii="Arial" w:hAnsi="Arial" w:cs="Arial"/>
        </w:rPr>
        <w:t>NW167E</w:t>
      </w:r>
      <w:r w:rsidRPr="00F6776E">
        <w:rPr>
          <w:rFonts w:ascii="Arial" w:eastAsia="Times New Roman" w:hAnsi="Arial" w:cs="Arial"/>
          <w:sz w:val="24"/>
          <w:szCs w:val="24"/>
        </w:rPr>
        <w:tab/>
      </w:r>
      <w:r w:rsidRPr="00F6776E">
        <w:rPr>
          <w:rFonts w:ascii="Arial" w:eastAsia="Times New Roman" w:hAnsi="Arial" w:cs="Arial"/>
          <w:sz w:val="24"/>
          <w:szCs w:val="24"/>
        </w:rPr>
        <w:tab/>
      </w:r>
      <w:r w:rsidRPr="00F6776E">
        <w:rPr>
          <w:rFonts w:ascii="Arial" w:eastAsia="Times New Roman" w:hAnsi="Arial" w:cs="Arial"/>
          <w:sz w:val="24"/>
          <w:szCs w:val="24"/>
        </w:rPr>
        <w:tab/>
      </w:r>
      <w:r w:rsidRPr="00F6776E">
        <w:rPr>
          <w:rFonts w:ascii="Arial" w:eastAsia="Times New Roman" w:hAnsi="Arial" w:cs="Arial"/>
          <w:sz w:val="24"/>
          <w:szCs w:val="24"/>
        </w:rPr>
        <w:tab/>
      </w:r>
      <w:r w:rsidRPr="00F6776E">
        <w:rPr>
          <w:rFonts w:ascii="Arial" w:eastAsia="Times New Roman" w:hAnsi="Arial" w:cs="Arial"/>
          <w:sz w:val="24"/>
          <w:szCs w:val="24"/>
        </w:rPr>
        <w:tab/>
      </w:r>
      <w:r w:rsidRPr="00F6776E">
        <w:rPr>
          <w:rFonts w:ascii="Arial" w:eastAsia="Times New Roman" w:hAnsi="Arial" w:cs="Arial"/>
          <w:sz w:val="24"/>
          <w:szCs w:val="24"/>
        </w:rPr>
        <w:tab/>
      </w:r>
      <w:r w:rsidRPr="00F6776E">
        <w:rPr>
          <w:rFonts w:ascii="Arial" w:eastAsia="Times New Roman" w:hAnsi="Arial" w:cs="Arial"/>
          <w:sz w:val="24"/>
          <w:szCs w:val="24"/>
        </w:rPr>
        <w:tab/>
      </w:r>
    </w:p>
    <w:p w:rsidR="004A035E" w:rsidRPr="00AF22B5" w:rsidRDefault="004A035E" w:rsidP="00AF22B5">
      <w:pPr>
        <w:rPr>
          <w:rFonts w:ascii="Arial" w:hAnsi="Arial" w:cs="Arial"/>
          <w:b/>
          <w:sz w:val="24"/>
          <w:szCs w:val="24"/>
          <w:lang w:val="en-ZA"/>
        </w:rPr>
      </w:pPr>
      <w:r w:rsidRPr="00F6776E">
        <w:rPr>
          <w:rFonts w:ascii="Arial" w:hAnsi="Arial" w:cs="Arial"/>
          <w:b/>
          <w:sz w:val="24"/>
          <w:szCs w:val="24"/>
          <w:lang w:val="en-ZA"/>
        </w:rPr>
        <w:t>REPLY</w:t>
      </w:r>
    </w:p>
    <w:p w:rsidR="004A035E" w:rsidRPr="00680F28" w:rsidRDefault="004A035E" w:rsidP="00FA022E">
      <w:pPr>
        <w:pStyle w:val="ListParagraph"/>
        <w:numPr>
          <w:ilvl w:val="0"/>
          <w:numId w:val="29"/>
        </w:numPr>
        <w:spacing w:after="0"/>
        <w:ind w:hanging="720"/>
        <w:jc w:val="both"/>
        <w:rPr>
          <w:rFonts w:ascii="Arial" w:hAnsi="Arial" w:cs="Arial"/>
        </w:rPr>
      </w:pPr>
      <w:r>
        <w:rPr>
          <w:rFonts w:ascii="Arial" w:hAnsi="Arial" w:cs="Arial"/>
        </w:rPr>
        <w:t>(i) 2012 - 2</w:t>
      </w:r>
      <w:r w:rsidRPr="00CD31C0">
        <w:rPr>
          <w:rFonts w:ascii="Arial" w:hAnsi="Arial" w:cs="Arial"/>
        </w:rPr>
        <w:t>013</w:t>
      </w:r>
    </w:p>
    <w:p w:rsidR="004A035E" w:rsidRDefault="004A035E" w:rsidP="00FA022E">
      <w:pPr>
        <w:spacing w:after="0"/>
        <w:ind w:left="720"/>
        <w:jc w:val="both"/>
        <w:rPr>
          <w:rFonts w:ascii="Arial" w:hAnsi="Arial" w:cs="Arial"/>
          <w:sz w:val="24"/>
          <w:szCs w:val="24"/>
        </w:rPr>
      </w:pPr>
      <w:r w:rsidRPr="00F6776E">
        <w:rPr>
          <w:rFonts w:ascii="Arial" w:hAnsi="Arial" w:cs="Arial"/>
          <w:shd w:val="clear" w:color="auto" w:fill="FFFFFF"/>
        </w:rPr>
        <w:t>5% increment was approved for levels 13 and up as per DPSA circular 1 0f 2012.</w:t>
      </w:r>
      <w:r w:rsidRPr="00F6776E">
        <w:rPr>
          <w:rFonts w:ascii="Arial" w:hAnsi="Arial" w:cs="Arial"/>
        </w:rPr>
        <w:t xml:space="preserve">  Increments for the 2012—13 salaries of staff were 7% across the board for all employees that fall within salary levels 1-12. The implementation date was as per Resolution 1 of 2012, Agreement between RTMC and Labour</w:t>
      </w:r>
      <w:r w:rsidRPr="00F6776E">
        <w:rPr>
          <w:rFonts w:ascii="Arial" w:hAnsi="Arial" w:cs="Arial"/>
          <w:sz w:val="24"/>
          <w:szCs w:val="24"/>
        </w:rPr>
        <w:t>.</w:t>
      </w:r>
    </w:p>
    <w:p w:rsidR="004A035E" w:rsidRPr="006B311E" w:rsidRDefault="004A035E" w:rsidP="00FA022E">
      <w:pPr>
        <w:spacing w:after="0"/>
        <w:ind w:left="720"/>
        <w:jc w:val="both"/>
        <w:rPr>
          <w:rFonts w:ascii="Arial" w:hAnsi="Arial" w:cs="Arial"/>
          <w:sz w:val="24"/>
          <w:szCs w:val="24"/>
        </w:rPr>
      </w:pPr>
    </w:p>
    <w:p w:rsidR="004A035E" w:rsidRPr="006B311E" w:rsidRDefault="004A035E" w:rsidP="00FA022E">
      <w:pPr>
        <w:spacing w:after="0"/>
        <w:ind w:firstLine="720"/>
        <w:jc w:val="both"/>
        <w:rPr>
          <w:rFonts w:ascii="Arial" w:hAnsi="Arial" w:cs="Arial"/>
        </w:rPr>
      </w:pPr>
      <w:r>
        <w:rPr>
          <w:rFonts w:ascii="Arial" w:hAnsi="Arial" w:cs="Arial"/>
        </w:rPr>
        <w:t xml:space="preserve">(ii) </w:t>
      </w:r>
      <w:r w:rsidRPr="006B311E">
        <w:rPr>
          <w:rFonts w:ascii="Arial" w:hAnsi="Arial" w:cs="Arial"/>
        </w:rPr>
        <w:t>2013/2014</w:t>
      </w:r>
    </w:p>
    <w:p w:rsidR="004A035E" w:rsidRPr="006B311E" w:rsidRDefault="004A035E" w:rsidP="00FA022E">
      <w:pPr>
        <w:spacing w:after="0"/>
        <w:ind w:left="720"/>
        <w:jc w:val="both"/>
        <w:rPr>
          <w:rFonts w:ascii="Arial" w:hAnsi="Arial" w:cs="Arial"/>
        </w:rPr>
      </w:pPr>
      <w:r w:rsidRPr="006B311E">
        <w:rPr>
          <w:rFonts w:ascii="Arial" w:hAnsi="Arial" w:cs="Arial"/>
        </w:rPr>
        <w:t>Increments for the financial year 2013/14 as per the Resolution 1 of 2013, were implemented as follows:</w:t>
      </w:r>
    </w:p>
    <w:tbl>
      <w:tblPr>
        <w:tblW w:w="765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5850"/>
      </w:tblGrid>
      <w:tr w:rsidR="004A035E" w:rsidRPr="00185286" w:rsidTr="00185286">
        <w:trPr>
          <w:tblHeader/>
        </w:trPr>
        <w:tc>
          <w:tcPr>
            <w:tcW w:w="1800" w:type="dxa"/>
            <w:shd w:val="clear" w:color="auto" w:fill="E5DFEC"/>
          </w:tcPr>
          <w:p w:rsidR="004A035E" w:rsidRPr="00185286" w:rsidRDefault="004A035E" w:rsidP="00185286">
            <w:pPr>
              <w:pStyle w:val="NormalIndent"/>
              <w:spacing w:line="276" w:lineRule="auto"/>
              <w:ind w:left="0"/>
              <w:jc w:val="both"/>
              <w:rPr>
                <w:szCs w:val="22"/>
              </w:rPr>
            </w:pPr>
            <w:r w:rsidRPr="00185286">
              <w:rPr>
                <w:szCs w:val="22"/>
              </w:rPr>
              <w:t>Level</w:t>
            </w:r>
          </w:p>
        </w:tc>
        <w:tc>
          <w:tcPr>
            <w:tcW w:w="5850" w:type="dxa"/>
            <w:shd w:val="clear" w:color="auto" w:fill="E5DFEC"/>
          </w:tcPr>
          <w:p w:rsidR="004A035E" w:rsidRPr="00185286" w:rsidRDefault="004A035E" w:rsidP="00185286">
            <w:pPr>
              <w:pStyle w:val="NormalIndent"/>
              <w:spacing w:line="276" w:lineRule="auto"/>
              <w:ind w:left="0"/>
              <w:jc w:val="both"/>
              <w:rPr>
                <w:szCs w:val="22"/>
              </w:rPr>
            </w:pPr>
            <w:r w:rsidRPr="00185286">
              <w:rPr>
                <w:szCs w:val="22"/>
              </w:rPr>
              <w:t>Increment</w:t>
            </w:r>
          </w:p>
        </w:tc>
      </w:tr>
      <w:tr w:rsidR="004A035E" w:rsidRPr="00185286" w:rsidTr="00185286">
        <w:trPr>
          <w:trHeight w:val="67"/>
        </w:trPr>
        <w:tc>
          <w:tcPr>
            <w:tcW w:w="1800" w:type="dxa"/>
            <w:shd w:val="clear" w:color="auto" w:fill="FFFFFF"/>
          </w:tcPr>
          <w:p w:rsidR="004A035E" w:rsidRPr="00185286" w:rsidRDefault="004A035E" w:rsidP="00185286">
            <w:pPr>
              <w:pStyle w:val="NormalIndent"/>
              <w:spacing w:line="276" w:lineRule="auto"/>
              <w:ind w:left="0"/>
              <w:jc w:val="both"/>
              <w:rPr>
                <w:szCs w:val="22"/>
              </w:rPr>
            </w:pPr>
            <w:r w:rsidRPr="00185286">
              <w:rPr>
                <w:szCs w:val="22"/>
              </w:rPr>
              <w:t>13 and above</w:t>
            </w:r>
          </w:p>
        </w:tc>
        <w:tc>
          <w:tcPr>
            <w:tcW w:w="5850" w:type="dxa"/>
            <w:shd w:val="clear" w:color="auto" w:fill="FFFFFF"/>
          </w:tcPr>
          <w:p w:rsidR="004A035E" w:rsidRPr="00185286" w:rsidRDefault="004A035E" w:rsidP="00185286">
            <w:pPr>
              <w:pStyle w:val="NormalIndent"/>
              <w:spacing w:line="276" w:lineRule="auto"/>
              <w:ind w:left="0"/>
              <w:jc w:val="both"/>
              <w:rPr>
                <w:szCs w:val="22"/>
              </w:rPr>
            </w:pPr>
            <w:r w:rsidRPr="00185286">
              <w:rPr>
                <w:szCs w:val="22"/>
              </w:rPr>
              <w:t>5.6</w:t>
            </w:r>
          </w:p>
        </w:tc>
      </w:tr>
      <w:tr w:rsidR="004A035E" w:rsidRPr="00185286" w:rsidTr="00185286">
        <w:tc>
          <w:tcPr>
            <w:tcW w:w="1800" w:type="dxa"/>
          </w:tcPr>
          <w:p w:rsidR="004A035E" w:rsidRPr="00185286" w:rsidRDefault="004A035E" w:rsidP="00185286">
            <w:pPr>
              <w:pStyle w:val="NormalIndent"/>
              <w:spacing w:line="276" w:lineRule="auto"/>
              <w:ind w:left="0"/>
              <w:jc w:val="both"/>
              <w:rPr>
                <w:szCs w:val="22"/>
              </w:rPr>
            </w:pPr>
            <w:r w:rsidRPr="00185286">
              <w:rPr>
                <w:szCs w:val="22"/>
              </w:rPr>
              <w:t>11-12</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7%</w:t>
            </w:r>
          </w:p>
        </w:tc>
      </w:tr>
      <w:tr w:rsidR="004A035E" w:rsidRPr="00185286" w:rsidTr="00185286">
        <w:tc>
          <w:tcPr>
            <w:tcW w:w="1800" w:type="dxa"/>
          </w:tcPr>
          <w:p w:rsidR="004A035E" w:rsidRPr="00185286" w:rsidRDefault="004A035E" w:rsidP="00185286">
            <w:pPr>
              <w:pStyle w:val="NormalIndent"/>
              <w:spacing w:line="276" w:lineRule="auto"/>
              <w:ind w:left="0"/>
              <w:jc w:val="both"/>
              <w:rPr>
                <w:szCs w:val="22"/>
              </w:rPr>
            </w:pPr>
            <w:r w:rsidRPr="00185286">
              <w:rPr>
                <w:szCs w:val="22"/>
              </w:rPr>
              <w:t>8-10</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7.5%</w:t>
            </w:r>
          </w:p>
        </w:tc>
      </w:tr>
      <w:tr w:rsidR="004A035E" w:rsidRPr="00185286" w:rsidTr="00185286">
        <w:tc>
          <w:tcPr>
            <w:tcW w:w="1800" w:type="dxa"/>
          </w:tcPr>
          <w:p w:rsidR="004A035E" w:rsidRPr="00185286" w:rsidRDefault="004A035E" w:rsidP="00185286">
            <w:pPr>
              <w:pStyle w:val="NormalIndent"/>
              <w:spacing w:line="276" w:lineRule="auto"/>
              <w:ind w:left="0"/>
              <w:jc w:val="both"/>
              <w:rPr>
                <w:szCs w:val="22"/>
              </w:rPr>
            </w:pPr>
            <w:r w:rsidRPr="00185286">
              <w:rPr>
                <w:szCs w:val="22"/>
              </w:rPr>
              <w:t>1-7</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8%</w:t>
            </w:r>
          </w:p>
        </w:tc>
      </w:tr>
    </w:tbl>
    <w:p w:rsidR="004A035E" w:rsidRDefault="004A035E" w:rsidP="00FA022E">
      <w:pPr>
        <w:spacing w:after="0" w:line="360" w:lineRule="auto"/>
        <w:jc w:val="both"/>
        <w:rPr>
          <w:rFonts w:cs="Arial"/>
          <w:b/>
        </w:rPr>
      </w:pPr>
    </w:p>
    <w:p w:rsidR="004A035E" w:rsidRPr="00250D9D" w:rsidRDefault="004A035E" w:rsidP="00FA022E">
      <w:pPr>
        <w:spacing w:after="0"/>
        <w:ind w:firstLine="720"/>
        <w:jc w:val="both"/>
        <w:rPr>
          <w:rFonts w:ascii="Arial" w:hAnsi="Arial" w:cs="Arial"/>
        </w:rPr>
      </w:pPr>
      <w:r>
        <w:rPr>
          <w:rFonts w:ascii="Arial" w:hAnsi="Arial" w:cs="Arial"/>
        </w:rPr>
        <w:t xml:space="preserve">(iii) </w:t>
      </w:r>
      <w:r w:rsidRPr="00250D9D">
        <w:rPr>
          <w:rFonts w:ascii="Arial" w:hAnsi="Arial" w:cs="Arial"/>
        </w:rPr>
        <w:t>2014/2015</w:t>
      </w:r>
    </w:p>
    <w:p w:rsidR="004A035E" w:rsidRDefault="004A035E" w:rsidP="00FA022E">
      <w:pPr>
        <w:spacing w:after="0"/>
        <w:ind w:left="720"/>
        <w:jc w:val="both"/>
        <w:rPr>
          <w:rFonts w:ascii="Arial" w:hAnsi="Arial" w:cs="Arial"/>
        </w:rPr>
      </w:pPr>
      <w:r w:rsidRPr="00250D9D">
        <w:rPr>
          <w:rFonts w:ascii="Arial" w:hAnsi="Arial" w:cs="Arial"/>
        </w:rPr>
        <w:t>Increments for the financial year 2013/14 were implemented as per Migration Plan from Equate (DPSA) dispensation to Patterson Job grading</w:t>
      </w:r>
    </w:p>
    <w:p w:rsidR="004A035E" w:rsidRPr="00250D9D" w:rsidRDefault="004A035E" w:rsidP="00FA022E">
      <w:pPr>
        <w:spacing w:after="0"/>
        <w:ind w:left="720"/>
        <w:jc w:val="both"/>
        <w:rPr>
          <w:rFonts w:ascii="Arial" w:hAnsi="Arial" w:cs="Arial"/>
        </w:rPr>
      </w:pPr>
    </w:p>
    <w:tbl>
      <w:tblPr>
        <w:tblW w:w="765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5850"/>
      </w:tblGrid>
      <w:tr w:rsidR="004A035E" w:rsidRPr="00185286" w:rsidTr="00185286">
        <w:trPr>
          <w:tblHeader/>
        </w:trPr>
        <w:tc>
          <w:tcPr>
            <w:tcW w:w="1800" w:type="dxa"/>
            <w:shd w:val="clear" w:color="auto" w:fill="E5DFEC"/>
          </w:tcPr>
          <w:p w:rsidR="004A035E" w:rsidRPr="00185286" w:rsidRDefault="004A035E" w:rsidP="00185286">
            <w:pPr>
              <w:pStyle w:val="NormalIndent"/>
              <w:spacing w:line="276" w:lineRule="auto"/>
              <w:ind w:left="0"/>
              <w:jc w:val="both"/>
              <w:rPr>
                <w:szCs w:val="22"/>
              </w:rPr>
            </w:pPr>
            <w:r w:rsidRPr="00185286">
              <w:rPr>
                <w:szCs w:val="22"/>
              </w:rPr>
              <w:t>Level</w:t>
            </w:r>
          </w:p>
        </w:tc>
        <w:tc>
          <w:tcPr>
            <w:tcW w:w="5850" w:type="dxa"/>
            <w:shd w:val="clear" w:color="auto" w:fill="E5DFEC"/>
          </w:tcPr>
          <w:p w:rsidR="004A035E" w:rsidRPr="00185286" w:rsidRDefault="004A035E" w:rsidP="00185286">
            <w:pPr>
              <w:pStyle w:val="NormalIndent"/>
              <w:spacing w:line="276" w:lineRule="auto"/>
              <w:ind w:left="0"/>
              <w:jc w:val="both"/>
              <w:rPr>
                <w:szCs w:val="22"/>
              </w:rPr>
            </w:pPr>
            <w:r w:rsidRPr="00185286">
              <w:rPr>
                <w:szCs w:val="22"/>
              </w:rPr>
              <w:t>Increment</w:t>
            </w:r>
          </w:p>
        </w:tc>
      </w:tr>
      <w:tr w:rsidR="004A035E" w:rsidRPr="00185286" w:rsidTr="00185286">
        <w:trPr>
          <w:trHeight w:val="67"/>
        </w:trPr>
        <w:tc>
          <w:tcPr>
            <w:tcW w:w="1800" w:type="dxa"/>
          </w:tcPr>
          <w:p w:rsidR="004A035E" w:rsidRPr="00185286" w:rsidRDefault="004A035E" w:rsidP="00185286">
            <w:pPr>
              <w:pStyle w:val="NormalIndent"/>
              <w:spacing w:line="276" w:lineRule="auto"/>
              <w:ind w:left="0"/>
              <w:jc w:val="both"/>
              <w:rPr>
                <w:szCs w:val="22"/>
              </w:rPr>
            </w:pPr>
            <w:r w:rsidRPr="00185286">
              <w:rPr>
                <w:szCs w:val="22"/>
              </w:rPr>
              <w:t>14</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5%</w:t>
            </w:r>
          </w:p>
        </w:tc>
      </w:tr>
      <w:tr w:rsidR="004A035E" w:rsidRPr="00185286" w:rsidTr="00185286">
        <w:tc>
          <w:tcPr>
            <w:tcW w:w="1800" w:type="dxa"/>
          </w:tcPr>
          <w:p w:rsidR="004A035E" w:rsidRPr="00185286" w:rsidRDefault="004A035E" w:rsidP="00185286">
            <w:pPr>
              <w:pStyle w:val="NormalIndent"/>
              <w:spacing w:line="276" w:lineRule="auto"/>
              <w:ind w:left="0"/>
              <w:jc w:val="both"/>
              <w:rPr>
                <w:szCs w:val="22"/>
              </w:rPr>
            </w:pPr>
            <w:r w:rsidRPr="00185286">
              <w:rPr>
                <w:szCs w:val="22"/>
              </w:rPr>
              <w:t>13</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5.5%</w:t>
            </w:r>
          </w:p>
        </w:tc>
      </w:tr>
      <w:tr w:rsidR="004A035E" w:rsidRPr="00185286" w:rsidTr="00185286">
        <w:tc>
          <w:tcPr>
            <w:tcW w:w="1800" w:type="dxa"/>
          </w:tcPr>
          <w:p w:rsidR="004A035E" w:rsidRPr="00185286" w:rsidRDefault="004A035E" w:rsidP="00185286">
            <w:pPr>
              <w:pStyle w:val="NormalIndent"/>
              <w:spacing w:line="276" w:lineRule="auto"/>
              <w:ind w:left="0"/>
              <w:jc w:val="both"/>
              <w:rPr>
                <w:szCs w:val="22"/>
              </w:rPr>
            </w:pPr>
            <w:r w:rsidRPr="00185286">
              <w:rPr>
                <w:szCs w:val="22"/>
              </w:rPr>
              <w:t>12-11</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6.5%</w:t>
            </w:r>
          </w:p>
        </w:tc>
      </w:tr>
      <w:tr w:rsidR="004A035E" w:rsidRPr="00185286" w:rsidTr="00185286">
        <w:tc>
          <w:tcPr>
            <w:tcW w:w="1800" w:type="dxa"/>
          </w:tcPr>
          <w:p w:rsidR="004A035E" w:rsidRPr="00185286" w:rsidRDefault="004A035E" w:rsidP="00185286">
            <w:pPr>
              <w:pStyle w:val="NormalIndent"/>
              <w:spacing w:line="276" w:lineRule="auto"/>
              <w:ind w:left="0"/>
              <w:jc w:val="both"/>
              <w:rPr>
                <w:szCs w:val="22"/>
              </w:rPr>
            </w:pPr>
            <w:r w:rsidRPr="00185286">
              <w:rPr>
                <w:szCs w:val="22"/>
              </w:rPr>
              <w:t>10-7</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Total Cost To Company (DPSA Packages as at 30 June 2015 + R40,000.00</w:t>
            </w:r>
          </w:p>
        </w:tc>
      </w:tr>
      <w:tr w:rsidR="004A035E" w:rsidRPr="00185286" w:rsidTr="00185286">
        <w:tc>
          <w:tcPr>
            <w:tcW w:w="1800" w:type="dxa"/>
          </w:tcPr>
          <w:p w:rsidR="004A035E" w:rsidRPr="00185286" w:rsidRDefault="004A035E" w:rsidP="00185286">
            <w:pPr>
              <w:pStyle w:val="NormalIndent"/>
              <w:spacing w:line="276" w:lineRule="auto"/>
              <w:ind w:left="0"/>
              <w:jc w:val="both"/>
              <w:rPr>
                <w:szCs w:val="22"/>
              </w:rPr>
            </w:pPr>
            <w:r w:rsidRPr="00185286">
              <w:rPr>
                <w:szCs w:val="22"/>
              </w:rPr>
              <w:t>6 (NTP)</w:t>
            </w:r>
          </w:p>
        </w:tc>
        <w:tc>
          <w:tcPr>
            <w:tcW w:w="5850" w:type="dxa"/>
          </w:tcPr>
          <w:p w:rsidR="004A035E" w:rsidRPr="00185286" w:rsidRDefault="004A035E" w:rsidP="00185286">
            <w:pPr>
              <w:pStyle w:val="NormalIndent"/>
              <w:spacing w:line="276" w:lineRule="auto"/>
              <w:ind w:left="0"/>
              <w:jc w:val="both"/>
              <w:rPr>
                <w:szCs w:val="22"/>
              </w:rPr>
            </w:pPr>
            <w:r w:rsidRPr="00185286">
              <w:rPr>
                <w:szCs w:val="22"/>
              </w:rPr>
              <w:t>Total Cost To Company increased to 50</w:t>
            </w:r>
            <w:r w:rsidRPr="00185286">
              <w:rPr>
                <w:szCs w:val="22"/>
                <w:vertAlign w:val="superscript"/>
              </w:rPr>
              <w:t>th</w:t>
            </w:r>
            <w:r w:rsidRPr="00185286">
              <w:rPr>
                <w:szCs w:val="22"/>
              </w:rPr>
              <w:t xml:space="preserve"> percentile midpoint of B4/B5 (R233,860)</w:t>
            </w:r>
          </w:p>
        </w:tc>
      </w:tr>
    </w:tbl>
    <w:p w:rsidR="004A035E" w:rsidRDefault="004A035E" w:rsidP="00976FDF">
      <w:pPr>
        <w:spacing w:line="360" w:lineRule="auto"/>
        <w:jc w:val="both"/>
        <w:rPr>
          <w:rFonts w:cs="Arial"/>
          <w:b/>
        </w:rPr>
      </w:pPr>
    </w:p>
    <w:p w:rsidR="004A035E" w:rsidRPr="000D0CE5" w:rsidRDefault="004A035E" w:rsidP="00DE7AB3">
      <w:pPr>
        <w:ind w:firstLine="720"/>
        <w:jc w:val="both"/>
        <w:rPr>
          <w:rFonts w:ascii="Arial" w:hAnsi="Arial" w:cs="Arial"/>
        </w:rPr>
      </w:pPr>
      <w:r w:rsidRPr="000D0CE5">
        <w:rPr>
          <w:rFonts w:ascii="Arial" w:hAnsi="Arial" w:cs="Arial"/>
        </w:rPr>
        <w:t>(b)(i)</w:t>
      </w:r>
      <w:r>
        <w:rPr>
          <w:rFonts w:ascii="Arial" w:hAnsi="Arial" w:cs="Arial"/>
        </w:rPr>
        <w:t xml:space="preserve"> The amount given to each staff member is confidential information</w:t>
      </w:r>
    </w:p>
    <w:p w:rsidR="004A035E" w:rsidRPr="000D0CE5" w:rsidRDefault="004A035E" w:rsidP="000D0CE5">
      <w:pPr>
        <w:ind w:left="993"/>
        <w:jc w:val="both"/>
        <w:rPr>
          <w:rFonts w:ascii="Arial" w:hAnsi="Arial" w:cs="Arial"/>
        </w:rPr>
      </w:pPr>
      <w:r w:rsidRPr="000D0CE5">
        <w:rPr>
          <w:rFonts w:ascii="Arial" w:hAnsi="Arial" w:cs="Arial"/>
        </w:rPr>
        <w:t xml:space="preserve">(ii) All </w:t>
      </w:r>
      <w:r>
        <w:rPr>
          <w:rFonts w:ascii="Arial" w:hAnsi="Arial" w:cs="Arial"/>
        </w:rPr>
        <w:t>salary increments were subject to</w:t>
      </w:r>
      <w:r w:rsidRPr="000D0CE5">
        <w:rPr>
          <w:rFonts w:ascii="Arial" w:hAnsi="Arial" w:cs="Arial"/>
        </w:rPr>
        <w:t xml:space="preserve"> salary negotiations with recognised Labour.</w:t>
      </w:r>
    </w:p>
    <w:p w:rsidR="004A035E" w:rsidRPr="00DE7AB3" w:rsidRDefault="004A035E" w:rsidP="00DE7AB3">
      <w:pPr>
        <w:jc w:val="both"/>
        <w:rPr>
          <w:rFonts w:ascii="Arial" w:hAnsi="Arial" w:cs="Arial"/>
          <w:b/>
        </w:rPr>
      </w:pPr>
    </w:p>
    <w:p w:rsidR="004A035E" w:rsidRDefault="004A035E" w:rsidP="00E11D76">
      <w:pPr>
        <w:ind w:left="709" w:hanging="993"/>
        <w:jc w:val="both"/>
        <w:rPr>
          <w:rFonts w:ascii="Arial" w:hAnsi="Arial" w:cs="Arial"/>
        </w:rPr>
      </w:pPr>
      <w:r w:rsidRPr="00E11D76">
        <w:rPr>
          <w:rFonts w:ascii="Arial" w:hAnsi="Arial" w:cs="Arial"/>
        </w:rPr>
        <w:t xml:space="preserve">(2) </w:t>
      </w:r>
      <w:r>
        <w:rPr>
          <w:rFonts w:ascii="Arial" w:hAnsi="Arial" w:cs="Arial"/>
        </w:rPr>
        <w:tab/>
      </w:r>
      <w:r w:rsidRPr="00E11D76">
        <w:rPr>
          <w:rFonts w:ascii="Arial" w:hAnsi="Arial" w:cs="Arial"/>
        </w:rPr>
        <w:t>(a)</w:t>
      </w:r>
      <w:r>
        <w:rPr>
          <w:rFonts w:ascii="Arial" w:hAnsi="Arial" w:cs="Arial"/>
        </w:rPr>
        <w:t xml:space="preserve"> (i) (ii)</w:t>
      </w:r>
      <w:r w:rsidRPr="00E11D76">
        <w:rPr>
          <w:rFonts w:ascii="Arial" w:hAnsi="Arial" w:cs="Arial"/>
        </w:rPr>
        <w:t xml:space="preserve"> The</w:t>
      </w:r>
      <w:r w:rsidRPr="00DE7AB3">
        <w:rPr>
          <w:rFonts w:ascii="Arial" w:hAnsi="Arial" w:cs="Arial"/>
        </w:rPr>
        <w:t xml:space="preserve"> salaries of all personnel in the Road Traffic Management Corporation including those of Chiefs and Deputy Chiefs are negotiable and confidential and cannot be disclosed to the public as this will be a contravention to the Protection of Information Policy approved by the board.  (b) the salaries were negotiated with individuals based on the Paterson remuneration model and against their previous packages and erstwhile employers packages.</w:t>
      </w:r>
    </w:p>
    <w:p w:rsidR="004A035E" w:rsidRPr="00E11D76" w:rsidRDefault="004A035E" w:rsidP="003C4D4D">
      <w:pPr>
        <w:ind w:left="709" w:hanging="993"/>
        <w:jc w:val="both"/>
        <w:rPr>
          <w:rFonts w:ascii="Arial" w:hAnsi="Arial" w:cs="Arial"/>
        </w:rPr>
      </w:pPr>
      <w:r w:rsidRPr="00DE7AB3">
        <w:rPr>
          <w:rFonts w:ascii="Arial" w:hAnsi="Arial" w:cs="Arial"/>
        </w:rPr>
        <w:t xml:space="preserve">(3) </w:t>
      </w:r>
      <w:r>
        <w:rPr>
          <w:rFonts w:ascii="Arial" w:hAnsi="Arial" w:cs="Arial"/>
        </w:rPr>
        <w:tab/>
      </w:r>
      <w:r>
        <w:rPr>
          <w:rFonts w:ascii="Arial" w:eastAsia="Times New Roman" w:hAnsi="Arial" w:cs="Arial"/>
        </w:rPr>
        <w:t xml:space="preserve">(a)(b) </w:t>
      </w:r>
      <w:r w:rsidRPr="00DE7AB3">
        <w:rPr>
          <w:rFonts w:ascii="Arial" w:eastAsia="Times New Roman" w:hAnsi="Arial" w:cs="Arial"/>
        </w:rPr>
        <w:t xml:space="preserve">The employment clearances conducted were in accordance with section 11.6 of the Recruitment, Selection and Placement Procedure.   Confirmation of qualifications, and criminal records however they were not done by the State Security Agency (SSA) but by an independent verification company.  Obtaining a clearance from SSA for senior managers in the RTMC is not a requirements in accordance with the RTMC recruitment policy.  </w:t>
      </w:r>
    </w:p>
    <w:p w:rsidR="004A035E" w:rsidRPr="003E60C4" w:rsidRDefault="004A035E" w:rsidP="00976FDF">
      <w:pPr>
        <w:rPr>
          <w:rFonts w:ascii="Arial" w:hAnsi="Arial" w:cs="Arial"/>
          <w:b/>
          <w:lang w:val="en-ZA"/>
        </w:rPr>
      </w:pPr>
    </w:p>
    <w:p w:rsidR="004A035E" w:rsidRPr="002F1484" w:rsidRDefault="004A035E" w:rsidP="00247ECC">
      <w:pPr>
        <w:rPr>
          <w:rFonts w:ascii="Arial" w:hAnsi="Arial" w:cs="Arial"/>
          <w:b/>
          <w:lang w:val="en-ZA"/>
        </w:rPr>
      </w:pPr>
    </w:p>
    <w:sectPr w:rsidR="004A035E" w:rsidRPr="002F1484"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D722E5D"/>
    <w:multiLevelType w:val="hybridMultilevel"/>
    <w:tmpl w:val="A4282A9C"/>
    <w:lvl w:ilvl="0" w:tplc="7CF07A1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3"/>
  </w:num>
  <w:num w:numId="4">
    <w:abstractNumId w:val="5"/>
  </w:num>
  <w:num w:numId="5">
    <w:abstractNumId w:val="24"/>
  </w:num>
  <w:num w:numId="6">
    <w:abstractNumId w:val="26"/>
  </w:num>
  <w:num w:numId="7">
    <w:abstractNumId w:val="22"/>
  </w:num>
  <w:num w:numId="8">
    <w:abstractNumId w:val="2"/>
  </w:num>
  <w:num w:numId="9">
    <w:abstractNumId w:val="15"/>
  </w:num>
  <w:num w:numId="10">
    <w:abstractNumId w:val="10"/>
  </w:num>
  <w:num w:numId="11">
    <w:abstractNumId w:val="14"/>
  </w:num>
  <w:num w:numId="12">
    <w:abstractNumId w:val="20"/>
  </w:num>
  <w:num w:numId="13">
    <w:abstractNumId w:val="11"/>
  </w:num>
  <w:num w:numId="14">
    <w:abstractNumId w:val="7"/>
  </w:num>
  <w:num w:numId="15">
    <w:abstractNumId w:val="27"/>
  </w:num>
  <w:num w:numId="16">
    <w:abstractNumId w:val="19"/>
  </w:num>
  <w:num w:numId="17">
    <w:abstractNumId w:val="12"/>
  </w:num>
  <w:num w:numId="18">
    <w:abstractNumId w:val="28"/>
  </w:num>
  <w:num w:numId="19">
    <w:abstractNumId w:val="6"/>
  </w:num>
  <w:num w:numId="20">
    <w:abstractNumId w:val="8"/>
  </w:num>
  <w:num w:numId="21">
    <w:abstractNumId w:val="17"/>
  </w:num>
  <w:num w:numId="22">
    <w:abstractNumId w:val="25"/>
  </w:num>
  <w:num w:numId="23">
    <w:abstractNumId w:val="4"/>
  </w:num>
  <w:num w:numId="24">
    <w:abstractNumId w:val="21"/>
  </w:num>
  <w:num w:numId="25">
    <w:abstractNumId w:val="18"/>
  </w:num>
  <w:num w:numId="26">
    <w:abstractNumId w:val="13"/>
  </w:num>
  <w:num w:numId="27">
    <w:abstractNumId w:val="1"/>
  </w:num>
  <w:num w:numId="28">
    <w:abstractNumId w:val="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D0CE5"/>
    <w:rsid w:val="000E04E0"/>
    <w:rsid w:val="000E1816"/>
    <w:rsid w:val="000E1907"/>
    <w:rsid w:val="000F29A6"/>
    <w:rsid w:val="000F76BD"/>
    <w:rsid w:val="00130AB5"/>
    <w:rsid w:val="00153AAD"/>
    <w:rsid w:val="001712B4"/>
    <w:rsid w:val="00185286"/>
    <w:rsid w:val="001B2E53"/>
    <w:rsid w:val="001C323C"/>
    <w:rsid w:val="001E1B86"/>
    <w:rsid w:val="002026BE"/>
    <w:rsid w:val="00206B22"/>
    <w:rsid w:val="002136FC"/>
    <w:rsid w:val="00220C71"/>
    <w:rsid w:val="00247ECC"/>
    <w:rsid w:val="00250D9D"/>
    <w:rsid w:val="00251BC9"/>
    <w:rsid w:val="002520BB"/>
    <w:rsid w:val="0025261D"/>
    <w:rsid w:val="00253BA7"/>
    <w:rsid w:val="00261077"/>
    <w:rsid w:val="002800B5"/>
    <w:rsid w:val="002838E4"/>
    <w:rsid w:val="00286F8A"/>
    <w:rsid w:val="002956D0"/>
    <w:rsid w:val="002C441D"/>
    <w:rsid w:val="002C4526"/>
    <w:rsid w:val="002D4348"/>
    <w:rsid w:val="002E1F7C"/>
    <w:rsid w:val="002E404E"/>
    <w:rsid w:val="002E4BF3"/>
    <w:rsid w:val="002F1484"/>
    <w:rsid w:val="003130D1"/>
    <w:rsid w:val="00314530"/>
    <w:rsid w:val="00323697"/>
    <w:rsid w:val="0032538F"/>
    <w:rsid w:val="003450B0"/>
    <w:rsid w:val="003554D8"/>
    <w:rsid w:val="00377E75"/>
    <w:rsid w:val="00391284"/>
    <w:rsid w:val="00396483"/>
    <w:rsid w:val="003B15B6"/>
    <w:rsid w:val="003C4D4D"/>
    <w:rsid w:val="003E60C4"/>
    <w:rsid w:val="003F7CE2"/>
    <w:rsid w:val="004016C1"/>
    <w:rsid w:val="0040578A"/>
    <w:rsid w:val="0040684E"/>
    <w:rsid w:val="00420BFA"/>
    <w:rsid w:val="00423E34"/>
    <w:rsid w:val="00430277"/>
    <w:rsid w:val="00451494"/>
    <w:rsid w:val="004813B8"/>
    <w:rsid w:val="004A00D3"/>
    <w:rsid w:val="004A035E"/>
    <w:rsid w:val="004A62DE"/>
    <w:rsid w:val="004C248C"/>
    <w:rsid w:val="004D18C0"/>
    <w:rsid w:val="004E13FB"/>
    <w:rsid w:val="004E67DE"/>
    <w:rsid w:val="004F0A18"/>
    <w:rsid w:val="00521C71"/>
    <w:rsid w:val="005318EE"/>
    <w:rsid w:val="005346BD"/>
    <w:rsid w:val="0054378D"/>
    <w:rsid w:val="00555FE7"/>
    <w:rsid w:val="0056444A"/>
    <w:rsid w:val="00572AAB"/>
    <w:rsid w:val="0057794C"/>
    <w:rsid w:val="00582974"/>
    <w:rsid w:val="005846F9"/>
    <w:rsid w:val="005D5448"/>
    <w:rsid w:val="005E123E"/>
    <w:rsid w:val="005F20B1"/>
    <w:rsid w:val="005F630B"/>
    <w:rsid w:val="005F7278"/>
    <w:rsid w:val="006009A0"/>
    <w:rsid w:val="00604285"/>
    <w:rsid w:val="006140CA"/>
    <w:rsid w:val="006450A7"/>
    <w:rsid w:val="006762C5"/>
    <w:rsid w:val="00680F28"/>
    <w:rsid w:val="00682580"/>
    <w:rsid w:val="006917CD"/>
    <w:rsid w:val="00691EDB"/>
    <w:rsid w:val="006B11A5"/>
    <w:rsid w:val="006B1CD3"/>
    <w:rsid w:val="006B311E"/>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B1837"/>
    <w:rsid w:val="007C7CC7"/>
    <w:rsid w:val="007D3628"/>
    <w:rsid w:val="00802076"/>
    <w:rsid w:val="008046C7"/>
    <w:rsid w:val="008269B5"/>
    <w:rsid w:val="00833625"/>
    <w:rsid w:val="0083772C"/>
    <w:rsid w:val="008424B4"/>
    <w:rsid w:val="00843914"/>
    <w:rsid w:val="00844201"/>
    <w:rsid w:val="00845BE5"/>
    <w:rsid w:val="008513C3"/>
    <w:rsid w:val="00856F99"/>
    <w:rsid w:val="0086133C"/>
    <w:rsid w:val="008A52D5"/>
    <w:rsid w:val="008B2E50"/>
    <w:rsid w:val="008B4716"/>
    <w:rsid w:val="008C2F92"/>
    <w:rsid w:val="00916A9F"/>
    <w:rsid w:val="00916CE7"/>
    <w:rsid w:val="00926370"/>
    <w:rsid w:val="00931824"/>
    <w:rsid w:val="0093674F"/>
    <w:rsid w:val="00961E2F"/>
    <w:rsid w:val="0097652F"/>
    <w:rsid w:val="00976FD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56F5"/>
    <w:rsid w:val="00A87430"/>
    <w:rsid w:val="00A90242"/>
    <w:rsid w:val="00A90517"/>
    <w:rsid w:val="00A910A7"/>
    <w:rsid w:val="00AD6B5D"/>
    <w:rsid w:val="00AF22B5"/>
    <w:rsid w:val="00B00C2E"/>
    <w:rsid w:val="00B029BC"/>
    <w:rsid w:val="00B0312A"/>
    <w:rsid w:val="00B03E1D"/>
    <w:rsid w:val="00B05CA7"/>
    <w:rsid w:val="00B177F2"/>
    <w:rsid w:val="00B21C1C"/>
    <w:rsid w:val="00B31016"/>
    <w:rsid w:val="00B40FCE"/>
    <w:rsid w:val="00B56227"/>
    <w:rsid w:val="00B95F63"/>
    <w:rsid w:val="00BA4847"/>
    <w:rsid w:val="00BB21B9"/>
    <w:rsid w:val="00BC2F3F"/>
    <w:rsid w:val="00BF68B6"/>
    <w:rsid w:val="00BF69C4"/>
    <w:rsid w:val="00C06C41"/>
    <w:rsid w:val="00C202CB"/>
    <w:rsid w:val="00C50D10"/>
    <w:rsid w:val="00C6207A"/>
    <w:rsid w:val="00C62268"/>
    <w:rsid w:val="00C64770"/>
    <w:rsid w:val="00C731ED"/>
    <w:rsid w:val="00C92817"/>
    <w:rsid w:val="00CB640B"/>
    <w:rsid w:val="00CD31C0"/>
    <w:rsid w:val="00CF114B"/>
    <w:rsid w:val="00CF5BC7"/>
    <w:rsid w:val="00D82AB0"/>
    <w:rsid w:val="00D92CFD"/>
    <w:rsid w:val="00DA1E37"/>
    <w:rsid w:val="00DE5D58"/>
    <w:rsid w:val="00DE7AB3"/>
    <w:rsid w:val="00E11D76"/>
    <w:rsid w:val="00E1610F"/>
    <w:rsid w:val="00E16B9F"/>
    <w:rsid w:val="00E31BF8"/>
    <w:rsid w:val="00E4370C"/>
    <w:rsid w:val="00E53BF6"/>
    <w:rsid w:val="00E676A3"/>
    <w:rsid w:val="00E74736"/>
    <w:rsid w:val="00E80B27"/>
    <w:rsid w:val="00E81167"/>
    <w:rsid w:val="00E83B34"/>
    <w:rsid w:val="00EB53F1"/>
    <w:rsid w:val="00EB6D5B"/>
    <w:rsid w:val="00EC4D69"/>
    <w:rsid w:val="00EF19D2"/>
    <w:rsid w:val="00EF5FED"/>
    <w:rsid w:val="00EF7862"/>
    <w:rsid w:val="00F00B6B"/>
    <w:rsid w:val="00F526AD"/>
    <w:rsid w:val="00F6776E"/>
    <w:rsid w:val="00F806FE"/>
    <w:rsid w:val="00F80B01"/>
    <w:rsid w:val="00F83C35"/>
    <w:rsid w:val="00F86A5F"/>
    <w:rsid w:val="00F91072"/>
    <w:rsid w:val="00FA022E"/>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NormalIndent">
    <w:name w:val="Normal Indent"/>
    <w:basedOn w:val="Normal"/>
    <w:uiPriority w:val="99"/>
    <w:rsid w:val="007B1837"/>
    <w:pPr>
      <w:spacing w:after="0" w:line="240" w:lineRule="auto"/>
      <w:ind w:left="1555"/>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61802012">
      <w:marLeft w:val="0"/>
      <w:marRight w:val="0"/>
      <w:marTop w:val="0"/>
      <w:marBottom w:val="0"/>
      <w:divBdr>
        <w:top w:val="none" w:sz="0" w:space="0" w:color="auto"/>
        <w:left w:val="none" w:sz="0" w:space="0" w:color="auto"/>
        <w:bottom w:val="none" w:sz="0" w:space="0" w:color="auto"/>
        <w:right w:val="none" w:sz="0" w:space="0" w:color="auto"/>
      </w:divBdr>
    </w:div>
    <w:div w:id="61802013">
      <w:marLeft w:val="0"/>
      <w:marRight w:val="0"/>
      <w:marTop w:val="0"/>
      <w:marBottom w:val="0"/>
      <w:divBdr>
        <w:top w:val="none" w:sz="0" w:space="0" w:color="auto"/>
        <w:left w:val="none" w:sz="0" w:space="0" w:color="auto"/>
        <w:bottom w:val="none" w:sz="0" w:space="0" w:color="auto"/>
        <w:right w:val="none" w:sz="0" w:space="0" w:color="auto"/>
      </w:divBdr>
    </w:div>
    <w:div w:id="61802014">
      <w:marLeft w:val="0"/>
      <w:marRight w:val="0"/>
      <w:marTop w:val="0"/>
      <w:marBottom w:val="0"/>
      <w:divBdr>
        <w:top w:val="none" w:sz="0" w:space="0" w:color="auto"/>
        <w:left w:val="none" w:sz="0" w:space="0" w:color="auto"/>
        <w:bottom w:val="none" w:sz="0" w:space="0" w:color="auto"/>
        <w:right w:val="none" w:sz="0" w:space="0" w:color="auto"/>
      </w:divBdr>
    </w:div>
    <w:div w:id="61802015">
      <w:marLeft w:val="0"/>
      <w:marRight w:val="0"/>
      <w:marTop w:val="0"/>
      <w:marBottom w:val="0"/>
      <w:divBdr>
        <w:top w:val="none" w:sz="0" w:space="0" w:color="auto"/>
        <w:left w:val="none" w:sz="0" w:space="0" w:color="auto"/>
        <w:bottom w:val="none" w:sz="0" w:space="0" w:color="auto"/>
        <w:right w:val="none" w:sz="0" w:space="0" w:color="auto"/>
      </w:divBdr>
    </w:div>
    <w:div w:id="618020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415</Words>
  <Characters>2369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2016-02-17T08:10:00Z</cp:lastPrinted>
  <dcterms:created xsi:type="dcterms:W3CDTF">2016-02-23T08:53:00Z</dcterms:created>
  <dcterms:modified xsi:type="dcterms:W3CDTF">2016-02-23T08:53:00Z</dcterms:modified>
</cp:coreProperties>
</file>