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642FA1"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795A52">
        <w:rPr>
          <w:b/>
          <w:sz w:val="24"/>
          <w:szCs w:val="24"/>
        </w:rPr>
        <w:t>6</w:t>
      </w:r>
      <w:r w:rsidR="004F48A2">
        <w:rPr>
          <w:b/>
          <w:sz w:val="24"/>
          <w:szCs w:val="24"/>
        </w:rPr>
        <w:t>6</w:t>
      </w:r>
      <w:r w:rsidR="00A64598">
        <w:rPr>
          <w:b/>
          <w:sz w:val="24"/>
          <w:szCs w:val="24"/>
        </w:rPr>
        <w:t>6</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95A52">
        <w:rPr>
          <w:b/>
          <w:sz w:val="24"/>
          <w:szCs w:val="24"/>
        </w:rPr>
        <w:t>2</w:t>
      </w:r>
      <w:r w:rsidR="004F48A2">
        <w:rPr>
          <w:b/>
          <w:sz w:val="24"/>
          <w:szCs w:val="24"/>
        </w:rPr>
        <w:t>9</w:t>
      </w:r>
      <w:r w:rsidR="00795A52">
        <w:rPr>
          <w:b/>
          <w:sz w:val="24"/>
          <w:szCs w:val="24"/>
        </w:rPr>
        <w:t xml:space="preserve"> </w:t>
      </w:r>
      <w:r w:rsidR="00CC0D5B">
        <w:rPr>
          <w:b/>
          <w:sz w:val="24"/>
          <w:szCs w:val="24"/>
        </w:rPr>
        <w:t xml:space="preserve">NOVEMBER </w:t>
      </w:r>
      <w:r w:rsidR="00471437">
        <w:rPr>
          <w:b/>
          <w:sz w:val="24"/>
          <w:szCs w:val="24"/>
        </w:rPr>
        <w:t>2019</w:t>
      </w:r>
    </w:p>
    <w:p w:rsidR="00B177C5" w:rsidRDefault="00B177C5" w:rsidP="00B177C5">
      <w:pPr>
        <w:rPr>
          <w:b/>
          <w:sz w:val="24"/>
          <w:szCs w:val="24"/>
        </w:rPr>
      </w:pPr>
    </w:p>
    <w:p w:rsidR="00A64598" w:rsidRPr="001A7028" w:rsidRDefault="00A64598" w:rsidP="00A64598">
      <w:pPr>
        <w:spacing w:before="100" w:beforeAutospacing="1" w:after="100" w:afterAutospacing="1"/>
        <w:ind w:left="720" w:hanging="720"/>
        <w:jc w:val="both"/>
        <w:rPr>
          <w:sz w:val="24"/>
          <w:szCs w:val="24"/>
        </w:rPr>
      </w:pPr>
      <w:r w:rsidRPr="001A7028">
        <w:rPr>
          <w:b/>
          <w:sz w:val="24"/>
          <w:szCs w:val="24"/>
        </w:rPr>
        <w:t>Ms E L Powell (DA) to ask the Minister of Human Settlements, Water and Sanitation</w:t>
      </w:r>
      <w:r>
        <w:rPr>
          <w:b/>
          <w:sz w:val="24"/>
          <w:szCs w:val="24"/>
        </w:rPr>
        <w:fldChar w:fldCharType="begin"/>
      </w:r>
      <w:r>
        <w:instrText xml:space="preserve"> XE "</w:instrText>
      </w:r>
      <w:r w:rsidRPr="00DC26FF">
        <w:rPr>
          <w:b/>
          <w:sz w:val="24"/>
          <w:szCs w:val="24"/>
        </w:rPr>
        <w:instrText>Human Settlements, Water and Sanitation</w:instrText>
      </w:r>
      <w:r>
        <w:instrText xml:space="preserve">" </w:instrText>
      </w:r>
      <w:r>
        <w:rPr>
          <w:b/>
          <w:sz w:val="24"/>
          <w:szCs w:val="24"/>
        </w:rPr>
        <w:fldChar w:fldCharType="end"/>
      </w:r>
      <w:r w:rsidRPr="001A7028">
        <w:rPr>
          <w:b/>
          <w:sz w:val="24"/>
          <w:szCs w:val="24"/>
        </w:rPr>
        <w:t>:</w:t>
      </w:r>
    </w:p>
    <w:p w:rsidR="00A64598" w:rsidRPr="001A7028" w:rsidRDefault="00A64598" w:rsidP="009E0313">
      <w:pPr>
        <w:spacing w:before="100" w:beforeAutospacing="1" w:after="100" w:afterAutospacing="1" w:line="288" w:lineRule="auto"/>
        <w:ind w:left="720" w:hanging="720"/>
        <w:jc w:val="both"/>
        <w:rPr>
          <w:sz w:val="24"/>
          <w:szCs w:val="24"/>
        </w:rPr>
      </w:pPr>
      <w:r w:rsidRPr="001A7028">
        <w:rPr>
          <w:sz w:val="24"/>
          <w:szCs w:val="24"/>
        </w:rPr>
        <w:t>(1)</w:t>
      </w:r>
      <w:r w:rsidRPr="001A7028">
        <w:rPr>
          <w:sz w:val="24"/>
          <w:szCs w:val="24"/>
        </w:rPr>
        <w:tab/>
        <w:t>What (a) percentage of its budget did the Social Housing Regulatory Authority (SHRA) spend against the 51,2% of its target that it met for social housing units for the 2018-19 financial year, (b) were the material reasons that the SHRA did not meet its target of social housing units and (c) remedial actions are being taken to ensure that the situation improves in the current financial year;</w:t>
      </w:r>
    </w:p>
    <w:p w:rsidR="00A64598" w:rsidRPr="00287A33" w:rsidRDefault="00A64598" w:rsidP="009E0313">
      <w:pPr>
        <w:spacing w:before="100" w:beforeAutospacing="1" w:after="100" w:afterAutospacing="1" w:line="288" w:lineRule="auto"/>
        <w:ind w:left="720" w:hanging="720"/>
        <w:jc w:val="both"/>
        <w:rPr>
          <w:sz w:val="24"/>
          <w:szCs w:val="24"/>
        </w:rPr>
      </w:pPr>
      <w:r w:rsidRPr="00287A33">
        <w:rPr>
          <w:sz w:val="24"/>
          <w:szCs w:val="24"/>
        </w:rPr>
        <w:t>(2)</w:t>
      </w:r>
      <w:r w:rsidRPr="00287A33">
        <w:rPr>
          <w:sz w:val="24"/>
          <w:szCs w:val="24"/>
        </w:rPr>
        <w:tab/>
        <w:t xml:space="preserve">whether she can provide the performance contract and the performance outcomes for the Chief Executive Officer </w:t>
      </w:r>
      <w:r>
        <w:rPr>
          <w:sz w:val="24"/>
          <w:szCs w:val="24"/>
        </w:rPr>
        <w:t xml:space="preserve">(CEO) </w:t>
      </w:r>
      <w:r w:rsidRPr="00287A33">
        <w:rPr>
          <w:sz w:val="24"/>
          <w:szCs w:val="24"/>
        </w:rPr>
        <w:t xml:space="preserve">of the </w:t>
      </w:r>
      <w:r w:rsidRPr="001A7028">
        <w:rPr>
          <w:sz w:val="24"/>
          <w:szCs w:val="24"/>
        </w:rPr>
        <w:t xml:space="preserve">SHRA </w:t>
      </w:r>
      <w:r w:rsidRPr="00287A33">
        <w:rPr>
          <w:sz w:val="24"/>
          <w:szCs w:val="24"/>
        </w:rPr>
        <w:t>for the 2018-19 and 2019-20 financial years to Ms E L Powell;</w:t>
      </w:r>
    </w:p>
    <w:p w:rsidR="00A64598" w:rsidRPr="00287A33" w:rsidRDefault="00A64598" w:rsidP="009E0313">
      <w:pPr>
        <w:spacing w:before="100" w:beforeAutospacing="1" w:after="100" w:afterAutospacing="1" w:line="288" w:lineRule="auto"/>
        <w:ind w:left="720" w:hanging="720"/>
        <w:jc w:val="both"/>
        <w:rPr>
          <w:sz w:val="24"/>
          <w:szCs w:val="24"/>
        </w:rPr>
      </w:pPr>
      <w:r w:rsidRPr="00287A33">
        <w:rPr>
          <w:sz w:val="24"/>
          <w:szCs w:val="24"/>
        </w:rPr>
        <w:t>(3)</w:t>
      </w:r>
      <w:r w:rsidRPr="00287A33">
        <w:rPr>
          <w:sz w:val="24"/>
          <w:szCs w:val="24"/>
        </w:rPr>
        <w:tab/>
        <w:t>how does she and the SHRA Council justify the more than 12% increase in salary of the CEO of the SAHRA?</w:t>
      </w:r>
      <w:r w:rsidRPr="00287A33">
        <w:rPr>
          <w:sz w:val="24"/>
          <w:szCs w:val="24"/>
        </w:rPr>
        <w:tab/>
      </w:r>
      <w:r w:rsidRPr="00287A33">
        <w:rPr>
          <w:sz w:val="24"/>
          <w:szCs w:val="24"/>
        </w:rPr>
        <w:tab/>
      </w:r>
      <w:r w:rsidRPr="00287A33">
        <w:rPr>
          <w:sz w:val="24"/>
          <w:szCs w:val="24"/>
        </w:rPr>
        <w:tab/>
      </w:r>
      <w:r w:rsidRPr="00287A33">
        <w:rPr>
          <w:sz w:val="24"/>
          <w:szCs w:val="24"/>
        </w:rPr>
        <w:tab/>
      </w:r>
      <w:r w:rsidRPr="00287A33">
        <w:rPr>
          <w:sz w:val="24"/>
          <w:szCs w:val="24"/>
        </w:rPr>
        <w:tab/>
      </w:r>
      <w:r>
        <w:rPr>
          <w:sz w:val="24"/>
          <w:szCs w:val="24"/>
        </w:rPr>
        <w:tab/>
      </w:r>
      <w:r>
        <w:rPr>
          <w:sz w:val="24"/>
          <w:szCs w:val="24"/>
        </w:rPr>
        <w:tab/>
      </w:r>
      <w:r>
        <w:rPr>
          <w:sz w:val="24"/>
          <w:szCs w:val="24"/>
        </w:rPr>
        <w:tab/>
      </w:r>
      <w:r>
        <w:rPr>
          <w:sz w:val="24"/>
          <w:szCs w:val="24"/>
        </w:rPr>
        <w:tab/>
        <w:t xml:space="preserve">       </w:t>
      </w:r>
      <w:r w:rsidRPr="00287A33">
        <w:rPr>
          <w:lang w:val="en-US"/>
        </w:rPr>
        <w:t>NW3061E</w:t>
      </w:r>
    </w:p>
    <w:p w:rsidR="00080A5A" w:rsidRPr="00645282" w:rsidRDefault="00080A5A" w:rsidP="009E0313">
      <w:pPr>
        <w:spacing w:before="100" w:beforeAutospacing="1" w:after="100" w:afterAutospacing="1" w:line="288" w:lineRule="auto"/>
        <w:ind w:left="720" w:hanging="720"/>
        <w:jc w:val="both"/>
      </w:pPr>
      <w:r w:rsidRPr="00277FF9">
        <w:rPr>
          <w:sz w:val="24"/>
          <w:szCs w:val="24"/>
        </w:rPr>
        <w:tab/>
      </w:r>
      <w:r w:rsidRPr="00277FF9">
        <w:rPr>
          <w:sz w:val="24"/>
          <w:szCs w:val="24"/>
        </w:rPr>
        <w:tab/>
      </w: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Pr="004F48A2" w:rsidRDefault="00862AC6" w:rsidP="009E0313">
      <w:pPr>
        <w:spacing w:line="288" w:lineRule="auto"/>
        <w:jc w:val="both"/>
        <w:rPr>
          <w:szCs w:val="24"/>
          <w:lang w:val="en-US"/>
        </w:rPr>
      </w:pPr>
      <w:r>
        <w:rPr>
          <w:sz w:val="24"/>
          <w:szCs w:val="24"/>
          <w:lang w:val="en-US"/>
        </w:rPr>
        <w:t xml:space="preserve"> </w:t>
      </w:r>
      <w:r w:rsidR="004F48A2">
        <w:rPr>
          <w:sz w:val="24"/>
          <w:szCs w:val="24"/>
          <w:lang w:val="en-US"/>
        </w:rPr>
        <w:t xml:space="preserve"> </w:t>
      </w:r>
      <w:r w:rsidR="00EB6AA1" w:rsidRPr="00832AD2">
        <w:rPr>
          <w:b/>
          <w:sz w:val="24"/>
          <w:szCs w:val="24"/>
        </w:rPr>
        <w:t>REPLY:</w:t>
      </w:r>
    </w:p>
    <w:p w:rsidR="009E0313" w:rsidRPr="001D57A5" w:rsidRDefault="009E0313" w:rsidP="0006598B">
      <w:pPr>
        <w:tabs>
          <w:tab w:val="left" w:pos="720"/>
          <w:tab w:val="left" w:pos="864"/>
        </w:tabs>
        <w:spacing w:before="100" w:beforeAutospacing="1" w:line="288" w:lineRule="auto"/>
        <w:ind w:left="720" w:hanging="720"/>
        <w:jc w:val="both"/>
        <w:rPr>
          <w:b/>
          <w:sz w:val="24"/>
          <w:szCs w:val="24"/>
        </w:rPr>
      </w:pPr>
      <w:r w:rsidRPr="001D57A5">
        <w:rPr>
          <w:sz w:val="24"/>
          <w:szCs w:val="24"/>
          <w:lang w:val="en-US"/>
        </w:rPr>
        <w:t>(1)</w:t>
      </w:r>
      <w:r w:rsidRPr="001D57A5">
        <w:rPr>
          <w:sz w:val="24"/>
          <w:szCs w:val="24"/>
          <w:lang w:val="en-US"/>
        </w:rPr>
        <w:tab/>
        <w:t xml:space="preserve">(a) </w:t>
      </w:r>
      <w:r w:rsidRPr="001D57A5">
        <w:rPr>
          <w:sz w:val="24"/>
          <w:szCs w:val="24"/>
          <w:lang w:val="en-US"/>
        </w:rPr>
        <w:tab/>
        <w:t xml:space="preserve">The Social Housing Regulatory Authority (SHRA) spent 105% of its R743,64 million budget in the 2018-19 financial year on the development of social housing units, thus </w:t>
      </w:r>
      <w:r w:rsidR="009E4EBE">
        <w:rPr>
          <w:sz w:val="24"/>
          <w:szCs w:val="24"/>
          <w:lang w:val="en-US"/>
        </w:rPr>
        <w:t>r</w:t>
      </w:r>
      <w:r w:rsidRPr="001D57A5">
        <w:rPr>
          <w:sz w:val="24"/>
          <w:szCs w:val="24"/>
          <w:lang w:val="en-US"/>
        </w:rPr>
        <w:t xml:space="preserve">epresenting </w:t>
      </w:r>
      <w:r w:rsidR="009E4EBE">
        <w:rPr>
          <w:sz w:val="24"/>
          <w:szCs w:val="24"/>
          <w:lang w:val="en-US"/>
        </w:rPr>
        <w:t>a total expenditure</w:t>
      </w:r>
      <w:r w:rsidRPr="001D57A5">
        <w:rPr>
          <w:sz w:val="24"/>
          <w:szCs w:val="24"/>
          <w:lang w:val="en-US"/>
        </w:rPr>
        <w:t xml:space="preserve"> of R778 273 327.</w:t>
      </w:r>
    </w:p>
    <w:p w:rsidR="009E0313" w:rsidRPr="001D57A5" w:rsidRDefault="009E0313" w:rsidP="009E0313">
      <w:pPr>
        <w:pStyle w:val="ListParagraph"/>
        <w:spacing w:line="288" w:lineRule="auto"/>
        <w:ind w:firstLine="60"/>
        <w:jc w:val="both"/>
      </w:pPr>
    </w:p>
    <w:p w:rsidR="009E0313" w:rsidRPr="001D57A5" w:rsidRDefault="009E0313" w:rsidP="009E0313">
      <w:pPr>
        <w:spacing w:line="288" w:lineRule="auto"/>
        <w:ind w:left="720"/>
        <w:jc w:val="both"/>
        <w:rPr>
          <w:sz w:val="24"/>
          <w:szCs w:val="24"/>
          <w:lang w:val="en-US"/>
        </w:rPr>
      </w:pPr>
      <w:r w:rsidRPr="001D57A5">
        <w:rPr>
          <w:sz w:val="24"/>
          <w:szCs w:val="24"/>
          <w:lang w:val="en-US"/>
        </w:rPr>
        <w:t>(b)</w:t>
      </w:r>
      <w:r w:rsidRPr="001D57A5">
        <w:rPr>
          <w:sz w:val="24"/>
          <w:szCs w:val="24"/>
          <w:lang w:val="en-US"/>
        </w:rPr>
        <w:tab/>
        <w:t>Yes, there were material reasons</w:t>
      </w:r>
      <w:r w:rsidR="009E4EBE">
        <w:rPr>
          <w:sz w:val="24"/>
          <w:szCs w:val="24"/>
          <w:lang w:val="en-US"/>
        </w:rPr>
        <w:t xml:space="preserve"> why SHRA missed some of its targets</w:t>
      </w:r>
      <w:r w:rsidRPr="001D57A5">
        <w:rPr>
          <w:sz w:val="24"/>
          <w:szCs w:val="24"/>
          <w:lang w:val="en-US"/>
        </w:rPr>
        <w:t>. Those reasons have been summarized on page 129 of the Social Housing Regulatory Authority (SHRA) 2018-</w:t>
      </w:r>
      <w:r w:rsidRPr="001D57A5">
        <w:rPr>
          <w:sz w:val="24"/>
          <w:szCs w:val="24"/>
          <w:lang w:val="en-US"/>
        </w:rPr>
        <w:lastRenderedPageBreak/>
        <w:t xml:space="preserve">19 Annual Report in the column entitled </w:t>
      </w:r>
      <w:r w:rsidRPr="001D57A5">
        <w:rPr>
          <w:i/>
          <w:iCs/>
          <w:sz w:val="24"/>
          <w:szCs w:val="24"/>
          <w:lang w:val="en-US"/>
        </w:rPr>
        <w:t>“Variance and comments.”</w:t>
      </w:r>
      <w:r w:rsidRPr="001D57A5">
        <w:rPr>
          <w:sz w:val="24"/>
          <w:szCs w:val="24"/>
          <w:lang w:val="en-US"/>
        </w:rPr>
        <w:t xml:space="preserve"> Further explanations were provided by the SHRA on page 35 of the 2018-19 Annual Report in section 4.3.4 of the report entitled </w:t>
      </w:r>
      <w:r w:rsidRPr="001D57A5">
        <w:rPr>
          <w:i/>
          <w:iCs/>
          <w:sz w:val="24"/>
          <w:szCs w:val="24"/>
          <w:lang w:val="en-US"/>
        </w:rPr>
        <w:t>“Project Development &amp; Funding (PD&amp;F) Programme”</w:t>
      </w:r>
      <w:r w:rsidRPr="001D57A5">
        <w:rPr>
          <w:sz w:val="24"/>
          <w:szCs w:val="24"/>
          <w:lang w:val="en-US"/>
        </w:rPr>
        <w:t xml:space="preserve">.  For a more detailed explanation of the reasons at a project level, this can be found in Table 4 on pages 17 through 20 of the 2018-19 Annual Report. The table is entitled </w:t>
      </w:r>
      <w:r w:rsidRPr="001D57A5">
        <w:rPr>
          <w:i/>
          <w:iCs/>
          <w:sz w:val="24"/>
          <w:szCs w:val="24"/>
          <w:lang w:val="en-US"/>
        </w:rPr>
        <w:t>“Project Challenges and Solutions.”</w:t>
      </w:r>
      <w:r w:rsidRPr="001D57A5">
        <w:rPr>
          <w:sz w:val="24"/>
          <w:szCs w:val="24"/>
          <w:lang w:val="en-US"/>
        </w:rPr>
        <w:t xml:space="preserve"> </w:t>
      </w:r>
    </w:p>
    <w:p w:rsidR="009E0313" w:rsidRPr="001D57A5" w:rsidRDefault="009E0313" w:rsidP="009E0313">
      <w:pPr>
        <w:pStyle w:val="ListParagraph"/>
        <w:spacing w:line="288" w:lineRule="auto"/>
        <w:ind w:firstLine="60"/>
        <w:jc w:val="both"/>
      </w:pPr>
    </w:p>
    <w:p w:rsidR="009E0313" w:rsidRPr="001D57A5" w:rsidRDefault="009E0313" w:rsidP="009E0313">
      <w:pPr>
        <w:tabs>
          <w:tab w:val="left" w:pos="720"/>
        </w:tabs>
        <w:spacing w:line="288" w:lineRule="auto"/>
        <w:ind w:left="720" w:hanging="720"/>
        <w:jc w:val="both"/>
        <w:rPr>
          <w:sz w:val="24"/>
          <w:szCs w:val="24"/>
        </w:rPr>
      </w:pPr>
      <w:r w:rsidRPr="001D57A5">
        <w:rPr>
          <w:sz w:val="24"/>
          <w:szCs w:val="24"/>
          <w:lang w:val="en-US"/>
        </w:rPr>
        <w:tab/>
        <w:t xml:space="preserve">(c)  The remedial actions being taken to ensure that the situation improves are also documented on the same pages of the SHRA 2018-19 </w:t>
      </w:r>
      <w:r w:rsidR="009E4EBE">
        <w:rPr>
          <w:sz w:val="24"/>
          <w:szCs w:val="24"/>
          <w:lang w:val="en-US"/>
        </w:rPr>
        <w:t>A</w:t>
      </w:r>
      <w:r w:rsidRPr="001D57A5">
        <w:rPr>
          <w:sz w:val="24"/>
          <w:szCs w:val="24"/>
          <w:lang w:val="en-US"/>
        </w:rPr>
        <w:t xml:space="preserve">nnual Report as has been stated under (b) above. Further to this, the following remedial actions are being implemented by the SHRA:  </w:t>
      </w:r>
    </w:p>
    <w:p w:rsidR="009E0313" w:rsidRPr="001D57A5" w:rsidRDefault="009E0313" w:rsidP="009E0313">
      <w:pPr>
        <w:pStyle w:val="ListParagraph"/>
        <w:spacing w:line="288" w:lineRule="auto"/>
      </w:pPr>
    </w:p>
    <w:p w:rsidR="009E0313" w:rsidRPr="001D57A5" w:rsidRDefault="009E0313" w:rsidP="009E0313">
      <w:pPr>
        <w:pStyle w:val="ListParagraph"/>
        <w:numPr>
          <w:ilvl w:val="0"/>
          <w:numId w:val="5"/>
        </w:numPr>
        <w:spacing w:after="160" w:line="288" w:lineRule="auto"/>
        <w:ind w:hanging="720"/>
        <w:jc w:val="both"/>
      </w:pPr>
      <w:r w:rsidRPr="001D57A5">
        <w:t xml:space="preserve">Non-performing contracts are terminated within the provisions of the contracts and law; </w:t>
      </w:r>
    </w:p>
    <w:p w:rsidR="009E0313" w:rsidRPr="001D57A5" w:rsidRDefault="009E0313" w:rsidP="009E0313">
      <w:pPr>
        <w:pStyle w:val="ListParagraph"/>
        <w:numPr>
          <w:ilvl w:val="0"/>
          <w:numId w:val="5"/>
        </w:numPr>
        <w:spacing w:after="160" w:line="288" w:lineRule="auto"/>
        <w:ind w:hanging="720"/>
        <w:jc w:val="both"/>
      </w:pPr>
      <w:r w:rsidRPr="001D57A5">
        <w:t xml:space="preserve">Improvements have been introduced in the project accreditation process to curtail delays in planning and projects meeting financial closure;   </w:t>
      </w:r>
    </w:p>
    <w:p w:rsidR="009E0313" w:rsidRPr="001D57A5" w:rsidRDefault="009E0313" w:rsidP="009E0313">
      <w:pPr>
        <w:pStyle w:val="ListParagraph"/>
        <w:numPr>
          <w:ilvl w:val="0"/>
          <w:numId w:val="5"/>
        </w:numPr>
        <w:spacing w:after="160" w:line="288" w:lineRule="auto"/>
        <w:ind w:hanging="720"/>
        <w:jc w:val="both"/>
      </w:pPr>
      <w:r w:rsidRPr="001D57A5">
        <w:t>The SHRA has engaged with financiers to provide debt/</w:t>
      </w:r>
      <w:r w:rsidR="009E4EBE">
        <w:t xml:space="preserve"> </w:t>
      </w:r>
      <w:r w:rsidRPr="001D57A5">
        <w:t xml:space="preserve">loan and equity funding to projects toward meeting financial closure; </w:t>
      </w:r>
    </w:p>
    <w:p w:rsidR="009E0313" w:rsidRPr="001D57A5" w:rsidRDefault="009E0313" w:rsidP="009E0313">
      <w:pPr>
        <w:pStyle w:val="ListParagraph"/>
        <w:numPr>
          <w:ilvl w:val="0"/>
          <w:numId w:val="5"/>
        </w:numPr>
        <w:spacing w:after="160" w:line="288" w:lineRule="auto"/>
        <w:ind w:hanging="720"/>
        <w:jc w:val="both"/>
      </w:pPr>
      <w:r w:rsidRPr="001D57A5">
        <w:t xml:space="preserve">The SHRA has employed additional resources to improve the project approval by the provinces in order to ensure contract compliance earlier in the process; </w:t>
      </w:r>
    </w:p>
    <w:p w:rsidR="009E0313" w:rsidRPr="001D57A5" w:rsidRDefault="009E0313" w:rsidP="009E0313">
      <w:pPr>
        <w:pStyle w:val="ListParagraph"/>
        <w:numPr>
          <w:ilvl w:val="0"/>
          <w:numId w:val="5"/>
        </w:numPr>
        <w:spacing w:after="160" w:line="288" w:lineRule="auto"/>
        <w:ind w:hanging="720"/>
        <w:jc w:val="both"/>
      </w:pPr>
      <w:r w:rsidRPr="001D57A5">
        <w:t xml:space="preserve">The SHRA is intervening </w:t>
      </w:r>
      <w:r w:rsidR="009E4EBE">
        <w:t>i</w:t>
      </w:r>
      <w:r w:rsidRPr="001D57A5">
        <w:t>n the non-performing contracts with a bespoke approach according to the needs per contract.</w:t>
      </w:r>
    </w:p>
    <w:p w:rsidR="009E0313" w:rsidRPr="001D57A5" w:rsidRDefault="009E0313" w:rsidP="009E0313">
      <w:pPr>
        <w:pStyle w:val="ListParagraph"/>
        <w:spacing w:line="288" w:lineRule="auto"/>
        <w:ind w:firstLine="195"/>
        <w:jc w:val="both"/>
      </w:pPr>
    </w:p>
    <w:p w:rsidR="009E4EBE" w:rsidRPr="00C06F0A" w:rsidRDefault="009E0313" w:rsidP="0006598B">
      <w:pPr>
        <w:tabs>
          <w:tab w:val="left" w:pos="0"/>
        </w:tabs>
        <w:spacing w:line="288" w:lineRule="auto"/>
        <w:ind w:left="720" w:hanging="720"/>
        <w:jc w:val="both"/>
        <w:rPr>
          <w:sz w:val="24"/>
          <w:szCs w:val="24"/>
        </w:rPr>
      </w:pPr>
      <w:r w:rsidRPr="001D57A5">
        <w:rPr>
          <w:sz w:val="24"/>
          <w:szCs w:val="24"/>
        </w:rPr>
        <w:t xml:space="preserve">(2) </w:t>
      </w:r>
      <w:r w:rsidRPr="001D57A5">
        <w:rPr>
          <w:sz w:val="24"/>
          <w:szCs w:val="24"/>
        </w:rPr>
        <w:tab/>
      </w:r>
      <w:r w:rsidR="009E4EBE" w:rsidRPr="00C06F0A">
        <w:rPr>
          <w:sz w:val="24"/>
          <w:szCs w:val="24"/>
        </w:rPr>
        <w:t xml:space="preserve">Conditions of employment such as salaries and qualifications of staff are confidential.  Laws such as the Protection of Personal Information Act and the Basic Conditions of Employment, amongst others, protects the confidentiality of such information. </w:t>
      </w:r>
    </w:p>
    <w:p w:rsidR="009E0313" w:rsidRPr="001D57A5" w:rsidRDefault="009E0313" w:rsidP="009E0313">
      <w:pPr>
        <w:spacing w:line="288" w:lineRule="auto"/>
        <w:ind w:left="720" w:hanging="720"/>
        <w:jc w:val="both"/>
        <w:rPr>
          <w:sz w:val="24"/>
          <w:szCs w:val="24"/>
          <w:lang w:val="en-US"/>
        </w:rPr>
      </w:pPr>
    </w:p>
    <w:p w:rsidR="009E0313" w:rsidRPr="001D57A5" w:rsidRDefault="009E0313" w:rsidP="009E0313">
      <w:pPr>
        <w:spacing w:line="288" w:lineRule="auto"/>
        <w:ind w:left="720" w:hanging="720"/>
        <w:jc w:val="both"/>
        <w:rPr>
          <w:sz w:val="24"/>
          <w:szCs w:val="24"/>
          <w:lang w:val="en-US"/>
        </w:rPr>
      </w:pPr>
      <w:r w:rsidRPr="001D57A5">
        <w:rPr>
          <w:sz w:val="24"/>
          <w:szCs w:val="24"/>
        </w:rPr>
        <w:t xml:space="preserve">(3) </w:t>
      </w:r>
      <w:r w:rsidRPr="001D57A5">
        <w:rPr>
          <w:sz w:val="24"/>
          <w:szCs w:val="24"/>
        </w:rPr>
        <w:tab/>
        <w:t xml:space="preserve">The salary increase </w:t>
      </w:r>
      <w:r w:rsidR="009E4EBE">
        <w:rPr>
          <w:sz w:val="24"/>
          <w:szCs w:val="24"/>
        </w:rPr>
        <w:t xml:space="preserve">of the CEO </w:t>
      </w:r>
      <w:r w:rsidRPr="001D57A5">
        <w:rPr>
          <w:sz w:val="24"/>
          <w:szCs w:val="24"/>
        </w:rPr>
        <w:t xml:space="preserve">resolved upon by the SHRA Council was 6% and not 12%. </w:t>
      </w:r>
      <w:r w:rsidR="009E4EBE">
        <w:rPr>
          <w:sz w:val="24"/>
          <w:szCs w:val="24"/>
        </w:rPr>
        <w:t>The increase</w:t>
      </w:r>
      <w:r w:rsidR="009E4EBE" w:rsidRPr="001D57A5">
        <w:rPr>
          <w:sz w:val="24"/>
          <w:szCs w:val="24"/>
        </w:rPr>
        <w:t xml:space="preserve"> </w:t>
      </w:r>
      <w:r w:rsidR="009E4EBE">
        <w:rPr>
          <w:sz w:val="24"/>
          <w:szCs w:val="24"/>
        </w:rPr>
        <w:t>comprises</w:t>
      </w:r>
      <w:r w:rsidRPr="001D57A5">
        <w:rPr>
          <w:sz w:val="24"/>
          <w:szCs w:val="24"/>
        </w:rPr>
        <w:t xml:space="preserve"> of a 5,5% inflation linked cost of living increase plus an additional 0,5% performance linked increase arising from the 2017 – 18 performance result. This is in accordance with the SHRA remuneration policy and the terms of the employment contract.</w:t>
      </w:r>
    </w:p>
    <w:p w:rsidR="00371AFD" w:rsidRPr="009E0313" w:rsidRDefault="00371AFD" w:rsidP="004A0F77">
      <w:pPr>
        <w:spacing w:line="336" w:lineRule="auto"/>
        <w:ind w:left="720" w:hanging="720"/>
        <w:jc w:val="both"/>
        <w:rPr>
          <w:b/>
          <w:sz w:val="24"/>
          <w:szCs w:val="24"/>
        </w:rPr>
      </w:pPr>
    </w:p>
    <w:p w:rsidR="004A0F77" w:rsidRPr="009E0313" w:rsidRDefault="004A0F77" w:rsidP="004A0F77">
      <w:pPr>
        <w:tabs>
          <w:tab w:val="left" w:pos="4300"/>
        </w:tabs>
        <w:spacing w:line="276" w:lineRule="auto"/>
        <w:ind w:left="720" w:hanging="720"/>
        <w:jc w:val="both"/>
        <w:rPr>
          <w:b/>
          <w:sz w:val="24"/>
          <w:szCs w:val="24"/>
        </w:rPr>
      </w:pPr>
      <w:r w:rsidRPr="009E0313">
        <w:rPr>
          <w:b/>
          <w:sz w:val="24"/>
          <w:szCs w:val="24"/>
        </w:rPr>
        <w:tab/>
      </w:r>
      <w:r w:rsidRPr="009E0313">
        <w:rPr>
          <w:b/>
          <w:sz w:val="24"/>
          <w:szCs w:val="24"/>
        </w:rPr>
        <w:tab/>
      </w:r>
    </w:p>
    <w:p w:rsidR="004A0F77" w:rsidRPr="009E0313" w:rsidRDefault="004A0F77" w:rsidP="00832AD2">
      <w:pPr>
        <w:spacing w:line="276" w:lineRule="auto"/>
        <w:ind w:left="720" w:hanging="720"/>
        <w:jc w:val="both"/>
        <w:rPr>
          <w:b/>
          <w:sz w:val="24"/>
          <w:szCs w:val="24"/>
        </w:rPr>
      </w:pPr>
    </w:p>
    <w:sectPr w:rsidR="004A0F77" w:rsidRPr="009E0313"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BF" w:rsidRDefault="002F25BF" w:rsidP="00054FEC">
      <w:r>
        <w:separator/>
      </w:r>
    </w:p>
  </w:endnote>
  <w:endnote w:type="continuationSeparator" w:id="0">
    <w:p w:rsidR="002F25BF" w:rsidRDefault="002F25B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BF" w:rsidRDefault="002F25BF" w:rsidP="00054FEC">
      <w:r>
        <w:separator/>
      </w:r>
    </w:p>
  </w:footnote>
  <w:footnote w:type="continuationSeparator" w:id="0">
    <w:p w:rsidR="002F25BF" w:rsidRDefault="002F25B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795A52">
      <w:t>6</w:t>
    </w:r>
    <w:r w:rsidR="00C40585">
      <w:t>6</w:t>
    </w:r>
    <w:r w:rsidR="005061DD">
      <w:t>6</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1F4A95"/>
    <w:multiLevelType w:val="hybridMultilevel"/>
    <w:tmpl w:val="78C4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6598B"/>
    <w:rsid w:val="00080A5A"/>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57A5"/>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85760"/>
    <w:rsid w:val="002901FA"/>
    <w:rsid w:val="002922CE"/>
    <w:rsid w:val="002962EB"/>
    <w:rsid w:val="0029651C"/>
    <w:rsid w:val="00297F06"/>
    <w:rsid w:val="002A580A"/>
    <w:rsid w:val="002B7025"/>
    <w:rsid w:val="002B7A01"/>
    <w:rsid w:val="002D050D"/>
    <w:rsid w:val="002D3BB8"/>
    <w:rsid w:val="002E06FA"/>
    <w:rsid w:val="002E39B0"/>
    <w:rsid w:val="002E429C"/>
    <w:rsid w:val="002F25BF"/>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48A2"/>
    <w:rsid w:val="004F5117"/>
    <w:rsid w:val="005061DD"/>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2FA1"/>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017A"/>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D6E28"/>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0313"/>
    <w:rsid w:val="009E4722"/>
    <w:rsid w:val="009E4EBE"/>
    <w:rsid w:val="009F104A"/>
    <w:rsid w:val="009F18D7"/>
    <w:rsid w:val="009F37D0"/>
    <w:rsid w:val="009F41D7"/>
    <w:rsid w:val="009F5B5D"/>
    <w:rsid w:val="00A07114"/>
    <w:rsid w:val="00A10986"/>
    <w:rsid w:val="00A11359"/>
    <w:rsid w:val="00A208C7"/>
    <w:rsid w:val="00A36D94"/>
    <w:rsid w:val="00A378F3"/>
    <w:rsid w:val="00A45652"/>
    <w:rsid w:val="00A52004"/>
    <w:rsid w:val="00A5613F"/>
    <w:rsid w:val="00A60EEE"/>
    <w:rsid w:val="00A64598"/>
    <w:rsid w:val="00A645C2"/>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B13D8"/>
    <w:rsid w:val="00BC2B00"/>
    <w:rsid w:val="00BC7268"/>
    <w:rsid w:val="00BD39FB"/>
    <w:rsid w:val="00BE18C5"/>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076"/>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2020-01-23T11:55:00Z</dcterms:created>
  <dcterms:modified xsi:type="dcterms:W3CDTF">2020-01-23T11:55:00Z</dcterms:modified>
</cp:coreProperties>
</file>