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BD5B61" w:rsidRDefault="0099546F" w:rsidP="0099546F">
      <w:pPr>
        <w:spacing w:after="0" w:line="360" w:lineRule="auto"/>
        <w:jc w:val="center"/>
        <w:rPr>
          <w:rFonts w:ascii="Arial" w:hAnsi="Arial" w:cs="Arial"/>
          <w:b/>
        </w:rPr>
      </w:pPr>
      <w:r w:rsidRPr="00BD5B61">
        <w:rPr>
          <w:rFonts w:ascii="Arial" w:hAnsi="Arial" w:cs="Arial"/>
          <w:b/>
        </w:rPr>
        <w:t>NATIONAL ASSEMBLY</w:t>
      </w:r>
    </w:p>
    <w:p w:rsidR="0099546F" w:rsidRPr="00BD5B61" w:rsidRDefault="0099546F" w:rsidP="00BE01E3">
      <w:pPr>
        <w:spacing w:after="0" w:line="360" w:lineRule="auto"/>
        <w:rPr>
          <w:rFonts w:ascii="Arial" w:hAnsi="Arial" w:cs="Arial"/>
          <w:b/>
        </w:rPr>
      </w:pPr>
    </w:p>
    <w:p w:rsidR="0099546F" w:rsidRPr="00BD5B61" w:rsidRDefault="0099546F" w:rsidP="0099546F">
      <w:pPr>
        <w:spacing w:after="0" w:line="360" w:lineRule="auto"/>
        <w:jc w:val="center"/>
        <w:rPr>
          <w:rFonts w:ascii="Arial" w:hAnsi="Arial" w:cs="Arial"/>
          <w:b/>
        </w:rPr>
      </w:pPr>
      <w:r w:rsidRPr="00BD5B61">
        <w:rPr>
          <w:rFonts w:ascii="Arial" w:hAnsi="Arial" w:cs="Arial"/>
          <w:b/>
        </w:rPr>
        <w:t>QUESTION FOR WRITTEN</w:t>
      </w:r>
      <w:r w:rsidR="002F2186" w:rsidRPr="00BD5B61">
        <w:rPr>
          <w:rFonts w:ascii="Arial" w:hAnsi="Arial" w:cs="Arial"/>
          <w:b/>
        </w:rPr>
        <w:t xml:space="preserve"> </w:t>
      </w:r>
      <w:r w:rsidRPr="00BD5B61">
        <w:rPr>
          <w:rFonts w:ascii="Arial" w:hAnsi="Arial" w:cs="Arial"/>
          <w:b/>
        </w:rPr>
        <w:t>REPLY</w:t>
      </w:r>
    </w:p>
    <w:p w:rsidR="0099546F" w:rsidRPr="000F74D1" w:rsidRDefault="0099546F" w:rsidP="00BE01E3">
      <w:pPr>
        <w:spacing w:after="0" w:line="360" w:lineRule="auto"/>
        <w:rPr>
          <w:rFonts w:ascii="Arial" w:hAnsi="Arial" w:cs="Arial"/>
          <w:b/>
        </w:rPr>
      </w:pPr>
    </w:p>
    <w:p w:rsidR="00BD5B61" w:rsidRPr="00BD5B61" w:rsidRDefault="00BD5B61" w:rsidP="00BD5B61">
      <w:pPr>
        <w:spacing w:after="0" w:line="360" w:lineRule="auto"/>
        <w:jc w:val="both"/>
        <w:rPr>
          <w:rFonts w:ascii="Arial" w:eastAsia="Calibri" w:hAnsi="Arial" w:cs="Arial"/>
          <w:b/>
        </w:rPr>
      </w:pPr>
      <w:r w:rsidRPr="00BD5B61">
        <w:rPr>
          <w:rFonts w:ascii="Arial" w:eastAsia="Calibri" w:hAnsi="Arial" w:cs="Arial"/>
          <w:b/>
        </w:rPr>
        <w:t xml:space="preserve">“1665. Mr T R </w:t>
      </w:r>
      <w:proofErr w:type="spellStart"/>
      <w:r w:rsidRPr="00BD5B61">
        <w:rPr>
          <w:rFonts w:ascii="Arial" w:eastAsia="Calibri" w:hAnsi="Arial" w:cs="Arial"/>
          <w:b/>
        </w:rPr>
        <w:t>Majola</w:t>
      </w:r>
      <w:proofErr w:type="spellEnd"/>
      <w:r w:rsidRPr="00BD5B61">
        <w:rPr>
          <w:rFonts w:ascii="Arial" w:eastAsia="Calibri" w:hAnsi="Arial" w:cs="Arial"/>
          <w:b/>
        </w:rPr>
        <w:t xml:space="preserve"> (DA) to ask the Minister of Small Business Development:</w:t>
      </w:r>
    </w:p>
    <w:p w:rsidR="00BD5B61" w:rsidRPr="00BD5B61" w:rsidRDefault="00BD5B61" w:rsidP="00BD5B61">
      <w:pPr>
        <w:spacing w:after="0" w:line="360" w:lineRule="auto"/>
        <w:jc w:val="both"/>
        <w:rPr>
          <w:rFonts w:ascii="Arial" w:eastAsia="Calibri" w:hAnsi="Arial" w:cs="Arial"/>
          <w:b/>
        </w:rPr>
      </w:pPr>
    </w:p>
    <w:p w:rsidR="00BD5B61" w:rsidRPr="00BD5B61" w:rsidRDefault="00BD5B61" w:rsidP="00BD5B61">
      <w:pPr>
        <w:spacing w:after="0" w:line="360" w:lineRule="auto"/>
        <w:ind w:left="750"/>
        <w:contextualSpacing/>
        <w:jc w:val="both"/>
        <w:rPr>
          <w:rFonts w:ascii="Arial" w:eastAsia="Calibri" w:hAnsi="Arial" w:cs="Arial"/>
          <w:b/>
        </w:rPr>
      </w:pPr>
      <w:r w:rsidRPr="00BD5B61">
        <w:rPr>
          <w:rFonts w:ascii="Arial" w:eastAsia="Calibri" w:hAnsi="Arial" w:cs="Arial"/>
          <w:b/>
        </w:rPr>
        <w:t>What number of cases relating to the Prevention and Combating of Corrupt Activities Act, Act 12 of 2004, as amended, have been referred to the (</w:t>
      </w:r>
      <w:proofErr w:type="spellStart"/>
      <w:r w:rsidRPr="00BD5B61">
        <w:rPr>
          <w:rFonts w:ascii="Arial" w:eastAsia="Calibri" w:hAnsi="Arial" w:cs="Arial"/>
          <w:b/>
        </w:rPr>
        <w:t>i</w:t>
      </w:r>
      <w:proofErr w:type="spellEnd"/>
      <w:r w:rsidRPr="00BD5B61">
        <w:rPr>
          <w:rFonts w:ascii="Arial" w:eastAsia="Calibri" w:hAnsi="Arial" w:cs="Arial"/>
          <w:b/>
        </w:rPr>
        <w:t>) SA Police Service (SAPS) and (ii) Directorate for Priority Crime Investigation (DPCI) by (</w:t>
      </w:r>
      <w:proofErr w:type="spellStart"/>
      <w:r w:rsidRPr="00BD5B61">
        <w:rPr>
          <w:rFonts w:ascii="Arial" w:eastAsia="Calibri" w:hAnsi="Arial" w:cs="Arial"/>
          <w:b/>
        </w:rPr>
        <w:t>aa</w:t>
      </w:r>
      <w:proofErr w:type="spellEnd"/>
      <w:r w:rsidRPr="00BD5B61">
        <w:rPr>
          <w:rFonts w:ascii="Arial" w:eastAsia="Calibri" w:hAnsi="Arial" w:cs="Arial"/>
          <w:b/>
        </w:rPr>
        <w:t>) her department and (bb) each entity reporting to her for further investigation since the Act was assented to and (b) what number of the specified cases have (</w:t>
      </w:r>
      <w:proofErr w:type="spellStart"/>
      <w:r w:rsidRPr="00BD5B61">
        <w:rPr>
          <w:rFonts w:ascii="Arial" w:eastAsia="Calibri" w:hAnsi="Arial" w:cs="Arial"/>
          <w:b/>
        </w:rPr>
        <w:t>i</w:t>
      </w:r>
      <w:proofErr w:type="spellEnd"/>
      <w:r w:rsidRPr="00BD5B61">
        <w:rPr>
          <w:rFonts w:ascii="Arial" w:eastAsia="Calibri" w:hAnsi="Arial" w:cs="Arial"/>
          <w:b/>
        </w:rPr>
        <w:t>) been investigated by SAPS and DPCI, (ii) been followed up by the respective accounting officers and (iii) resulted in a conviction in each specified financial year since 2004?”</w:t>
      </w:r>
    </w:p>
    <w:p w:rsidR="00BD5B61" w:rsidRPr="00BD5B61" w:rsidRDefault="00BD5B61" w:rsidP="00BD5B61">
      <w:pPr>
        <w:spacing w:after="0" w:line="360" w:lineRule="auto"/>
        <w:ind w:left="750"/>
        <w:contextualSpacing/>
        <w:jc w:val="right"/>
        <w:rPr>
          <w:rFonts w:ascii="Arial" w:eastAsia="Calibri" w:hAnsi="Arial" w:cs="Arial"/>
          <w:b/>
        </w:rPr>
      </w:pPr>
      <w:r w:rsidRPr="00BD5B61">
        <w:rPr>
          <w:rFonts w:ascii="Arial" w:eastAsia="Calibri" w:hAnsi="Arial" w:cs="Arial"/>
          <w:b/>
        </w:rPr>
        <w:t xml:space="preserve"> NW1815E</w:t>
      </w:r>
    </w:p>
    <w:p w:rsidR="000A0E43" w:rsidRPr="000F74D1" w:rsidRDefault="000A0E43" w:rsidP="000A0E43">
      <w:pPr>
        <w:spacing w:after="0" w:line="360" w:lineRule="auto"/>
        <w:jc w:val="right"/>
        <w:rPr>
          <w:rFonts w:ascii="Arial" w:hAnsi="Arial" w:cs="Arial"/>
          <w:b/>
        </w:rPr>
      </w:pPr>
    </w:p>
    <w:p w:rsidR="000A0E43" w:rsidRPr="000A0E43" w:rsidRDefault="00BE01E3" w:rsidP="000A0E43">
      <w:pPr>
        <w:spacing w:after="0" w:line="360" w:lineRule="auto"/>
        <w:rPr>
          <w:rFonts w:ascii="Arial" w:hAnsi="Arial" w:cs="Arial"/>
          <w:b/>
        </w:rPr>
      </w:pPr>
      <w:r w:rsidRPr="0099546F">
        <w:rPr>
          <w:rFonts w:ascii="Arial" w:hAnsi="Arial" w:cs="Arial"/>
          <w:b/>
        </w:rPr>
        <w:t>REPLY:</w:t>
      </w:r>
    </w:p>
    <w:p w:rsidR="000A0E43" w:rsidRPr="00BD5B61" w:rsidRDefault="000A0E43" w:rsidP="000A0E43">
      <w:pPr>
        <w:spacing w:after="0" w:line="360" w:lineRule="auto"/>
        <w:rPr>
          <w:rFonts w:ascii="Arial" w:hAnsi="Arial" w:cs="Arial"/>
          <w:b/>
          <w:bCs/>
        </w:rPr>
      </w:pPr>
    </w:p>
    <w:p w:rsidR="005820B0" w:rsidRDefault="00BD5B61" w:rsidP="005820B0">
      <w:pPr>
        <w:spacing w:after="0" w:line="360" w:lineRule="auto"/>
        <w:ind w:left="1276" w:hanging="1276"/>
        <w:jc w:val="both"/>
        <w:rPr>
          <w:rFonts w:ascii="Arial" w:hAnsi="Arial" w:cs="Arial"/>
          <w:b/>
          <w:bCs/>
          <w:u w:val="single"/>
        </w:rPr>
      </w:pPr>
      <w:r w:rsidRPr="00BD5B61">
        <w:rPr>
          <w:rFonts w:ascii="Arial" w:hAnsi="Arial" w:cs="Arial"/>
          <w:b/>
          <w:bCs/>
          <w:u w:val="single"/>
        </w:rPr>
        <w:t>The Department of Small Business and Development Business Development (DSBD)</w:t>
      </w:r>
    </w:p>
    <w:p w:rsidR="005820B0" w:rsidRPr="005820B0" w:rsidRDefault="005820B0" w:rsidP="005820B0">
      <w:pPr>
        <w:pStyle w:val="ListParagraph"/>
        <w:spacing w:after="0" w:line="360" w:lineRule="auto"/>
        <w:ind w:left="851" w:hanging="851"/>
        <w:jc w:val="both"/>
        <w:rPr>
          <w:rFonts w:ascii="Arial" w:hAnsi="Arial" w:cs="Arial"/>
          <w:bCs/>
          <w:u w:val="single"/>
        </w:rPr>
      </w:pPr>
      <w:r w:rsidRPr="005820B0">
        <w:rPr>
          <w:rFonts w:ascii="Arial" w:eastAsia="Calibri" w:hAnsi="Arial" w:cs="Arial"/>
        </w:rPr>
        <w:t>(</w:t>
      </w:r>
      <w:proofErr w:type="spellStart"/>
      <w:proofErr w:type="gramStart"/>
      <w:r w:rsidRPr="005820B0">
        <w:rPr>
          <w:rFonts w:ascii="Arial" w:eastAsia="Calibri" w:hAnsi="Arial" w:cs="Arial"/>
        </w:rPr>
        <w:t>i</w:t>
      </w:r>
      <w:proofErr w:type="spellEnd"/>
      <w:proofErr w:type="gramEnd"/>
      <w:r w:rsidRPr="005820B0">
        <w:rPr>
          <w:rFonts w:ascii="Arial" w:eastAsia="Calibri" w:hAnsi="Arial" w:cs="Arial"/>
        </w:rPr>
        <w:t>)(</w:t>
      </w:r>
      <w:proofErr w:type="spellStart"/>
      <w:proofErr w:type="gramStart"/>
      <w:r w:rsidRPr="005820B0">
        <w:rPr>
          <w:rFonts w:ascii="Arial" w:eastAsia="Calibri" w:hAnsi="Arial" w:cs="Arial"/>
        </w:rPr>
        <w:t>aa</w:t>
      </w:r>
      <w:proofErr w:type="spellEnd"/>
      <w:proofErr w:type="gramEnd"/>
      <w:r w:rsidRPr="005820B0">
        <w:rPr>
          <w:rFonts w:ascii="Arial" w:eastAsia="Calibri" w:hAnsi="Arial" w:cs="Arial"/>
        </w:rPr>
        <w:t>)</w:t>
      </w:r>
      <w:r w:rsidRPr="005820B0">
        <w:rPr>
          <w:rFonts w:ascii="Arial" w:eastAsia="Calibri" w:hAnsi="Arial" w:cs="Arial"/>
        </w:rPr>
        <w:tab/>
        <w:t>None. The investigations did not conclude recommendations for criminal prosecution.</w:t>
      </w:r>
    </w:p>
    <w:p w:rsidR="005820B0" w:rsidRPr="005820B0" w:rsidRDefault="005820B0" w:rsidP="005820B0">
      <w:pPr>
        <w:pStyle w:val="ListParagraph"/>
        <w:spacing w:after="0" w:line="360" w:lineRule="auto"/>
        <w:ind w:left="851" w:hanging="851"/>
        <w:jc w:val="both"/>
        <w:rPr>
          <w:rFonts w:ascii="Arial" w:hAnsi="Arial" w:cs="Arial"/>
          <w:bCs/>
        </w:rPr>
      </w:pPr>
      <w:r>
        <w:rPr>
          <w:rFonts w:ascii="Arial" w:hAnsi="Arial" w:cs="Arial"/>
          <w:bCs/>
        </w:rPr>
        <w:t>(ii)(</w:t>
      </w:r>
      <w:proofErr w:type="spellStart"/>
      <w:proofErr w:type="gramStart"/>
      <w:r>
        <w:rPr>
          <w:rFonts w:ascii="Arial" w:hAnsi="Arial" w:cs="Arial"/>
          <w:bCs/>
        </w:rPr>
        <w:t>aa</w:t>
      </w:r>
      <w:proofErr w:type="spellEnd"/>
      <w:proofErr w:type="gramEnd"/>
      <w:r>
        <w:rPr>
          <w:rFonts w:ascii="Arial" w:hAnsi="Arial" w:cs="Arial"/>
          <w:bCs/>
        </w:rPr>
        <w:t>)</w:t>
      </w:r>
      <w:r>
        <w:rPr>
          <w:rFonts w:ascii="Arial" w:hAnsi="Arial" w:cs="Arial"/>
          <w:bCs/>
        </w:rPr>
        <w:tab/>
        <w:t>None.</w:t>
      </w:r>
    </w:p>
    <w:p w:rsidR="00BD5B61" w:rsidRDefault="00BD5B61" w:rsidP="005820B0">
      <w:pPr>
        <w:spacing w:after="0" w:line="360" w:lineRule="auto"/>
        <w:jc w:val="both"/>
        <w:rPr>
          <w:rFonts w:ascii="Arial" w:hAnsi="Arial" w:cs="Arial"/>
          <w:bCs/>
        </w:rPr>
      </w:pPr>
    </w:p>
    <w:p w:rsidR="005820B0" w:rsidRDefault="005820B0" w:rsidP="005820B0">
      <w:pPr>
        <w:spacing w:after="0" w:line="360" w:lineRule="auto"/>
        <w:jc w:val="both"/>
        <w:rPr>
          <w:rFonts w:ascii="Arial" w:hAnsi="Arial" w:cs="Arial"/>
          <w:bCs/>
        </w:rPr>
      </w:pPr>
      <w:r>
        <w:rPr>
          <w:rFonts w:ascii="Arial" w:hAnsi="Arial" w:cs="Arial"/>
          <w:bCs/>
        </w:rPr>
        <w:t>(b)(</w:t>
      </w:r>
      <w:proofErr w:type="spellStart"/>
      <w:r>
        <w:rPr>
          <w:rFonts w:ascii="Arial" w:hAnsi="Arial" w:cs="Arial"/>
          <w:bCs/>
        </w:rPr>
        <w:t>i</w:t>
      </w:r>
      <w:proofErr w:type="spellEnd"/>
      <w:r>
        <w:rPr>
          <w:rFonts w:ascii="Arial" w:hAnsi="Arial" w:cs="Arial"/>
          <w:bCs/>
        </w:rPr>
        <w:t>)</w:t>
      </w:r>
      <w:r>
        <w:rPr>
          <w:rFonts w:ascii="Arial" w:hAnsi="Arial" w:cs="Arial"/>
          <w:bCs/>
        </w:rPr>
        <w:tab/>
        <w:t>Not applicable.</w:t>
      </w:r>
    </w:p>
    <w:p w:rsidR="005820B0" w:rsidRDefault="005820B0" w:rsidP="005820B0">
      <w:pPr>
        <w:spacing w:after="0" w:line="360" w:lineRule="auto"/>
        <w:jc w:val="both"/>
        <w:rPr>
          <w:rFonts w:ascii="Arial" w:hAnsi="Arial" w:cs="Arial"/>
          <w:bCs/>
        </w:rPr>
      </w:pPr>
      <w:r>
        <w:rPr>
          <w:rFonts w:ascii="Arial" w:hAnsi="Arial" w:cs="Arial"/>
          <w:bCs/>
        </w:rPr>
        <w:t>(b)(ii)</w:t>
      </w:r>
      <w:r>
        <w:rPr>
          <w:rFonts w:ascii="Arial" w:hAnsi="Arial" w:cs="Arial"/>
          <w:bCs/>
        </w:rPr>
        <w:tab/>
        <w:t>Not applicable.</w:t>
      </w:r>
    </w:p>
    <w:p w:rsidR="005820B0" w:rsidRDefault="005820B0" w:rsidP="005820B0">
      <w:pPr>
        <w:spacing w:after="0" w:line="360" w:lineRule="auto"/>
        <w:jc w:val="both"/>
        <w:rPr>
          <w:rFonts w:ascii="Arial" w:hAnsi="Arial" w:cs="Arial"/>
          <w:bCs/>
        </w:rPr>
      </w:pPr>
      <w:r>
        <w:rPr>
          <w:rFonts w:ascii="Arial" w:hAnsi="Arial" w:cs="Arial"/>
          <w:bCs/>
        </w:rPr>
        <w:t>(b)(iii)</w:t>
      </w:r>
      <w:r>
        <w:rPr>
          <w:rFonts w:ascii="Arial" w:hAnsi="Arial" w:cs="Arial"/>
          <w:bCs/>
        </w:rPr>
        <w:tab/>
        <w:t>Not applicable.</w:t>
      </w:r>
    </w:p>
    <w:p w:rsidR="005820B0" w:rsidRDefault="005820B0" w:rsidP="005820B0">
      <w:pPr>
        <w:spacing w:after="0" w:line="360" w:lineRule="auto"/>
        <w:jc w:val="both"/>
        <w:rPr>
          <w:rFonts w:ascii="Arial" w:hAnsi="Arial" w:cs="Arial"/>
          <w:bCs/>
        </w:rPr>
      </w:pPr>
    </w:p>
    <w:p w:rsidR="005820B0" w:rsidRPr="00BD5B61" w:rsidRDefault="005820B0" w:rsidP="005820B0">
      <w:pPr>
        <w:spacing w:after="0" w:line="360" w:lineRule="auto"/>
        <w:jc w:val="both"/>
        <w:rPr>
          <w:rFonts w:ascii="Arial" w:hAnsi="Arial" w:cs="Arial"/>
          <w:bCs/>
        </w:rPr>
      </w:pPr>
    </w:p>
    <w:p w:rsidR="00BD5B61" w:rsidRDefault="00BD5B61" w:rsidP="006E266D">
      <w:pPr>
        <w:spacing w:after="0" w:line="360" w:lineRule="auto"/>
        <w:ind w:left="1276" w:hanging="1276"/>
        <w:jc w:val="both"/>
        <w:rPr>
          <w:rFonts w:ascii="Arial" w:hAnsi="Arial" w:cs="Arial"/>
          <w:b/>
          <w:bCs/>
          <w:u w:val="single"/>
        </w:rPr>
      </w:pPr>
      <w:r w:rsidRPr="00BD5B61">
        <w:rPr>
          <w:rFonts w:ascii="Arial" w:hAnsi="Arial" w:cs="Arial"/>
          <w:b/>
          <w:bCs/>
          <w:u w:val="single"/>
        </w:rPr>
        <w:t>The Small Enterprise Development Agency (SEDA)</w:t>
      </w:r>
    </w:p>
    <w:p w:rsidR="000410D8" w:rsidRDefault="000410D8" w:rsidP="000410D8">
      <w:pPr>
        <w:spacing w:after="0" w:line="360" w:lineRule="auto"/>
        <w:ind w:left="720" w:hanging="720"/>
        <w:jc w:val="both"/>
        <w:rPr>
          <w:rFonts w:ascii="Arial" w:hAnsi="Arial" w:cs="Arial"/>
          <w:bCs/>
        </w:rPr>
      </w:pPr>
      <w:r>
        <w:rPr>
          <w:rFonts w:ascii="Arial" w:hAnsi="Arial" w:cs="Arial"/>
          <w:bCs/>
        </w:rPr>
        <w:t>(</w:t>
      </w:r>
      <w:proofErr w:type="spellStart"/>
      <w:proofErr w:type="gramStart"/>
      <w:r>
        <w:rPr>
          <w:rFonts w:ascii="Arial" w:hAnsi="Arial" w:cs="Arial"/>
          <w:bCs/>
        </w:rPr>
        <w:t>i</w:t>
      </w:r>
      <w:proofErr w:type="spellEnd"/>
      <w:proofErr w:type="gramEnd"/>
      <w:r>
        <w:rPr>
          <w:rFonts w:ascii="Arial" w:hAnsi="Arial" w:cs="Arial"/>
          <w:bCs/>
        </w:rPr>
        <w:t>)(</w:t>
      </w:r>
      <w:proofErr w:type="gramStart"/>
      <w:r>
        <w:rPr>
          <w:rFonts w:ascii="Arial" w:hAnsi="Arial" w:cs="Arial"/>
          <w:bCs/>
        </w:rPr>
        <w:t>bb</w:t>
      </w:r>
      <w:proofErr w:type="gramEnd"/>
      <w:r>
        <w:rPr>
          <w:rFonts w:ascii="Arial" w:hAnsi="Arial" w:cs="Arial"/>
          <w:bCs/>
        </w:rPr>
        <w:t xml:space="preserve">) </w:t>
      </w:r>
      <w:r>
        <w:rPr>
          <w:rFonts w:ascii="Arial" w:hAnsi="Arial" w:cs="Arial"/>
          <w:bCs/>
        </w:rPr>
        <w:tab/>
        <w:t xml:space="preserve">Two (2) cases were reported to the South African Police Service (SAPS). There are additional two (2) cases </w:t>
      </w:r>
      <w:r w:rsidRPr="000410D8">
        <w:rPr>
          <w:rFonts w:ascii="Arial" w:hAnsi="Arial" w:cs="Arial"/>
          <w:bCs/>
        </w:rPr>
        <w:t>that management still needs to implement the recommendations and open criminal cases with the SAPS.</w:t>
      </w:r>
    </w:p>
    <w:p w:rsidR="000410D8" w:rsidRDefault="000410D8" w:rsidP="000410D8">
      <w:pPr>
        <w:spacing w:after="0" w:line="360" w:lineRule="auto"/>
        <w:jc w:val="both"/>
        <w:rPr>
          <w:rFonts w:ascii="Arial" w:hAnsi="Arial" w:cs="Arial"/>
          <w:bCs/>
        </w:rPr>
      </w:pPr>
      <w:r>
        <w:rPr>
          <w:rFonts w:ascii="Arial" w:hAnsi="Arial" w:cs="Arial"/>
          <w:bCs/>
        </w:rPr>
        <w:t>(ii)(</w:t>
      </w:r>
      <w:proofErr w:type="gramStart"/>
      <w:r>
        <w:rPr>
          <w:rFonts w:ascii="Arial" w:hAnsi="Arial" w:cs="Arial"/>
          <w:bCs/>
        </w:rPr>
        <w:t>bb</w:t>
      </w:r>
      <w:proofErr w:type="gramEnd"/>
      <w:r>
        <w:rPr>
          <w:rFonts w:ascii="Arial" w:hAnsi="Arial" w:cs="Arial"/>
          <w:bCs/>
        </w:rPr>
        <w:t>)</w:t>
      </w:r>
      <w:r>
        <w:rPr>
          <w:rFonts w:ascii="Arial" w:hAnsi="Arial" w:cs="Arial"/>
          <w:bCs/>
        </w:rPr>
        <w:tab/>
        <w:t>None.</w:t>
      </w:r>
    </w:p>
    <w:p w:rsidR="000410D8" w:rsidRDefault="000410D8" w:rsidP="000410D8">
      <w:pPr>
        <w:spacing w:after="0" w:line="360" w:lineRule="auto"/>
        <w:jc w:val="both"/>
        <w:rPr>
          <w:rFonts w:ascii="Arial" w:hAnsi="Arial" w:cs="Arial"/>
          <w:bCs/>
        </w:rPr>
      </w:pPr>
    </w:p>
    <w:p w:rsidR="005820B0" w:rsidRDefault="000410D8" w:rsidP="00582581">
      <w:pPr>
        <w:spacing w:after="0" w:line="360" w:lineRule="auto"/>
        <w:ind w:left="720" w:hanging="720"/>
        <w:jc w:val="both"/>
        <w:rPr>
          <w:rFonts w:ascii="Arial" w:hAnsi="Arial" w:cs="Arial"/>
          <w:bCs/>
        </w:rPr>
      </w:pPr>
      <w:r>
        <w:rPr>
          <w:rFonts w:ascii="Arial" w:hAnsi="Arial" w:cs="Arial"/>
          <w:bCs/>
        </w:rPr>
        <w:lastRenderedPageBreak/>
        <w:t>(b)(</w:t>
      </w:r>
      <w:proofErr w:type="spellStart"/>
      <w:r>
        <w:rPr>
          <w:rFonts w:ascii="Arial" w:hAnsi="Arial" w:cs="Arial"/>
          <w:bCs/>
        </w:rPr>
        <w:t>i</w:t>
      </w:r>
      <w:proofErr w:type="spellEnd"/>
      <w:r>
        <w:rPr>
          <w:rFonts w:ascii="Arial" w:hAnsi="Arial" w:cs="Arial"/>
          <w:bCs/>
        </w:rPr>
        <w:t>)</w:t>
      </w:r>
      <w:r w:rsidR="00582581">
        <w:rPr>
          <w:rFonts w:ascii="Arial" w:hAnsi="Arial" w:cs="Arial"/>
          <w:bCs/>
        </w:rPr>
        <w:tab/>
        <w:t>With regard to the two (2) cases reported to the SAPS, i</w:t>
      </w:r>
      <w:r w:rsidRPr="000410D8">
        <w:rPr>
          <w:rFonts w:ascii="Arial" w:hAnsi="Arial" w:cs="Arial"/>
          <w:bCs/>
        </w:rPr>
        <w:t xml:space="preserve">nternal investigations concluded and recommendations have been given to management for implementation and improvement of the control environment. </w:t>
      </w:r>
      <w:r w:rsidR="00582581">
        <w:rPr>
          <w:rFonts w:ascii="Arial" w:hAnsi="Arial" w:cs="Arial"/>
          <w:bCs/>
        </w:rPr>
        <w:t xml:space="preserve"> </w:t>
      </w:r>
      <w:r w:rsidRPr="000410D8">
        <w:rPr>
          <w:rFonts w:ascii="Arial" w:hAnsi="Arial" w:cs="Arial"/>
          <w:bCs/>
        </w:rPr>
        <w:t xml:space="preserve">Further investigations are continuing with the SAPS. </w:t>
      </w:r>
    </w:p>
    <w:p w:rsidR="005820B0" w:rsidRDefault="005820B0" w:rsidP="005820B0">
      <w:pPr>
        <w:spacing w:after="0" w:line="360" w:lineRule="auto"/>
        <w:jc w:val="both"/>
        <w:rPr>
          <w:rFonts w:ascii="Arial" w:hAnsi="Arial" w:cs="Arial"/>
          <w:bCs/>
        </w:rPr>
      </w:pPr>
      <w:r>
        <w:rPr>
          <w:rFonts w:ascii="Arial" w:hAnsi="Arial" w:cs="Arial"/>
          <w:bCs/>
        </w:rPr>
        <w:t>(b)(ii)</w:t>
      </w:r>
      <w:r>
        <w:rPr>
          <w:rFonts w:ascii="Arial" w:hAnsi="Arial" w:cs="Arial"/>
          <w:bCs/>
        </w:rPr>
        <w:tab/>
      </w:r>
      <w:r w:rsidR="00582581">
        <w:rPr>
          <w:rFonts w:ascii="Arial" w:hAnsi="Arial" w:cs="Arial"/>
          <w:bCs/>
        </w:rPr>
        <w:t>Refer to (b</w:t>
      </w:r>
      <w:proofErr w:type="gramStart"/>
      <w:r w:rsidR="00582581">
        <w:rPr>
          <w:rFonts w:ascii="Arial" w:hAnsi="Arial" w:cs="Arial"/>
          <w:bCs/>
        </w:rPr>
        <w:t>)(</w:t>
      </w:r>
      <w:proofErr w:type="spellStart"/>
      <w:proofErr w:type="gramEnd"/>
      <w:r w:rsidR="00582581">
        <w:rPr>
          <w:rFonts w:ascii="Arial" w:hAnsi="Arial" w:cs="Arial"/>
          <w:bCs/>
        </w:rPr>
        <w:t>i</w:t>
      </w:r>
      <w:proofErr w:type="spellEnd"/>
      <w:r w:rsidR="00582581">
        <w:rPr>
          <w:rFonts w:ascii="Arial" w:hAnsi="Arial" w:cs="Arial"/>
          <w:bCs/>
        </w:rPr>
        <w:t>)</w:t>
      </w:r>
      <w:r>
        <w:rPr>
          <w:rFonts w:ascii="Arial" w:hAnsi="Arial" w:cs="Arial"/>
          <w:bCs/>
        </w:rPr>
        <w:t>.</w:t>
      </w:r>
    </w:p>
    <w:p w:rsidR="005820B0" w:rsidRDefault="005820B0" w:rsidP="005820B0">
      <w:pPr>
        <w:spacing w:after="0" w:line="360" w:lineRule="auto"/>
        <w:jc w:val="both"/>
        <w:rPr>
          <w:rFonts w:ascii="Arial" w:hAnsi="Arial" w:cs="Arial"/>
          <w:bCs/>
        </w:rPr>
      </w:pPr>
      <w:r>
        <w:rPr>
          <w:rFonts w:ascii="Arial" w:hAnsi="Arial" w:cs="Arial"/>
          <w:bCs/>
        </w:rPr>
        <w:t>(b)(iii)</w:t>
      </w:r>
      <w:r>
        <w:rPr>
          <w:rFonts w:ascii="Arial" w:hAnsi="Arial" w:cs="Arial"/>
          <w:bCs/>
        </w:rPr>
        <w:tab/>
      </w:r>
      <w:r w:rsidR="00582581">
        <w:rPr>
          <w:rFonts w:ascii="Arial" w:hAnsi="Arial" w:cs="Arial"/>
          <w:bCs/>
        </w:rPr>
        <w:t>Refer to (b</w:t>
      </w:r>
      <w:proofErr w:type="gramStart"/>
      <w:r w:rsidR="00582581">
        <w:rPr>
          <w:rFonts w:ascii="Arial" w:hAnsi="Arial" w:cs="Arial"/>
          <w:bCs/>
        </w:rPr>
        <w:t>)(</w:t>
      </w:r>
      <w:proofErr w:type="spellStart"/>
      <w:proofErr w:type="gramEnd"/>
      <w:r w:rsidR="00582581">
        <w:rPr>
          <w:rFonts w:ascii="Arial" w:hAnsi="Arial" w:cs="Arial"/>
          <w:bCs/>
        </w:rPr>
        <w:t>i</w:t>
      </w:r>
      <w:proofErr w:type="spellEnd"/>
      <w:r w:rsidR="00582581">
        <w:rPr>
          <w:rFonts w:ascii="Arial" w:hAnsi="Arial" w:cs="Arial"/>
          <w:bCs/>
        </w:rPr>
        <w:t>)</w:t>
      </w:r>
      <w:r>
        <w:rPr>
          <w:rFonts w:ascii="Arial" w:hAnsi="Arial" w:cs="Arial"/>
          <w:bCs/>
        </w:rPr>
        <w:t>.</w:t>
      </w:r>
    </w:p>
    <w:p w:rsidR="00BD5B61" w:rsidRPr="00BD5B61" w:rsidRDefault="00BD5B61" w:rsidP="006E266D">
      <w:pPr>
        <w:spacing w:after="0" w:line="360" w:lineRule="auto"/>
        <w:ind w:left="1276" w:hanging="1276"/>
        <w:jc w:val="both"/>
        <w:rPr>
          <w:rFonts w:ascii="Arial" w:hAnsi="Arial" w:cs="Arial"/>
          <w:bCs/>
        </w:rPr>
      </w:pPr>
    </w:p>
    <w:p w:rsidR="00BD5B61" w:rsidRPr="00BD5B61" w:rsidRDefault="00BD5B61" w:rsidP="006E266D">
      <w:pPr>
        <w:spacing w:after="0" w:line="360" w:lineRule="auto"/>
        <w:ind w:left="1276" w:hanging="1276"/>
        <w:jc w:val="both"/>
        <w:rPr>
          <w:rFonts w:ascii="Arial" w:hAnsi="Arial" w:cs="Arial"/>
          <w:b/>
          <w:bCs/>
          <w:u w:val="single"/>
        </w:rPr>
      </w:pPr>
      <w:r w:rsidRPr="00BD5B61">
        <w:rPr>
          <w:rFonts w:ascii="Arial" w:hAnsi="Arial" w:cs="Arial"/>
          <w:b/>
          <w:bCs/>
          <w:u w:val="single"/>
        </w:rPr>
        <w:t>The Small Enterprise Finance Agency (SEFA)</w:t>
      </w:r>
    </w:p>
    <w:p w:rsidR="005820B0" w:rsidRPr="005820B0" w:rsidRDefault="005820B0" w:rsidP="005820B0">
      <w:pPr>
        <w:pStyle w:val="ListParagraph"/>
        <w:spacing w:after="0" w:line="360" w:lineRule="auto"/>
        <w:ind w:left="851" w:hanging="851"/>
        <w:jc w:val="both"/>
        <w:rPr>
          <w:rFonts w:ascii="Arial" w:hAnsi="Arial" w:cs="Arial"/>
          <w:bCs/>
          <w:u w:val="single"/>
        </w:rPr>
      </w:pPr>
      <w:r>
        <w:rPr>
          <w:rFonts w:ascii="Arial" w:eastAsia="Calibri" w:hAnsi="Arial" w:cs="Arial"/>
        </w:rPr>
        <w:t>(</w:t>
      </w:r>
      <w:proofErr w:type="spellStart"/>
      <w:proofErr w:type="gramStart"/>
      <w:r>
        <w:rPr>
          <w:rFonts w:ascii="Arial" w:eastAsia="Calibri" w:hAnsi="Arial" w:cs="Arial"/>
        </w:rPr>
        <w:t>i</w:t>
      </w:r>
      <w:proofErr w:type="spellEnd"/>
      <w:proofErr w:type="gramEnd"/>
      <w:r>
        <w:rPr>
          <w:rFonts w:ascii="Arial" w:eastAsia="Calibri" w:hAnsi="Arial" w:cs="Arial"/>
        </w:rPr>
        <w:t>)(</w:t>
      </w:r>
      <w:proofErr w:type="gramStart"/>
      <w:r>
        <w:rPr>
          <w:rFonts w:ascii="Arial" w:eastAsia="Calibri" w:hAnsi="Arial" w:cs="Arial"/>
        </w:rPr>
        <w:t>bb</w:t>
      </w:r>
      <w:proofErr w:type="gramEnd"/>
      <w:r w:rsidRPr="005820B0">
        <w:rPr>
          <w:rFonts w:ascii="Arial" w:eastAsia="Calibri" w:hAnsi="Arial" w:cs="Arial"/>
        </w:rPr>
        <w:t>)</w:t>
      </w:r>
      <w:r w:rsidRPr="005820B0">
        <w:rPr>
          <w:rFonts w:ascii="Arial" w:eastAsia="Calibri" w:hAnsi="Arial" w:cs="Arial"/>
        </w:rPr>
        <w:tab/>
      </w:r>
      <w:r w:rsidR="00582581">
        <w:rPr>
          <w:rFonts w:ascii="Arial" w:eastAsia="Calibri" w:hAnsi="Arial" w:cs="Arial"/>
        </w:rPr>
        <w:t xml:space="preserve">Eight (8) Criminal cases of fraud have been opened by SEFA since its establishment in April 2012.  These have been opened with the SAPS and investigated by the Commercial Crimes Unit.  </w:t>
      </w:r>
    </w:p>
    <w:p w:rsidR="005820B0" w:rsidRPr="005820B0" w:rsidRDefault="005820B0" w:rsidP="005820B0">
      <w:pPr>
        <w:pStyle w:val="ListParagraph"/>
        <w:spacing w:after="0" w:line="360" w:lineRule="auto"/>
        <w:ind w:left="851" w:hanging="851"/>
        <w:jc w:val="both"/>
        <w:rPr>
          <w:rFonts w:ascii="Arial" w:hAnsi="Arial" w:cs="Arial"/>
          <w:bCs/>
        </w:rPr>
      </w:pPr>
      <w:r>
        <w:rPr>
          <w:rFonts w:ascii="Arial" w:hAnsi="Arial" w:cs="Arial"/>
          <w:bCs/>
        </w:rPr>
        <w:t>(ii)(</w:t>
      </w:r>
      <w:proofErr w:type="gramStart"/>
      <w:r>
        <w:rPr>
          <w:rFonts w:ascii="Arial" w:hAnsi="Arial" w:cs="Arial"/>
          <w:bCs/>
        </w:rPr>
        <w:t>bb</w:t>
      </w:r>
      <w:proofErr w:type="gramEnd"/>
      <w:r>
        <w:rPr>
          <w:rFonts w:ascii="Arial" w:hAnsi="Arial" w:cs="Arial"/>
          <w:bCs/>
        </w:rPr>
        <w:t>)</w:t>
      </w:r>
      <w:r>
        <w:rPr>
          <w:rFonts w:ascii="Arial" w:hAnsi="Arial" w:cs="Arial"/>
          <w:bCs/>
        </w:rPr>
        <w:tab/>
        <w:t>None.</w:t>
      </w:r>
    </w:p>
    <w:p w:rsidR="005820B0" w:rsidRDefault="005820B0" w:rsidP="005820B0">
      <w:pPr>
        <w:spacing w:after="0" w:line="360" w:lineRule="auto"/>
        <w:jc w:val="both"/>
        <w:rPr>
          <w:rFonts w:ascii="Arial" w:hAnsi="Arial" w:cs="Arial"/>
          <w:bCs/>
        </w:rPr>
      </w:pPr>
    </w:p>
    <w:p w:rsidR="005820B0" w:rsidRDefault="005820B0" w:rsidP="005820B0">
      <w:pPr>
        <w:spacing w:after="0" w:line="360" w:lineRule="auto"/>
        <w:jc w:val="both"/>
        <w:rPr>
          <w:rFonts w:ascii="Arial" w:hAnsi="Arial" w:cs="Arial"/>
          <w:bCs/>
        </w:rPr>
      </w:pPr>
      <w:r>
        <w:rPr>
          <w:rFonts w:ascii="Arial" w:hAnsi="Arial" w:cs="Arial"/>
          <w:bCs/>
        </w:rPr>
        <w:t>(b)(</w:t>
      </w:r>
      <w:proofErr w:type="spellStart"/>
      <w:proofErr w:type="gramStart"/>
      <w:r>
        <w:rPr>
          <w:rFonts w:ascii="Arial" w:hAnsi="Arial" w:cs="Arial"/>
          <w:bCs/>
        </w:rPr>
        <w:t>i</w:t>
      </w:r>
      <w:proofErr w:type="spellEnd"/>
      <w:proofErr w:type="gramEnd"/>
      <w:r>
        <w:rPr>
          <w:rFonts w:ascii="Arial" w:hAnsi="Arial" w:cs="Arial"/>
          <w:bCs/>
        </w:rPr>
        <w:t>)</w:t>
      </w:r>
      <w:r>
        <w:rPr>
          <w:rFonts w:ascii="Arial" w:hAnsi="Arial" w:cs="Arial"/>
          <w:bCs/>
        </w:rPr>
        <w:tab/>
      </w:r>
      <w:r w:rsidR="00582581">
        <w:rPr>
          <w:rFonts w:ascii="Arial" w:eastAsia="Calibri" w:hAnsi="Arial" w:cs="Arial"/>
        </w:rPr>
        <w:t>Eight (8) Criminal cases of fraud have been opened by SEFA</w:t>
      </w:r>
      <w:r>
        <w:rPr>
          <w:rFonts w:ascii="Arial" w:hAnsi="Arial" w:cs="Arial"/>
          <w:bCs/>
        </w:rPr>
        <w:t>.</w:t>
      </w:r>
    </w:p>
    <w:p w:rsidR="005820B0" w:rsidRDefault="005820B0" w:rsidP="00582581">
      <w:pPr>
        <w:spacing w:after="0" w:line="360" w:lineRule="auto"/>
        <w:ind w:left="720" w:hanging="720"/>
        <w:jc w:val="both"/>
        <w:rPr>
          <w:rFonts w:ascii="Arial" w:hAnsi="Arial" w:cs="Arial"/>
          <w:bCs/>
        </w:rPr>
      </w:pPr>
      <w:r>
        <w:rPr>
          <w:rFonts w:ascii="Arial" w:hAnsi="Arial" w:cs="Arial"/>
          <w:bCs/>
        </w:rPr>
        <w:t>(b)(ii)</w:t>
      </w:r>
      <w:r>
        <w:rPr>
          <w:rFonts w:ascii="Arial" w:hAnsi="Arial" w:cs="Arial"/>
          <w:bCs/>
        </w:rPr>
        <w:tab/>
      </w:r>
      <w:r w:rsidR="00582581">
        <w:rPr>
          <w:rFonts w:ascii="Arial" w:hAnsi="Arial" w:cs="Arial"/>
          <w:bCs/>
        </w:rPr>
        <w:t>On-going follow-up is done with the Commercial Crimes Unit through SEFA’s Internal Audit Department</w:t>
      </w:r>
      <w:r>
        <w:rPr>
          <w:rFonts w:ascii="Arial" w:hAnsi="Arial" w:cs="Arial"/>
          <w:bCs/>
        </w:rPr>
        <w:t>.</w:t>
      </w:r>
    </w:p>
    <w:p w:rsidR="005820B0" w:rsidRDefault="005820B0" w:rsidP="005820B0">
      <w:pPr>
        <w:spacing w:after="0" w:line="360" w:lineRule="auto"/>
        <w:jc w:val="both"/>
        <w:rPr>
          <w:rFonts w:ascii="Arial" w:hAnsi="Arial" w:cs="Arial"/>
          <w:bCs/>
        </w:rPr>
      </w:pPr>
      <w:r>
        <w:rPr>
          <w:rFonts w:ascii="Arial" w:hAnsi="Arial" w:cs="Arial"/>
          <w:bCs/>
        </w:rPr>
        <w:t>(b)(iii)</w:t>
      </w:r>
      <w:r>
        <w:rPr>
          <w:rFonts w:ascii="Arial" w:hAnsi="Arial" w:cs="Arial"/>
          <w:bCs/>
        </w:rPr>
        <w:tab/>
      </w:r>
      <w:r w:rsidR="00582581">
        <w:rPr>
          <w:rFonts w:ascii="Arial" w:hAnsi="Arial" w:cs="Arial"/>
          <w:bCs/>
        </w:rPr>
        <w:t>To date, there have been no convictions in relation to the cases opened.</w:t>
      </w:r>
      <w:bookmarkStart w:id="0" w:name="_GoBack"/>
      <w:bookmarkEnd w:id="0"/>
    </w:p>
    <w:sectPr w:rsidR="005820B0"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24" w:rsidRDefault="00EE4524" w:rsidP="004508F4">
      <w:pPr>
        <w:spacing w:after="0" w:line="240" w:lineRule="auto"/>
      </w:pPr>
      <w:r>
        <w:separator/>
      </w:r>
    </w:p>
  </w:endnote>
  <w:endnote w:type="continuationSeparator" w:id="0">
    <w:p w:rsidR="00EE4524" w:rsidRDefault="00EE4524"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BD5B61">
      <w:rPr>
        <w:sz w:val="16"/>
        <w:szCs w:val="16"/>
      </w:rPr>
      <w:t>Response to WPQ1665</w:t>
    </w:r>
    <w:r w:rsidR="006E266D">
      <w:rPr>
        <w:sz w:val="16"/>
        <w:szCs w:val="16"/>
      </w:rPr>
      <w:t>– NW</w:t>
    </w:r>
    <w:r w:rsidR="00BD5B61">
      <w:rPr>
        <w:sz w:val="16"/>
        <w:szCs w:val="16"/>
      </w:rPr>
      <w:t>1815</w:t>
    </w:r>
    <w:r w:rsidR="006E266D">
      <w:rPr>
        <w:sz w:val="16"/>
        <w:szCs w:val="16"/>
      </w:rPr>
      <w:t>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24" w:rsidRDefault="00EE4524" w:rsidP="004508F4">
      <w:pPr>
        <w:spacing w:after="0" w:line="240" w:lineRule="auto"/>
      </w:pPr>
      <w:r>
        <w:separator/>
      </w:r>
    </w:p>
  </w:footnote>
  <w:footnote w:type="continuationSeparator" w:id="0">
    <w:p w:rsidR="00EE4524" w:rsidRDefault="00EE4524"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4628B"/>
    <w:multiLevelType w:val="hybridMultilevel"/>
    <w:tmpl w:val="815E80EC"/>
    <w:lvl w:ilvl="0" w:tplc="F25E8414">
      <w:start w:val="1"/>
      <w:numFmt w:val="lowerRoman"/>
      <w:lvlText w:val="(%1)"/>
      <w:lvlJc w:val="left"/>
      <w:pPr>
        <w:ind w:left="1080" w:hanging="720"/>
      </w:pPr>
      <w:rPr>
        <w:rFonts w:eastAsia="Calibri" w:hint="default"/>
        <w:color w:val="FF000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410D8"/>
    <w:rsid w:val="00071BF6"/>
    <w:rsid w:val="000A0E43"/>
    <w:rsid w:val="000E6AC2"/>
    <w:rsid w:val="000F74D1"/>
    <w:rsid w:val="001908C9"/>
    <w:rsid w:val="001B35A6"/>
    <w:rsid w:val="001D49B3"/>
    <w:rsid w:val="002806CE"/>
    <w:rsid w:val="002F2186"/>
    <w:rsid w:val="004508F4"/>
    <w:rsid w:val="004E1DB8"/>
    <w:rsid w:val="004F79B5"/>
    <w:rsid w:val="00512D7B"/>
    <w:rsid w:val="00520FA5"/>
    <w:rsid w:val="005820B0"/>
    <w:rsid w:val="00582581"/>
    <w:rsid w:val="006E266D"/>
    <w:rsid w:val="00773D83"/>
    <w:rsid w:val="0099546F"/>
    <w:rsid w:val="00995646"/>
    <w:rsid w:val="009D403F"/>
    <w:rsid w:val="00A41EB4"/>
    <w:rsid w:val="00B971E0"/>
    <w:rsid w:val="00BD58D6"/>
    <w:rsid w:val="00BD5B61"/>
    <w:rsid w:val="00BE01E3"/>
    <w:rsid w:val="00CB05DD"/>
    <w:rsid w:val="00EE068C"/>
    <w:rsid w:val="00EE4524"/>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B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CD86-B1CD-4185-9075-10B80D02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5</cp:revision>
  <cp:lastPrinted>2018-07-09T13:54:00Z</cp:lastPrinted>
  <dcterms:created xsi:type="dcterms:W3CDTF">2018-07-09T12:58:00Z</dcterms:created>
  <dcterms:modified xsi:type="dcterms:W3CDTF">2018-07-31T08:52:00Z</dcterms:modified>
</cp:coreProperties>
</file>