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3F" w:rsidRDefault="001A4E3F" w:rsidP="001A4E3F">
      <w:pPr>
        <w:spacing w:after="200" w:line="276" w:lineRule="auto"/>
        <w:rPr>
          <w:rFonts w:ascii="Arial" w:eastAsia="Calibri" w:hAnsi="Arial" w:cs="Arial"/>
          <w:b/>
          <w:bCs/>
          <w:lang w:val="en-ZA"/>
        </w:rPr>
      </w:pPr>
    </w:p>
    <w:p w:rsidR="001A4E3F" w:rsidRDefault="00ED6FF1" w:rsidP="001A4E3F">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1A4E3F" w:rsidRPr="00CA5FFD" w:rsidRDefault="001A4E3F" w:rsidP="001A4E3F">
      <w:pPr>
        <w:jc w:val="center"/>
        <w:rPr>
          <w:rFonts w:ascii="Arial" w:hAnsi="Arial" w:cs="Arial"/>
          <w:b/>
          <w:lang w:val="en-ZA"/>
        </w:rPr>
      </w:pPr>
      <w:r w:rsidRPr="00CA5FFD">
        <w:rPr>
          <w:rFonts w:ascii="Arial" w:hAnsi="Arial" w:cs="Arial"/>
          <w:b/>
          <w:lang w:val="en-ZA"/>
        </w:rPr>
        <w:t>JUSTICE AND CORRECTIONAL SERVICES</w:t>
      </w:r>
    </w:p>
    <w:p w:rsidR="001A4E3F" w:rsidRPr="00CA5FFD" w:rsidRDefault="001A4E3F" w:rsidP="001A4E3F">
      <w:pPr>
        <w:jc w:val="center"/>
        <w:outlineLvl w:val="0"/>
        <w:rPr>
          <w:rFonts w:ascii="Arial" w:hAnsi="Arial" w:cs="Arial"/>
          <w:b/>
          <w:lang w:val="en-ZA"/>
        </w:rPr>
      </w:pPr>
      <w:r w:rsidRPr="00CA5FFD">
        <w:rPr>
          <w:rFonts w:ascii="Arial" w:hAnsi="Arial" w:cs="Arial"/>
          <w:b/>
          <w:lang w:val="en-ZA"/>
        </w:rPr>
        <w:t>REPUBLIC OF SOUTH AFRICA</w:t>
      </w:r>
    </w:p>
    <w:p w:rsidR="001A4E3F" w:rsidRPr="00CA5FFD" w:rsidRDefault="001A4E3F" w:rsidP="001A4E3F">
      <w:pPr>
        <w:pBdr>
          <w:bottom w:val="single" w:sz="4" w:space="1" w:color="auto"/>
        </w:pBdr>
        <w:spacing w:after="200" w:line="276" w:lineRule="auto"/>
        <w:jc w:val="center"/>
        <w:rPr>
          <w:rFonts w:ascii="Arial" w:eastAsia="Calibri" w:hAnsi="Arial" w:cs="Arial"/>
          <w:b/>
          <w:bCs/>
          <w:lang w:val="en-ZA"/>
        </w:rPr>
      </w:pPr>
    </w:p>
    <w:p w:rsidR="00130BDB" w:rsidRPr="001A4E3F" w:rsidRDefault="00130BDB" w:rsidP="001A4E3F">
      <w:pPr>
        <w:spacing w:after="200" w:line="276" w:lineRule="auto"/>
        <w:rPr>
          <w:rFonts w:ascii="Arial" w:eastAsia="Calibri" w:hAnsi="Arial" w:cs="Arial"/>
          <w:b/>
          <w:bCs/>
          <w:lang w:val="en-GB"/>
        </w:rPr>
      </w:pPr>
      <w:r w:rsidRPr="001A4E3F">
        <w:rPr>
          <w:rFonts w:ascii="Arial" w:eastAsia="Calibri" w:hAnsi="Arial" w:cs="Arial"/>
          <w:b/>
          <w:bCs/>
          <w:lang w:val="en-ZA"/>
        </w:rPr>
        <w:t>NATIONAL ASSEMBLY</w:t>
      </w:r>
    </w:p>
    <w:p w:rsidR="00130BDB" w:rsidRPr="001A4E3F" w:rsidRDefault="001A4E3F" w:rsidP="001A4E3F">
      <w:pPr>
        <w:spacing w:after="200" w:line="276" w:lineRule="auto"/>
        <w:rPr>
          <w:rFonts w:ascii="Arial" w:eastAsia="Calibri" w:hAnsi="Arial" w:cs="Arial"/>
          <w:b/>
          <w:bCs/>
          <w:lang w:val="en-GB"/>
        </w:rPr>
      </w:pPr>
      <w:r w:rsidRPr="001A4E3F">
        <w:rPr>
          <w:rFonts w:ascii="Arial" w:eastAsia="Calibri" w:hAnsi="Arial" w:cs="Arial"/>
          <w:b/>
          <w:bCs/>
          <w:lang w:val="en-GB"/>
        </w:rPr>
        <w:t xml:space="preserve">QUESTION </w:t>
      </w:r>
      <w:r w:rsidR="00130BDB" w:rsidRPr="001A4E3F">
        <w:rPr>
          <w:rFonts w:ascii="Arial" w:eastAsia="Calibri" w:hAnsi="Arial" w:cs="Arial"/>
          <w:b/>
          <w:bCs/>
          <w:lang w:val="en-GB"/>
        </w:rPr>
        <w:t>FOR WRITTEN REPLY</w:t>
      </w:r>
    </w:p>
    <w:p w:rsidR="00130BDB" w:rsidRPr="001A4E3F" w:rsidRDefault="001A4E3F" w:rsidP="001A4E3F">
      <w:pPr>
        <w:spacing w:after="200" w:line="276" w:lineRule="auto"/>
        <w:rPr>
          <w:rFonts w:ascii="Arial" w:eastAsia="Calibri" w:hAnsi="Arial" w:cs="Arial"/>
          <w:b/>
          <w:bCs/>
          <w:lang w:val="en-GB"/>
        </w:rPr>
      </w:pPr>
      <w:r w:rsidRPr="001A4E3F">
        <w:rPr>
          <w:rFonts w:ascii="Arial" w:eastAsia="Calibri" w:hAnsi="Arial" w:cs="Arial"/>
          <w:b/>
          <w:bCs/>
          <w:lang w:val="en-GB"/>
        </w:rPr>
        <w:t xml:space="preserve">PARLIAMENTARY </w:t>
      </w:r>
      <w:r w:rsidR="00130BDB" w:rsidRPr="001A4E3F">
        <w:rPr>
          <w:rFonts w:ascii="Arial" w:eastAsia="Calibri" w:hAnsi="Arial" w:cs="Arial"/>
          <w:b/>
          <w:bCs/>
          <w:lang w:val="en-GB"/>
        </w:rPr>
        <w:t xml:space="preserve">QUESTION </w:t>
      </w:r>
      <w:r w:rsidRPr="001A4E3F">
        <w:rPr>
          <w:rFonts w:ascii="Arial" w:eastAsia="Calibri" w:hAnsi="Arial" w:cs="Arial"/>
          <w:b/>
          <w:bCs/>
          <w:lang w:val="en-GB"/>
        </w:rPr>
        <w:t xml:space="preserve">NO: </w:t>
      </w:r>
      <w:r w:rsidR="009B7978" w:rsidRPr="001A4E3F">
        <w:rPr>
          <w:rFonts w:ascii="Arial" w:eastAsia="Calibri" w:hAnsi="Arial" w:cs="Arial"/>
          <w:b/>
          <w:bCs/>
          <w:lang w:val="en-GB"/>
        </w:rPr>
        <w:t>1662</w:t>
      </w:r>
    </w:p>
    <w:p w:rsidR="001A4E3F" w:rsidRPr="001A4E3F" w:rsidRDefault="00130BDB" w:rsidP="001A4E3F">
      <w:pPr>
        <w:spacing w:after="200" w:line="276" w:lineRule="auto"/>
        <w:rPr>
          <w:rFonts w:ascii="Arial" w:eastAsia="Calibri" w:hAnsi="Arial" w:cs="Arial"/>
          <w:b/>
          <w:bCs/>
          <w:lang w:val="en-GB"/>
        </w:rPr>
      </w:pPr>
      <w:r w:rsidRPr="001A4E3F">
        <w:rPr>
          <w:rFonts w:ascii="Arial" w:eastAsia="Calibri" w:hAnsi="Arial" w:cs="Arial"/>
          <w:b/>
          <w:bCs/>
          <w:lang w:val="en-GB"/>
        </w:rPr>
        <w:t xml:space="preserve">DATE OF QUESTION: </w:t>
      </w:r>
      <w:r w:rsidR="009B7978" w:rsidRPr="001A4E3F">
        <w:rPr>
          <w:rFonts w:ascii="Arial" w:eastAsia="Calibri" w:hAnsi="Arial" w:cs="Arial"/>
          <w:b/>
          <w:bCs/>
          <w:lang w:val="en-GB"/>
        </w:rPr>
        <w:t>12</w:t>
      </w:r>
      <w:r w:rsidR="001A4E3F" w:rsidRPr="001A4E3F">
        <w:rPr>
          <w:rFonts w:ascii="Arial" w:eastAsia="Calibri" w:hAnsi="Arial" w:cs="Arial"/>
          <w:b/>
          <w:bCs/>
          <w:lang w:val="en-GB"/>
        </w:rPr>
        <w:t xml:space="preserve"> MAY </w:t>
      </w:r>
      <w:r w:rsidRPr="001A4E3F">
        <w:rPr>
          <w:rFonts w:ascii="Arial" w:eastAsia="Calibri" w:hAnsi="Arial" w:cs="Arial"/>
          <w:b/>
          <w:bCs/>
          <w:lang w:val="en-GB"/>
        </w:rPr>
        <w:t>20</w:t>
      </w:r>
      <w:r w:rsidR="003F2E8D" w:rsidRPr="001A4E3F">
        <w:rPr>
          <w:rFonts w:ascii="Arial" w:eastAsia="Calibri" w:hAnsi="Arial" w:cs="Arial"/>
          <w:b/>
          <w:bCs/>
          <w:lang w:val="en-GB"/>
        </w:rPr>
        <w:t>2</w:t>
      </w:r>
      <w:r w:rsidR="0089351C" w:rsidRPr="001A4E3F">
        <w:rPr>
          <w:rFonts w:ascii="Arial" w:eastAsia="Calibri" w:hAnsi="Arial" w:cs="Arial"/>
          <w:b/>
          <w:bCs/>
          <w:lang w:val="en-GB"/>
        </w:rPr>
        <w:t>3</w:t>
      </w:r>
    </w:p>
    <w:p w:rsidR="001A4E3F" w:rsidRPr="001A4E3F" w:rsidRDefault="001A4E3F" w:rsidP="001A4E3F">
      <w:pPr>
        <w:spacing w:after="200" w:line="276" w:lineRule="auto"/>
        <w:rPr>
          <w:rFonts w:ascii="Arial" w:eastAsia="Calibri" w:hAnsi="Arial" w:cs="Arial"/>
          <w:b/>
          <w:bCs/>
          <w:lang w:val="en-GB"/>
        </w:rPr>
      </w:pPr>
      <w:r w:rsidRPr="001A4E3F">
        <w:rPr>
          <w:rFonts w:ascii="Arial" w:eastAsia="Calibri" w:hAnsi="Arial" w:cs="Arial"/>
          <w:b/>
          <w:bCs/>
          <w:lang w:val="en-GB"/>
        </w:rPr>
        <w:t>DATE OF SUBMISSION: 26 MAY 2023</w:t>
      </w:r>
    </w:p>
    <w:p w:rsidR="00051E0D" w:rsidRPr="00051E0D" w:rsidRDefault="009B7978" w:rsidP="00051E0D">
      <w:pPr>
        <w:spacing w:before="120" w:after="120" w:line="360" w:lineRule="auto"/>
        <w:jc w:val="both"/>
        <w:rPr>
          <w:rFonts w:ascii="Arial" w:hAnsi="Arial" w:cs="Arial"/>
          <w:b/>
          <w:lang w:val="en-ZA"/>
        </w:rPr>
      </w:pPr>
      <w:r>
        <w:rPr>
          <w:rFonts w:ascii="Arial" w:hAnsi="Arial" w:cs="Arial"/>
          <w:b/>
          <w:lang w:val="en-ZA"/>
        </w:rPr>
        <w:t xml:space="preserve">Adv G Breytenbach (DA) </w:t>
      </w:r>
      <w:r w:rsidR="00051E0D" w:rsidRPr="00051E0D">
        <w:rPr>
          <w:rFonts w:ascii="Arial" w:hAnsi="Arial" w:cs="Arial"/>
          <w:b/>
          <w:lang w:val="en-ZA"/>
        </w:rPr>
        <w:t>to ask the Minister of Justice and Correctional Services</w:t>
      </w:r>
      <w:r w:rsidR="00051E0D" w:rsidRPr="00051E0D">
        <w:rPr>
          <w:rFonts w:ascii="Arial" w:hAnsi="Arial" w:cs="Arial"/>
          <w:b/>
          <w:lang w:val="en-ZA"/>
        </w:rPr>
        <w:fldChar w:fldCharType="begin"/>
      </w:r>
      <w:r w:rsidR="00051E0D" w:rsidRPr="00051E0D">
        <w:rPr>
          <w:rFonts w:ascii="Arial" w:hAnsi="Arial" w:cs="Arial"/>
          <w:b/>
          <w:lang w:val="en-ZA"/>
        </w:rPr>
        <w:instrText xml:space="preserve"> XE "Minister of Justice and Correctional Services" </w:instrText>
      </w:r>
      <w:r w:rsidR="00051E0D" w:rsidRPr="00051E0D">
        <w:rPr>
          <w:rFonts w:ascii="Arial" w:hAnsi="Arial" w:cs="Arial"/>
          <w:b/>
          <w:lang w:val="en-ZA"/>
        </w:rPr>
        <w:fldChar w:fldCharType="end"/>
      </w:r>
      <w:r w:rsidR="00051E0D" w:rsidRPr="00051E0D">
        <w:rPr>
          <w:rFonts w:ascii="Arial" w:hAnsi="Arial" w:cs="Arial"/>
          <w:b/>
          <w:lang w:val="en-ZA"/>
        </w:rPr>
        <w:t>:</w:t>
      </w:r>
    </w:p>
    <w:p w:rsidR="009B7978" w:rsidRDefault="009B7978" w:rsidP="00051E0D">
      <w:pPr>
        <w:numPr>
          <w:ilvl w:val="0"/>
          <w:numId w:val="9"/>
        </w:numPr>
        <w:spacing w:before="120" w:after="120" w:line="360" w:lineRule="auto"/>
        <w:jc w:val="both"/>
        <w:rPr>
          <w:rFonts w:ascii="Arial" w:hAnsi="Arial" w:cs="Arial"/>
          <w:lang w:val="en-ZA"/>
        </w:rPr>
      </w:pPr>
      <w:r>
        <w:rPr>
          <w:rFonts w:ascii="Arial" w:hAnsi="Arial" w:cs="Arial"/>
          <w:lang w:val="en-ZA"/>
        </w:rPr>
        <w:t>Given the increase in cybercrime experienced in the Republic, what total number of (a) prosecutors, (b) judges and (c) magistrates have training and/ or qualifications in (i) cybercrime and security and/ or (ii) cryptocurrency crime and security;</w:t>
      </w:r>
    </w:p>
    <w:p w:rsidR="00051E0D" w:rsidRPr="00051E0D" w:rsidRDefault="009B7978" w:rsidP="009B7978">
      <w:pPr>
        <w:numPr>
          <w:ilvl w:val="0"/>
          <w:numId w:val="9"/>
        </w:numPr>
        <w:spacing w:before="120" w:after="120" w:line="360" w:lineRule="auto"/>
        <w:jc w:val="both"/>
        <w:rPr>
          <w:rFonts w:ascii="Arial" w:hAnsi="Arial" w:cs="Arial"/>
          <w:lang w:val="en-ZA"/>
        </w:rPr>
      </w:pPr>
      <w:r>
        <w:rPr>
          <w:rFonts w:ascii="Arial" w:hAnsi="Arial" w:cs="Arial"/>
          <w:lang w:val="en-ZA"/>
        </w:rPr>
        <w:t xml:space="preserve">Whether there are any plans to implement further training on (a) cybercrime and (b) cryptocurrency security; if not, what is the position in this regard; if so, what are the relevant details?  </w:t>
      </w:r>
    </w:p>
    <w:p w:rsidR="00051E0D" w:rsidRPr="00051E0D" w:rsidRDefault="00051E0D" w:rsidP="00051E0D">
      <w:pPr>
        <w:spacing w:before="120" w:after="120" w:line="360" w:lineRule="auto"/>
        <w:jc w:val="right"/>
        <w:rPr>
          <w:rFonts w:ascii="Arial" w:hAnsi="Arial" w:cs="Arial"/>
          <w:b/>
          <w:lang w:val="en-ZA"/>
        </w:rPr>
      </w:pPr>
      <w:r w:rsidRPr="00051E0D">
        <w:rPr>
          <w:rFonts w:ascii="Arial" w:hAnsi="Arial" w:cs="Arial"/>
          <w:b/>
          <w:lang w:val="en-ZA"/>
        </w:rPr>
        <w:t>NW</w:t>
      </w:r>
      <w:r w:rsidR="009B7978">
        <w:rPr>
          <w:rFonts w:ascii="Arial" w:hAnsi="Arial" w:cs="Arial"/>
          <w:b/>
          <w:lang w:val="en-ZA"/>
        </w:rPr>
        <w:t>1903</w:t>
      </w:r>
      <w:r w:rsidRPr="00051E0D">
        <w:rPr>
          <w:rFonts w:ascii="Arial" w:hAnsi="Arial" w:cs="Arial"/>
          <w:b/>
          <w:lang w:val="en-ZA"/>
        </w:rPr>
        <w:t>E</w:t>
      </w:r>
    </w:p>
    <w:p w:rsidR="00641A50" w:rsidRDefault="00983C6B" w:rsidP="007255CC">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1A69BA" w:rsidRDefault="001A69BA" w:rsidP="007255CC">
      <w:pPr>
        <w:spacing w:before="120" w:after="120" w:line="360" w:lineRule="auto"/>
        <w:rPr>
          <w:rFonts w:ascii="Arial" w:hAnsi="Arial" w:cs="Arial"/>
          <w:b/>
        </w:rPr>
      </w:pPr>
    </w:p>
    <w:p w:rsidR="001A69BA" w:rsidRPr="001A69BA" w:rsidRDefault="001A69BA" w:rsidP="007255CC">
      <w:pPr>
        <w:spacing w:before="120" w:after="120" w:line="360" w:lineRule="auto"/>
        <w:rPr>
          <w:rFonts w:ascii="Arial" w:hAnsi="Arial" w:cs="Arial"/>
          <w:bCs/>
        </w:rPr>
      </w:pPr>
      <w:r>
        <w:rPr>
          <w:rFonts w:ascii="Arial" w:hAnsi="Arial" w:cs="Arial"/>
          <w:bCs/>
        </w:rPr>
        <w:t>I wish to inform the Hon Member that I have been informed that:</w:t>
      </w:r>
    </w:p>
    <w:p w:rsidR="002D46F4" w:rsidRDefault="002D46F4" w:rsidP="007255CC">
      <w:pPr>
        <w:spacing w:before="120" w:after="120" w:line="360" w:lineRule="auto"/>
        <w:rPr>
          <w:rFonts w:ascii="Arial" w:hAnsi="Arial" w:cs="Arial"/>
          <w:bCs/>
        </w:rPr>
      </w:pPr>
      <w:r w:rsidRPr="002D46F4">
        <w:rPr>
          <w:rFonts w:ascii="Arial" w:hAnsi="Arial" w:cs="Arial"/>
          <w:bCs/>
        </w:rPr>
        <w:t>(1)(</w:t>
      </w:r>
      <w:r w:rsidR="00725DA1" w:rsidRPr="002D46F4">
        <w:rPr>
          <w:rFonts w:ascii="Arial" w:hAnsi="Arial" w:cs="Arial"/>
          <w:bCs/>
        </w:rPr>
        <w:t>a)</w:t>
      </w:r>
      <w:r w:rsidR="00725DA1">
        <w:rPr>
          <w:rFonts w:ascii="Arial" w:hAnsi="Arial" w:cs="Arial"/>
          <w:bCs/>
        </w:rPr>
        <w:t xml:space="preserve">  744</w:t>
      </w:r>
      <w:r>
        <w:rPr>
          <w:rFonts w:ascii="Arial" w:hAnsi="Arial" w:cs="Arial"/>
          <w:bCs/>
        </w:rPr>
        <w:t xml:space="preserve"> prosecutors have received training in (i) cybercrime and security; and (ii) cryptocurrency crime and security</w:t>
      </w:r>
      <w:r w:rsidR="005A5C7E">
        <w:rPr>
          <w:rFonts w:ascii="Arial" w:hAnsi="Arial" w:cs="Arial"/>
          <w:bCs/>
        </w:rPr>
        <w:t>, during the 2021/2022 to 2022/2023 financial years.</w:t>
      </w:r>
    </w:p>
    <w:p w:rsidR="002D46F4" w:rsidRDefault="002D46F4" w:rsidP="007255CC">
      <w:pPr>
        <w:spacing w:before="120" w:after="120" w:line="360" w:lineRule="auto"/>
        <w:rPr>
          <w:rFonts w:ascii="Arial" w:hAnsi="Arial" w:cs="Arial"/>
          <w:bCs/>
        </w:rPr>
      </w:pPr>
    </w:p>
    <w:p w:rsidR="005C71CB" w:rsidRDefault="00C42F6C" w:rsidP="007255CC">
      <w:pPr>
        <w:spacing w:before="120" w:after="120" w:line="360" w:lineRule="auto"/>
        <w:rPr>
          <w:rFonts w:ascii="Arial" w:hAnsi="Arial" w:cs="Arial"/>
          <w:bCs/>
        </w:rPr>
      </w:pPr>
      <w:r>
        <w:rPr>
          <w:rFonts w:ascii="Arial" w:hAnsi="Arial" w:cs="Arial"/>
          <w:bCs/>
        </w:rPr>
        <w:t xml:space="preserve">(b)   </w:t>
      </w:r>
      <w:r w:rsidR="003D6CAF">
        <w:rPr>
          <w:rFonts w:ascii="Arial" w:hAnsi="Arial" w:cs="Arial"/>
          <w:bCs/>
        </w:rPr>
        <w:t>N</w:t>
      </w:r>
      <w:r>
        <w:rPr>
          <w:rFonts w:ascii="Arial" w:hAnsi="Arial" w:cs="Arial"/>
          <w:bCs/>
        </w:rPr>
        <w:t xml:space="preserve">umbers of (b) judges and (c) magistrates, trained, </w:t>
      </w:r>
      <w:r w:rsidR="005A5C7E">
        <w:rPr>
          <w:rFonts w:ascii="Arial" w:hAnsi="Arial" w:cs="Arial"/>
          <w:bCs/>
        </w:rPr>
        <w:t xml:space="preserve">has been referred to the South African Judicial Education Institute at the Office of the Chief Justice, which is mandated to provide training to the High and Lower Court Judiciary. </w:t>
      </w:r>
      <w:r w:rsidR="003D6CAF">
        <w:rPr>
          <w:rFonts w:ascii="Arial" w:hAnsi="Arial" w:cs="Arial"/>
          <w:bCs/>
        </w:rPr>
        <w:t>The response is as follows:</w:t>
      </w:r>
    </w:p>
    <w:p w:rsidR="003D6CAF" w:rsidRDefault="003D6CAF" w:rsidP="007255CC">
      <w:pPr>
        <w:spacing w:before="120" w:after="120" w:line="360" w:lineRule="auto"/>
        <w:rPr>
          <w:rFonts w:ascii="Arial" w:hAnsi="Arial" w:cs="Arial"/>
          <w:bCs/>
        </w:rPr>
      </w:pPr>
      <w:r>
        <w:rPr>
          <w:rFonts w:ascii="Arial" w:hAnsi="Arial" w:cs="Arial"/>
          <w:bCs/>
        </w:rPr>
        <w:t>(i) Cybercrime and Security</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2693"/>
        <w:gridCol w:w="1134"/>
      </w:tblGrid>
      <w:tr w:rsidR="003D6CAF" w:rsidRPr="003D6CAF" w:rsidTr="003D6CAF">
        <w:trPr>
          <w:tblHeader/>
        </w:trPr>
        <w:tc>
          <w:tcPr>
            <w:tcW w:w="495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269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Evidence(ToT)</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Judges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12</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 (ToT)</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Judges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10</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 (ToT)</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Judges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8</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Judges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17</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 (ToT)</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 (DCM)</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16</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13</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22</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21</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72</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15</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 (ToT)</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Court Magistrates (RCM)</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15</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85</w:t>
            </w:r>
          </w:p>
        </w:tc>
      </w:tr>
      <w:tr w:rsidR="003D6CAF" w:rsidRPr="003D6CAF" w:rsidTr="003D6CAF">
        <w:tc>
          <w:tcPr>
            <w:tcW w:w="495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269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29</w:t>
            </w:r>
          </w:p>
        </w:tc>
      </w:tr>
    </w:tbl>
    <w:p w:rsidR="003D6CAF" w:rsidRPr="003D6CAF" w:rsidRDefault="003D6CAF" w:rsidP="003D6CAF">
      <w:pPr>
        <w:spacing w:before="120" w:after="120" w:line="360" w:lineRule="auto"/>
        <w:rPr>
          <w:rFonts w:ascii="Arial" w:hAnsi="Arial" w:cs="Arial"/>
          <w:bCs/>
        </w:rPr>
      </w:pPr>
      <w:r w:rsidRPr="003D6CAF">
        <w:rPr>
          <w:rFonts w:ascii="Arial" w:hAnsi="Arial" w:cs="Arial"/>
          <w:b/>
          <w:bCs/>
          <w:u w:val="single"/>
        </w:rPr>
        <w:t xml:space="preserve">Note: </w:t>
      </w:r>
      <w:r w:rsidRPr="003D6CAF">
        <w:rPr>
          <w:rFonts w:ascii="Arial" w:hAnsi="Arial" w:cs="Arial"/>
          <w:bCs/>
        </w:rPr>
        <w:t>ToT stands for Train the Trainer course on Cybercrime and Electronic Evidence facilitation skills.</w:t>
      </w:r>
    </w:p>
    <w:p w:rsidR="003D6CAF" w:rsidRPr="003D6CAF" w:rsidRDefault="003D6CAF" w:rsidP="003D6CAF">
      <w:pPr>
        <w:spacing w:before="120" w:after="120" w:line="360" w:lineRule="auto"/>
        <w:rPr>
          <w:rFonts w:ascii="Arial" w:hAnsi="Arial" w:cs="Arial"/>
          <w:b/>
          <w:bCs/>
          <w:u w:val="single"/>
        </w:rPr>
      </w:pPr>
      <w:r w:rsidRPr="003D6CAF">
        <w:rPr>
          <w:rFonts w:ascii="Arial" w:hAnsi="Arial" w:cs="Arial"/>
          <w:b/>
          <w:bCs/>
          <w:u w:val="single"/>
        </w:rPr>
        <w:t>Totals:</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Judges: 47</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RCM:  129</w:t>
      </w:r>
    </w:p>
    <w:p w:rsidR="003D6CAF" w:rsidRPr="003D6CAF" w:rsidRDefault="003D6CAF" w:rsidP="003D6CAF">
      <w:pPr>
        <w:spacing w:before="120" w:after="120" w:line="360" w:lineRule="auto"/>
        <w:rPr>
          <w:rFonts w:ascii="Arial" w:hAnsi="Arial" w:cs="Arial"/>
          <w:bCs/>
        </w:rPr>
      </w:pPr>
      <w:r w:rsidRPr="003D6CAF">
        <w:rPr>
          <w:rFonts w:ascii="Arial" w:hAnsi="Arial" w:cs="Arial"/>
          <w:b/>
          <w:bCs/>
        </w:rPr>
        <w:t>DCM:  149</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2016/17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rPr>
          <w:tblHeader/>
        </w:trPr>
        <w:tc>
          <w:tcPr>
            <w:tcW w:w="382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Judges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19</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 xml:space="preserve">Judges </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21</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57</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14</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10</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77</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15</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12</w:t>
            </w:r>
          </w:p>
        </w:tc>
      </w:tr>
    </w:tbl>
    <w:p w:rsidR="003D6CAF" w:rsidRPr="003D6CAF" w:rsidRDefault="003D6CAF" w:rsidP="003D6CAF">
      <w:pPr>
        <w:spacing w:before="120" w:after="120" w:line="360" w:lineRule="auto"/>
        <w:rPr>
          <w:rFonts w:ascii="Arial" w:hAnsi="Arial" w:cs="Arial"/>
          <w:b/>
          <w:bCs/>
          <w:u w:val="single"/>
        </w:rPr>
      </w:pPr>
      <w:r w:rsidRPr="003D6CAF">
        <w:rPr>
          <w:rFonts w:ascii="Arial" w:hAnsi="Arial" w:cs="Arial"/>
          <w:b/>
          <w:bCs/>
          <w:u w:val="single"/>
        </w:rPr>
        <w:t>Totals:</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Judges: 40</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RCM:  57</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DCM:  128</w:t>
      </w:r>
    </w:p>
    <w:p w:rsidR="003D6CAF" w:rsidRPr="003D6CAF" w:rsidRDefault="003D6CAF" w:rsidP="003D6CAF">
      <w:pPr>
        <w:spacing w:before="120" w:after="120" w:line="360" w:lineRule="auto"/>
        <w:rPr>
          <w:rFonts w:ascii="Arial" w:hAnsi="Arial" w:cs="Arial"/>
          <w:bCs/>
        </w:rPr>
      </w:pP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rPr>
          <w:tblHeader/>
        </w:trPr>
        <w:tc>
          <w:tcPr>
            <w:tcW w:w="382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Technology used in Cybercrime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154</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18</w:t>
            </w:r>
          </w:p>
        </w:tc>
      </w:tr>
    </w:tbl>
    <w:p w:rsidR="003D6CAF" w:rsidRPr="003D6CAF" w:rsidRDefault="003D6CAF" w:rsidP="003D6CAF">
      <w:pPr>
        <w:spacing w:before="120" w:after="120" w:line="360" w:lineRule="auto"/>
        <w:rPr>
          <w:rFonts w:ascii="Arial" w:hAnsi="Arial" w:cs="Arial"/>
          <w:b/>
          <w:bCs/>
          <w:u w:val="single"/>
        </w:rPr>
      </w:pPr>
      <w:r w:rsidRPr="003D6CAF">
        <w:rPr>
          <w:rFonts w:ascii="Arial" w:hAnsi="Arial" w:cs="Arial"/>
          <w:b/>
          <w:bCs/>
          <w:u w:val="single"/>
        </w:rPr>
        <w:t>Totals:</w:t>
      </w:r>
      <w:r w:rsidRPr="003D6CAF">
        <w:rPr>
          <w:rFonts w:ascii="Arial" w:hAnsi="Arial" w:cs="Arial"/>
          <w:bCs/>
        </w:rPr>
        <w:t xml:space="preserve"> </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RCM:  154</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DCM:  18</w:t>
      </w:r>
    </w:p>
    <w:p w:rsidR="003D6CAF" w:rsidRPr="003D6CAF" w:rsidRDefault="003D6CAF" w:rsidP="003D6CAF">
      <w:pPr>
        <w:spacing w:before="120" w:after="120" w:line="360" w:lineRule="auto"/>
        <w:rPr>
          <w:rFonts w:ascii="Arial" w:hAnsi="Arial" w:cs="Arial"/>
          <w:bCs/>
        </w:rPr>
      </w:pPr>
    </w:p>
    <w:p w:rsidR="003D6CAF" w:rsidRPr="003D6CAF" w:rsidRDefault="003D6CAF" w:rsidP="003D6CAF">
      <w:pPr>
        <w:spacing w:before="120" w:after="120" w:line="360" w:lineRule="auto"/>
        <w:rPr>
          <w:rFonts w:ascii="Arial" w:hAnsi="Arial" w:cs="Arial"/>
          <w:b/>
          <w:bCs/>
        </w:rPr>
      </w:pPr>
      <w:bookmarkStart w:id="0" w:name="_Hlk135052644"/>
      <w:r w:rsidRPr="003D6CAF">
        <w:rPr>
          <w:rFonts w:ascii="Arial" w:hAnsi="Arial" w:cs="Arial"/>
          <w:b/>
          <w:bCs/>
        </w:rPr>
        <w:t>2019/20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c>
          <w:tcPr>
            <w:tcW w:w="382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Cybersecurity, cyber specific offences and Budapest Convention</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17</w:t>
            </w:r>
          </w:p>
        </w:tc>
      </w:tr>
      <w:bookmarkEnd w:id="0"/>
    </w:tbl>
    <w:p w:rsidR="003D6CAF" w:rsidRPr="003D6CAF" w:rsidRDefault="003D6CAF" w:rsidP="003D6CAF">
      <w:pPr>
        <w:spacing w:before="120" w:after="120" w:line="360" w:lineRule="auto"/>
        <w:rPr>
          <w:rFonts w:ascii="Arial" w:hAnsi="Arial" w:cs="Arial"/>
          <w:b/>
          <w:bCs/>
        </w:rPr>
      </w:pP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c>
          <w:tcPr>
            <w:tcW w:w="382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52</w:t>
            </w:r>
          </w:p>
        </w:tc>
      </w:tr>
    </w:tbl>
    <w:p w:rsidR="003D6CAF" w:rsidRPr="003D6CAF" w:rsidRDefault="003D6CAF" w:rsidP="003D6CAF">
      <w:pPr>
        <w:spacing w:before="120" w:after="120" w:line="360" w:lineRule="auto"/>
        <w:rPr>
          <w:rFonts w:ascii="Arial" w:hAnsi="Arial" w:cs="Arial"/>
          <w:b/>
          <w:bCs/>
        </w:rPr>
      </w:pP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c>
          <w:tcPr>
            <w:tcW w:w="382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 xml:space="preserve"> 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Regional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49</w:t>
            </w:r>
          </w:p>
        </w:tc>
      </w:tr>
    </w:tbl>
    <w:p w:rsidR="003D6CAF" w:rsidRPr="003D6CAF" w:rsidRDefault="003D6CAF" w:rsidP="003D6CAF">
      <w:pPr>
        <w:spacing w:before="120" w:after="120" w:line="360" w:lineRule="auto"/>
        <w:rPr>
          <w:rFonts w:ascii="Arial" w:hAnsi="Arial" w:cs="Arial"/>
          <w:b/>
          <w:bCs/>
        </w:rPr>
      </w:pPr>
      <w:r w:rsidRPr="003D6CAF">
        <w:rPr>
          <w:rFonts w:ascii="Arial" w:hAnsi="Arial" w:cs="Arial"/>
          <w:b/>
          <w:bCs/>
        </w:rPr>
        <w:t>2022/23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c>
          <w:tcPr>
            <w:tcW w:w="3823"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 xml:space="preserve"> Cybercrime and Electronic Evidence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17</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Cybercrime Amendment Act 12/2021</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District Court Magistrates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14</w:t>
            </w:r>
          </w:p>
        </w:tc>
      </w:tr>
    </w:tbl>
    <w:p w:rsidR="003D6CAF" w:rsidRPr="003D6CAF" w:rsidRDefault="003D6CAF" w:rsidP="003D6CAF">
      <w:pPr>
        <w:spacing w:before="120" w:after="120" w:line="360" w:lineRule="auto"/>
        <w:rPr>
          <w:rFonts w:ascii="Arial" w:hAnsi="Arial" w:cs="Arial"/>
          <w:b/>
          <w:bCs/>
          <w:u w:val="single"/>
        </w:rPr>
      </w:pPr>
      <w:r w:rsidRPr="003D6CAF">
        <w:rPr>
          <w:rFonts w:ascii="Arial" w:hAnsi="Arial" w:cs="Arial"/>
          <w:b/>
          <w:bCs/>
          <w:u w:val="single"/>
        </w:rPr>
        <w:t>Totals:</w:t>
      </w:r>
      <w:r w:rsidRPr="003D6CAF">
        <w:rPr>
          <w:rFonts w:ascii="Arial" w:hAnsi="Arial" w:cs="Arial"/>
          <w:bCs/>
        </w:rPr>
        <w:t xml:space="preserve"> </w:t>
      </w: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DCM:  31</w:t>
      </w:r>
    </w:p>
    <w:p w:rsidR="003D6CAF" w:rsidRPr="003D6CAF" w:rsidRDefault="003D6CAF" w:rsidP="003D6CAF">
      <w:pPr>
        <w:spacing w:before="120" w:after="120" w:line="360" w:lineRule="auto"/>
        <w:rPr>
          <w:rFonts w:ascii="Arial" w:hAnsi="Arial" w:cs="Arial"/>
          <w:b/>
          <w:bCs/>
        </w:rPr>
      </w:pPr>
    </w:p>
    <w:p w:rsidR="003D6CAF" w:rsidRPr="003D6CAF" w:rsidRDefault="003D6CAF" w:rsidP="003D6CAF">
      <w:pPr>
        <w:spacing w:before="120" w:after="120" w:line="360" w:lineRule="auto"/>
        <w:rPr>
          <w:rFonts w:ascii="Arial" w:hAnsi="Arial" w:cs="Arial"/>
          <w:bCs/>
        </w:rPr>
      </w:pPr>
      <w:r w:rsidRPr="003D6CAF">
        <w:rPr>
          <w:rFonts w:ascii="Arial" w:hAnsi="Arial" w:cs="Arial"/>
          <w:bCs/>
        </w:rPr>
        <w:t>(ii) Number of Judges and Magistrates trained on cryptocurrency crime and security</w:t>
      </w:r>
    </w:p>
    <w:p w:rsidR="003D6CAF" w:rsidRPr="003D6CAF" w:rsidRDefault="003D6CAF" w:rsidP="003D6CAF">
      <w:pPr>
        <w:spacing w:before="120" w:after="120" w:line="360" w:lineRule="auto"/>
        <w:rPr>
          <w:rFonts w:ascii="Arial" w:hAnsi="Arial" w:cs="Arial"/>
          <w:b/>
          <w:bCs/>
        </w:rPr>
      </w:pPr>
    </w:p>
    <w:p w:rsidR="003D6CAF" w:rsidRPr="003D6CAF" w:rsidRDefault="003D6CAF" w:rsidP="003D6CAF">
      <w:pPr>
        <w:spacing w:before="120" w:after="120" w:line="360" w:lineRule="auto"/>
        <w:rPr>
          <w:rFonts w:ascii="Arial" w:hAnsi="Arial" w:cs="Arial"/>
          <w:b/>
          <w:bCs/>
        </w:rPr>
      </w:pPr>
      <w:r w:rsidRPr="003D6CAF">
        <w:rPr>
          <w:rFonts w:ascii="Arial" w:hAnsi="Arial" w:cs="Arial"/>
          <w:b/>
          <w:bCs/>
        </w:rPr>
        <w:t>2018/19</w:t>
      </w:r>
      <w:r w:rsidRPr="003D6CAF">
        <w:rPr>
          <w:rFonts w:ascii="Arial" w:hAnsi="Arial" w:cs="Arial"/>
          <w:bCs/>
        </w:rPr>
        <w:tab/>
      </w:r>
      <w:r w:rsidRPr="003D6CAF">
        <w:rPr>
          <w:rFonts w:ascii="Arial" w:hAnsi="Arial" w:cs="Arial"/>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27"/>
        <w:gridCol w:w="1134"/>
      </w:tblGrid>
      <w:tr w:rsidR="003D6CAF" w:rsidRPr="003D6CAF" w:rsidTr="003D6CAF">
        <w:tc>
          <w:tcPr>
            <w:tcW w:w="3823" w:type="dxa"/>
          </w:tcPr>
          <w:p w:rsidR="003D6CAF" w:rsidRPr="003D6CAF" w:rsidRDefault="003D6CAF" w:rsidP="003D6CAF">
            <w:pPr>
              <w:spacing w:before="120" w:after="120" w:line="360" w:lineRule="auto"/>
              <w:rPr>
                <w:rFonts w:ascii="Arial" w:hAnsi="Arial" w:cs="Arial"/>
                <w:b/>
                <w:bCs/>
              </w:rPr>
            </w:pPr>
            <w:bookmarkStart w:id="1" w:name="_Hlk135050729"/>
            <w:r w:rsidRPr="003D6CAF">
              <w:rPr>
                <w:rFonts w:ascii="Arial" w:hAnsi="Arial" w:cs="Arial"/>
                <w:b/>
                <w:bCs/>
              </w:rPr>
              <w:t>Topic</w:t>
            </w:r>
          </w:p>
        </w:tc>
        <w:tc>
          <w:tcPr>
            <w:tcW w:w="3827"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Target audience</w:t>
            </w:r>
          </w:p>
        </w:tc>
        <w:tc>
          <w:tcPr>
            <w:tcW w:w="1134" w:type="dxa"/>
          </w:tcPr>
          <w:p w:rsidR="003D6CAF" w:rsidRPr="003D6CAF" w:rsidRDefault="003D6CAF" w:rsidP="003D6CAF">
            <w:pPr>
              <w:spacing w:before="120" w:after="120" w:line="360" w:lineRule="auto"/>
              <w:rPr>
                <w:rFonts w:ascii="Arial" w:hAnsi="Arial" w:cs="Arial"/>
                <w:b/>
                <w:bCs/>
              </w:rPr>
            </w:pPr>
            <w:r w:rsidRPr="003D6CAF">
              <w:rPr>
                <w:rFonts w:ascii="Arial" w:hAnsi="Arial" w:cs="Arial"/>
                <w:b/>
                <w:bCs/>
              </w:rPr>
              <w:t>#</w:t>
            </w:r>
          </w:p>
        </w:tc>
      </w:tr>
      <w:tr w:rsidR="003D6CAF" w:rsidRPr="003D6CAF" w:rsidTr="003D6CAF">
        <w:tc>
          <w:tcPr>
            <w:tcW w:w="3823"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ICT, Cryptocurrency and Organised Crime</w:t>
            </w:r>
          </w:p>
        </w:tc>
        <w:tc>
          <w:tcPr>
            <w:tcW w:w="3827"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Judges</w:t>
            </w:r>
          </w:p>
        </w:tc>
        <w:tc>
          <w:tcPr>
            <w:tcW w:w="1134" w:type="dxa"/>
          </w:tcPr>
          <w:p w:rsidR="003D6CAF" w:rsidRPr="003D6CAF" w:rsidRDefault="003D6CAF" w:rsidP="003D6CAF">
            <w:pPr>
              <w:spacing w:before="120" w:after="120" w:line="360" w:lineRule="auto"/>
              <w:rPr>
                <w:rFonts w:ascii="Arial" w:hAnsi="Arial" w:cs="Arial"/>
                <w:bCs/>
              </w:rPr>
            </w:pPr>
            <w:r w:rsidRPr="003D6CAF">
              <w:rPr>
                <w:rFonts w:ascii="Arial" w:hAnsi="Arial" w:cs="Arial"/>
                <w:bCs/>
              </w:rPr>
              <w:t>84</w:t>
            </w:r>
          </w:p>
        </w:tc>
      </w:tr>
    </w:tbl>
    <w:bookmarkEnd w:id="1"/>
    <w:p w:rsidR="003D6CAF" w:rsidRPr="003D6CAF" w:rsidRDefault="003D6CAF" w:rsidP="003D6CAF">
      <w:pPr>
        <w:spacing w:before="120" w:after="120" w:line="360" w:lineRule="auto"/>
        <w:rPr>
          <w:rFonts w:ascii="Arial" w:hAnsi="Arial" w:cs="Arial"/>
          <w:b/>
          <w:bCs/>
          <w:u w:val="single"/>
        </w:rPr>
      </w:pPr>
      <w:r w:rsidRPr="003D6CAF">
        <w:rPr>
          <w:rFonts w:ascii="Arial" w:hAnsi="Arial" w:cs="Arial"/>
          <w:b/>
          <w:bCs/>
          <w:u w:val="single"/>
        </w:rPr>
        <w:t>Totals:</w:t>
      </w:r>
    </w:p>
    <w:p w:rsidR="003D6CAF" w:rsidRDefault="003D6CAF" w:rsidP="003D6CAF">
      <w:pPr>
        <w:spacing w:before="120" w:after="120" w:line="360" w:lineRule="auto"/>
        <w:rPr>
          <w:rFonts w:ascii="Arial" w:hAnsi="Arial" w:cs="Arial"/>
          <w:b/>
          <w:bCs/>
        </w:rPr>
      </w:pPr>
      <w:r w:rsidRPr="003D6CAF">
        <w:rPr>
          <w:rFonts w:ascii="Arial" w:hAnsi="Arial" w:cs="Arial"/>
          <w:b/>
          <w:bCs/>
        </w:rPr>
        <w:t>Judges: 84</w:t>
      </w:r>
    </w:p>
    <w:p w:rsidR="003D6CAF" w:rsidRDefault="003D6CAF" w:rsidP="007255CC">
      <w:pPr>
        <w:spacing w:before="120" w:after="120" w:line="360" w:lineRule="auto"/>
        <w:rPr>
          <w:rFonts w:ascii="Arial" w:hAnsi="Arial" w:cs="Arial"/>
          <w:bCs/>
        </w:rPr>
      </w:pPr>
    </w:p>
    <w:p w:rsidR="001A69BA" w:rsidRDefault="00F8461F" w:rsidP="00F8461F">
      <w:pPr>
        <w:numPr>
          <w:ilvl w:val="0"/>
          <w:numId w:val="18"/>
        </w:numPr>
        <w:spacing w:before="120" w:after="120" w:line="360" w:lineRule="auto"/>
        <w:ind w:left="426" w:hanging="426"/>
        <w:jc w:val="both"/>
        <w:rPr>
          <w:rFonts w:ascii="Arial" w:hAnsi="Arial" w:cs="Arial"/>
          <w:bCs/>
        </w:rPr>
      </w:pPr>
      <w:r>
        <w:rPr>
          <w:rFonts w:ascii="Arial" w:hAnsi="Arial" w:cs="Arial"/>
          <w:bCs/>
        </w:rPr>
        <w:t xml:space="preserve">(a)(b) </w:t>
      </w:r>
      <w:r w:rsidR="001A69BA">
        <w:rPr>
          <w:rFonts w:ascii="Arial" w:hAnsi="Arial" w:cs="Arial"/>
          <w:bCs/>
        </w:rPr>
        <w:t xml:space="preserve">Yes. In fact, I regard training and capacitation on the management and prosecution of cybercrime and cryptocurrency cybercrime as so important, that </w:t>
      </w:r>
      <w:r w:rsidR="007914EA">
        <w:rPr>
          <w:rFonts w:ascii="Arial" w:hAnsi="Arial" w:cs="Arial"/>
          <w:bCs/>
        </w:rPr>
        <w:t xml:space="preserve">I have </w:t>
      </w:r>
      <w:r w:rsidR="001A69BA">
        <w:rPr>
          <w:rFonts w:ascii="Arial" w:hAnsi="Arial" w:cs="Arial"/>
          <w:bCs/>
        </w:rPr>
        <w:t xml:space="preserve">signed a </w:t>
      </w:r>
      <w:r w:rsidR="007914EA">
        <w:rPr>
          <w:rFonts w:ascii="Arial" w:hAnsi="Arial" w:cs="Arial"/>
          <w:bCs/>
        </w:rPr>
        <w:t xml:space="preserve">Cooperation Protocol </w:t>
      </w:r>
      <w:r w:rsidR="001A69BA">
        <w:rPr>
          <w:rFonts w:ascii="Arial" w:hAnsi="Arial" w:cs="Arial"/>
          <w:bCs/>
        </w:rPr>
        <w:t xml:space="preserve">with the </w:t>
      </w:r>
      <w:r w:rsidR="007914EA">
        <w:rPr>
          <w:rFonts w:ascii="Arial" w:hAnsi="Arial" w:cs="Arial"/>
          <w:bCs/>
        </w:rPr>
        <w:t xml:space="preserve">Minister for Europe and Foreign Affairs of the French Republic, </w:t>
      </w:r>
      <w:r w:rsidR="001A69BA">
        <w:rPr>
          <w:rFonts w:ascii="Arial" w:hAnsi="Arial" w:cs="Arial"/>
          <w:bCs/>
        </w:rPr>
        <w:t>to promote such training and capacitation, during June 2023.</w:t>
      </w:r>
    </w:p>
    <w:p w:rsidR="001A69BA" w:rsidRDefault="001A69BA" w:rsidP="001A69BA">
      <w:pPr>
        <w:spacing w:before="120" w:after="120" w:line="360" w:lineRule="auto"/>
        <w:ind w:left="360"/>
        <w:rPr>
          <w:rFonts w:ascii="Arial" w:hAnsi="Arial" w:cs="Arial"/>
          <w:bCs/>
        </w:rPr>
      </w:pPr>
    </w:p>
    <w:p w:rsidR="001A69BA" w:rsidRDefault="001A69BA" w:rsidP="00F8461F">
      <w:pPr>
        <w:numPr>
          <w:ilvl w:val="0"/>
          <w:numId w:val="14"/>
        </w:numPr>
        <w:spacing w:before="120" w:after="120" w:line="360" w:lineRule="auto"/>
        <w:jc w:val="both"/>
        <w:rPr>
          <w:rFonts w:ascii="Arial" w:hAnsi="Arial" w:cs="Arial"/>
          <w:bCs/>
        </w:rPr>
      </w:pPr>
      <w:r>
        <w:rPr>
          <w:rFonts w:ascii="Arial" w:hAnsi="Arial" w:cs="Arial"/>
          <w:bCs/>
        </w:rPr>
        <w:t xml:space="preserve">     Furthermore, 334 Prosecutors have applied to be trained on Cybercrimes at Justice College, during the 2023/ 2024 financial year. Such training will take place during seven (7) planned training sessions.</w:t>
      </w:r>
    </w:p>
    <w:p w:rsidR="001A69BA" w:rsidRDefault="001A69BA" w:rsidP="00F8461F">
      <w:pPr>
        <w:numPr>
          <w:ilvl w:val="0"/>
          <w:numId w:val="14"/>
        </w:numPr>
        <w:spacing w:before="120" w:after="120" w:line="360" w:lineRule="auto"/>
        <w:jc w:val="both"/>
        <w:rPr>
          <w:rFonts w:ascii="Arial" w:hAnsi="Arial" w:cs="Arial"/>
          <w:bCs/>
        </w:rPr>
      </w:pPr>
      <w:r>
        <w:rPr>
          <w:rFonts w:ascii="Arial" w:hAnsi="Arial" w:cs="Arial"/>
          <w:bCs/>
        </w:rPr>
        <w:t xml:space="preserve">    In addition, the Cyber Response Committee has planned for training for 60 prosecutors.  The training will cover the following:</w:t>
      </w:r>
    </w:p>
    <w:p w:rsidR="001A69BA" w:rsidRDefault="001A69BA" w:rsidP="001A69BA">
      <w:pPr>
        <w:numPr>
          <w:ilvl w:val="0"/>
          <w:numId w:val="15"/>
        </w:numPr>
        <w:spacing w:before="120" w:after="120" w:line="360" w:lineRule="auto"/>
        <w:rPr>
          <w:rFonts w:ascii="Arial" w:hAnsi="Arial" w:cs="Arial"/>
          <w:bCs/>
        </w:rPr>
      </w:pPr>
      <w:r>
        <w:rPr>
          <w:rFonts w:ascii="Arial" w:hAnsi="Arial" w:cs="Arial"/>
          <w:bCs/>
        </w:rPr>
        <w:t xml:space="preserve">   Basic Cybercrime Investigation;</w:t>
      </w:r>
    </w:p>
    <w:p w:rsidR="001A69BA" w:rsidRDefault="001A69BA" w:rsidP="001A69BA">
      <w:pPr>
        <w:numPr>
          <w:ilvl w:val="0"/>
          <w:numId w:val="15"/>
        </w:numPr>
        <w:spacing w:before="120" w:after="120" w:line="360" w:lineRule="auto"/>
        <w:rPr>
          <w:rFonts w:ascii="Arial" w:hAnsi="Arial" w:cs="Arial"/>
          <w:bCs/>
        </w:rPr>
      </w:pPr>
      <w:r>
        <w:rPr>
          <w:rFonts w:ascii="Arial" w:hAnsi="Arial" w:cs="Arial"/>
          <w:bCs/>
        </w:rPr>
        <w:t xml:space="preserve">   Financial Investigation triage and techniques;</w:t>
      </w:r>
    </w:p>
    <w:p w:rsidR="001A69BA" w:rsidRDefault="001A69BA" w:rsidP="001A69BA">
      <w:pPr>
        <w:numPr>
          <w:ilvl w:val="0"/>
          <w:numId w:val="15"/>
        </w:numPr>
        <w:spacing w:before="120" w:after="120" w:line="360" w:lineRule="auto"/>
        <w:rPr>
          <w:rFonts w:ascii="Arial" w:hAnsi="Arial" w:cs="Arial"/>
          <w:bCs/>
        </w:rPr>
      </w:pPr>
      <w:r>
        <w:rPr>
          <w:rFonts w:ascii="Arial" w:hAnsi="Arial" w:cs="Arial"/>
          <w:bCs/>
        </w:rPr>
        <w:t xml:space="preserve">   Overview of digital evidence for prosecutors; and</w:t>
      </w:r>
    </w:p>
    <w:p w:rsidR="001A69BA" w:rsidRDefault="001A69BA" w:rsidP="001A69BA">
      <w:pPr>
        <w:numPr>
          <w:ilvl w:val="0"/>
          <w:numId w:val="15"/>
        </w:numPr>
        <w:spacing w:before="120" w:after="120" w:line="360" w:lineRule="auto"/>
        <w:rPr>
          <w:rFonts w:ascii="Arial" w:hAnsi="Arial" w:cs="Arial"/>
          <w:bCs/>
        </w:rPr>
      </w:pPr>
      <w:r>
        <w:rPr>
          <w:rFonts w:ascii="Arial" w:hAnsi="Arial" w:cs="Arial"/>
          <w:bCs/>
        </w:rPr>
        <w:t xml:space="preserve">   Mobile device evidence for prosecutors.</w:t>
      </w:r>
    </w:p>
    <w:p w:rsidR="001A69BA" w:rsidRDefault="001A69BA" w:rsidP="00F8461F">
      <w:pPr>
        <w:numPr>
          <w:ilvl w:val="0"/>
          <w:numId w:val="14"/>
        </w:numPr>
        <w:spacing w:before="120" w:after="120" w:line="360" w:lineRule="auto"/>
        <w:jc w:val="both"/>
        <w:rPr>
          <w:rFonts w:ascii="Arial" w:hAnsi="Arial" w:cs="Arial"/>
          <w:bCs/>
        </w:rPr>
      </w:pPr>
      <w:r>
        <w:rPr>
          <w:rFonts w:ascii="Arial" w:hAnsi="Arial" w:cs="Arial"/>
          <w:bCs/>
        </w:rPr>
        <w:t xml:space="preserve">     I have great pleasure in announcing that three (3) NPA officials who have undergone intensive training through the FBI’s Law Enforcement Academy in the areas of the Dark Web and crypto investigations, </w:t>
      </w:r>
      <w:r w:rsidR="00F8461F">
        <w:rPr>
          <w:rFonts w:ascii="Arial" w:hAnsi="Arial" w:cs="Arial"/>
          <w:bCs/>
        </w:rPr>
        <w:t>are now</w:t>
      </w:r>
      <w:r w:rsidR="00D13B05">
        <w:rPr>
          <w:rFonts w:ascii="Arial" w:hAnsi="Arial" w:cs="Arial"/>
          <w:bCs/>
        </w:rPr>
        <w:t xml:space="preserve"> </w:t>
      </w:r>
      <w:r w:rsidR="006F3CDD">
        <w:rPr>
          <w:rFonts w:ascii="Arial" w:hAnsi="Arial" w:cs="Arial"/>
          <w:bCs/>
        </w:rPr>
        <w:t>also responsible</w:t>
      </w:r>
      <w:r>
        <w:rPr>
          <w:rFonts w:ascii="Arial" w:hAnsi="Arial" w:cs="Arial"/>
          <w:bCs/>
        </w:rPr>
        <w:t xml:space="preserve"> for rolling out training to NPA and SAPS officials. The first such training is scheduled for 17 July 2023.</w:t>
      </w:r>
    </w:p>
    <w:p w:rsidR="00C9102A" w:rsidRDefault="00A27662" w:rsidP="00F8461F">
      <w:pPr>
        <w:numPr>
          <w:ilvl w:val="0"/>
          <w:numId w:val="14"/>
        </w:numPr>
        <w:spacing w:before="120" w:after="120" w:line="360" w:lineRule="auto"/>
        <w:jc w:val="both"/>
        <w:rPr>
          <w:rFonts w:ascii="Arial" w:hAnsi="Arial" w:cs="Arial"/>
          <w:bCs/>
        </w:rPr>
      </w:pPr>
      <w:r>
        <w:rPr>
          <w:rFonts w:ascii="Arial" w:hAnsi="Arial" w:cs="Arial"/>
          <w:bCs/>
        </w:rPr>
        <w:t xml:space="preserve">     Lastly, I have been informed that the NPA’s S</w:t>
      </w:r>
      <w:r w:rsidR="00725DA1">
        <w:rPr>
          <w:rFonts w:ascii="Arial" w:hAnsi="Arial" w:cs="Arial"/>
          <w:bCs/>
        </w:rPr>
        <w:t>pecialised</w:t>
      </w:r>
      <w:r>
        <w:rPr>
          <w:rFonts w:ascii="Arial" w:hAnsi="Arial" w:cs="Arial"/>
          <w:bCs/>
        </w:rPr>
        <w:t xml:space="preserve"> </w:t>
      </w:r>
      <w:r w:rsidR="00C9102A">
        <w:rPr>
          <w:rFonts w:ascii="Arial" w:hAnsi="Arial" w:cs="Arial"/>
          <w:bCs/>
        </w:rPr>
        <w:t xml:space="preserve">Commercial Crimes Unit (SCCU), has recently established its own Training Desk to ensure that specialist training needs are sourced, which includes training at an advanced level in Cyber-crime and </w:t>
      </w:r>
      <w:r w:rsidR="00D13B05">
        <w:rPr>
          <w:rFonts w:ascii="Arial" w:hAnsi="Arial" w:cs="Arial"/>
          <w:bCs/>
        </w:rPr>
        <w:t>crypto currencies</w:t>
      </w:r>
      <w:r w:rsidR="00C9102A">
        <w:rPr>
          <w:rFonts w:ascii="Arial" w:hAnsi="Arial" w:cs="Arial"/>
          <w:bCs/>
        </w:rPr>
        <w:t xml:space="preserve">. This includes collaboration with the following counterparts and </w:t>
      </w:r>
      <w:r w:rsidR="00D13B05">
        <w:rPr>
          <w:rFonts w:ascii="Arial" w:hAnsi="Arial" w:cs="Arial"/>
          <w:bCs/>
        </w:rPr>
        <w:t>organizations</w:t>
      </w:r>
      <w:r w:rsidR="00C9102A">
        <w:rPr>
          <w:rFonts w:ascii="Arial" w:hAnsi="Arial" w:cs="Arial"/>
          <w:bCs/>
        </w:rPr>
        <w:t>:</w:t>
      </w:r>
    </w:p>
    <w:p w:rsidR="00C9102A" w:rsidRDefault="00C9102A" w:rsidP="00C9102A">
      <w:pPr>
        <w:numPr>
          <w:ilvl w:val="0"/>
          <w:numId w:val="16"/>
        </w:numPr>
        <w:spacing w:before="120" w:after="120" w:line="360" w:lineRule="auto"/>
        <w:rPr>
          <w:rFonts w:ascii="Arial" w:hAnsi="Arial" w:cs="Arial"/>
          <w:bCs/>
        </w:rPr>
      </w:pPr>
      <w:r>
        <w:rPr>
          <w:rFonts w:ascii="Arial" w:hAnsi="Arial" w:cs="Arial"/>
          <w:bCs/>
        </w:rPr>
        <w:t xml:space="preserve">  The UNODC;</w:t>
      </w:r>
    </w:p>
    <w:p w:rsidR="00C9102A" w:rsidRDefault="00C9102A" w:rsidP="00C9102A">
      <w:pPr>
        <w:numPr>
          <w:ilvl w:val="0"/>
          <w:numId w:val="16"/>
        </w:numPr>
        <w:spacing w:before="120" w:after="120" w:line="360" w:lineRule="auto"/>
        <w:rPr>
          <w:rFonts w:ascii="Arial" w:hAnsi="Arial" w:cs="Arial"/>
          <w:bCs/>
        </w:rPr>
      </w:pPr>
      <w:r>
        <w:rPr>
          <w:rFonts w:ascii="Arial" w:hAnsi="Arial" w:cs="Arial"/>
          <w:bCs/>
        </w:rPr>
        <w:t xml:space="preserve">   The Office of the US Legal: FBI;</w:t>
      </w:r>
    </w:p>
    <w:p w:rsidR="00C9102A" w:rsidRDefault="00C9102A" w:rsidP="00C9102A">
      <w:pPr>
        <w:numPr>
          <w:ilvl w:val="0"/>
          <w:numId w:val="16"/>
        </w:numPr>
        <w:spacing w:before="120" w:after="120" w:line="360" w:lineRule="auto"/>
        <w:rPr>
          <w:rFonts w:ascii="Arial" w:hAnsi="Arial" w:cs="Arial"/>
          <w:bCs/>
        </w:rPr>
      </w:pPr>
      <w:r>
        <w:rPr>
          <w:rFonts w:ascii="Arial" w:hAnsi="Arial" w:cs="Arial"/>
          <w:bCs/>
        </w:rPr>
        <w:t xml:space="preserve">   SABRIC; and</w:t>
      </w:r>
    </w:p>
    <w:p w:rsidR="00D13B05" w:rsidRDefault="00C9102A" w:rsidP="00C9102A">
      <w:pPr>
        <w:numPr>
          <w:ilvl w:val="0"/>
          <w:numId w:val="16"/>
        </w:numPr>
        <w:spacing w:before="120" w:after="120" w:line="360" w:lineRule="auto"/>
        <w:rPr>
          <w:rFonts w:ascii="Arial" w:hAnsi="Arial" w:cs="Arial"/>
          <w:bCs/>
        </w:rPr>
      </w:pPr>
      <w:r>
        <w:rPr>
          <w:rFonts w:ascii="Arial" w:hAnsi="Arial" w:cs="Arial"/>
          <w:bCs/>
        </w:rPr>
        <w:t xml:space="preserve">   FIC.</w:t>
      </w:r>
    </w:p>
    <w:p w:rsidR="00D13B05" w:rsidRDefault="00D13B05" w:rsidP="00D13B05">
      <w:pPr>
        <w:spacing w:before="120" w:after="120" w:line="360" w:lineRule="auto"/>
        <w:rPr>
          <w:rFonts w:ascii="Arial" w:hAnsi="Arial" w:cs="Arial"/>
          <w:bCs/>
        </w:rPr>
      </w:pPr>
    </w:p>
    <w:p w:rsidR="00F8461F" w:rsidRPr="003D6CAF" w:rsidRDefault="00F8461F" w:rsidP="00F8461F">
      <w:pPr>
        <w:spacing w:before="120" w:after="120" w:line="360" w:lineRule="auto"/>
        <w:jc w:val="both"/>
        <w:rPr>
          <w:rFonts w:ascii="Arial" w:hAnsi="Arial" w:cs="Arial"/>
          <w:bCs/>
        </w:rPr>
      </w:pPr>
      <w:r w:rsidRPr="003D6CAF">
        <w:rPr>
          <w:rFonts w:ascii="Arial" w:hAnsi="Arial" w:cs="Arial"/>
          <w:bCs/>
        </w:rPr>
        <w:t xml:space="preserve">Plans will </w:t>
      </w:r>
      <w:r>
        <w:rPr>
          <w:rFonts w:ascii="Arial" w:hAnsi="Arial" w:cs="Arial"/>
          <w:bCs/>
        </w:rPr>
        <w:t xml:space="preserve">also </w:t>
      </w:r>
      <w:r w:rsidRPr="003D6CAF">
        <w:rPr>
          <w:rFonts w:ascii="Arial" w:hAnsi="Arial" w:cs="Arial"/>
          <w:bCs/>
        </w:rPr>
        <w:t>be developed when there is additional budget for refresher training of Judicial trainers by experts.</w:t>
      </w:r>
    </w:p>
    <w:p w:rsidR="00F8461F" w:rsidRDefault="00F8461F" w:rsidP="00D13B05">
      <w:pPr>
        <w:spacing w:before="120" w:after="120" w:line="360" w:lineRule="auto"/>
        <w:rPr>
          <w:rFonts w:ascii="Arial" w:hAnsi="Arial" w:cs="Arial"/>
          <w:bCs/>
        </w:rPr>
      </w:pPr>
    </w:p>
    <w:p w:rsidR="00A27662" w:rsidRPr="002D46F4" w:rsidRDefault="00D13B05" w:rsidP="00D13B05">
      <w:pPr>
        <w:spacing w:before="120" w:after="120" w:line="360" w:lineRule="auto"/>
        <w:rPr>
          <w:rFonts w:ascii="Arial" w:hAnsi="Arial" w:cs="Arial"/>
          <w:bCs/>
        </w:rPr>
      </w:pPr>
      <w:r>
        <w:rPr>
          <w:rFonts w:ascii="Arial" w:hAnsi="Arial" w:cs="Arial"/>
          <w:bCs/>
        </w:rPr>
        <w:t>I therefore wish to assure the Honorable Member that my Ministry and the JCPS Cluster are taking cybercrimes seriously and are addressing these crimes as a priority.</w:t>
      </w:r>
      <w:r w:rsidR="00C9102A">
        <w:rPr>
          <w:rFonts w:ascii="Arial" w:hAnsi="Arial" w:cs="Arial"/>
          <w:bCs/>
        </w:rPr>
        <w:t xml:space="preserve"> </w:t>
      </w:r>
    </w:p>
    <w:sectPr w:rsidR="00A27662" w:rsidRPr="002D46F4"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59" w:rsidRDefault="00844759" w:rsidP="00913892">
      <w:r>
        <w:separator/>
      </w:r>
    </w:p>
  </w:endnote>
  <w:endnote w:type="continuationSeparator" w:id="0">
    <w:p w:rsidR="00844759" w:rsidRDefault="0084475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44759" w:rsidRPr="0084475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59" w:rsidRDefault="00844759" w:rsidP="00913892">
      <w:r>
        <w:separator/>
      </w:r>
    </w:p>
  </w:footnote>
  <w:footnote w:type="continuationSeparator" w:id="0">
    <w:p w:rsidR="00844759" w:rsidRDefault="0084475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839"/>
    <w:multiLevelType w:val="hybridMultilevel"/>
    <w:tmpl w:val="2F400C92"/>
    <w:lvl w:ilvl="0" w:tplc="A1689C2E">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AD6269"/>
    <w:multiLevelType w:val="hybridMultilevel"/>
    <w:tmpl w:val="3A04343E"/>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53F4E2F"/>
    <w:multiLevelType w:val="hybridMultilevel"/>
    <w:tmpl w:val="37D68E9A"/>
    <w:lvl w:ilvl="0" w:tplc="3B86119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7E30CA5"/>
    <w:multiLevelType w:val="hybridMultilevel"/>
    <w:tmpl w:val="88A491D8"/>
    <w:lvl w:ilvl="0" w:tplc="BF76C3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E24315"/>
    <w:multiLevelType w:val="hybridMultilevel"/>
    <w:tmpl w:val="1DFE0FB6"/>
    <w:lvl w:ilvl="0" w:tplc="1996E3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9E7E8C"/>
    <w:multiLevelType w:val="hybridMultilevel"/>
    <w:tmpl w:val="91F87FD2"/>
    <w:lvl w:ilvl="0" w:tplc="D22ED8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3C40A1"/>
    <w:multiLevelType w:val="hybridMultilevel"/>
    <w:tmpl w:val="FEAEFA7E"/>
    <w:lvl w:ilvl="0" w:tplc="264A2FC4">
      <w:start w:val="1"/>
      <w:numFmt w:val="decimal"/>
      <w:lvlText w:val="(%1)"/>
      <w:lvlJc w:val="left"/>
      <w:pPr>
        <w:ind w:left="792" w:hanging="432"/>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F30403"/>
    <w:multiLevelType w:val="hybridMultilevel"/>
    <w:tmpl w:val="9BFED33C"/>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0A84AC0"/>
    <w:multiLevelType w:val="hybridMultilevel"/>
    <w:tmpl w:val="70EA3DF4"/>
    <w:lvl w:ilvl="0" w:tplc="D61685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487CFD"/>
    <w:multiLevelType w:val="hybridMultilevel"/>
    <w:tmpl w:val="EE502D74"/>
    <w:lvl w:ilvl="0" w:tplc="FC98FE3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70C61B81"/>
    <w:multiLevelType w:val="hybridMultilevel"/>
    <w:tmpl w:val="F36047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21281A"/>
    <w:multiLevelType w:val="hybridMultilevel"/>
    <w:tmpl w:val="81DA0F10"/>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4"/>
  </w:num>
  <w:num w:numId="5">
    <w:abstractNumId w:val="6"/>
  </w:num>
  <w:num w:numId="6">
    <w:abstractNumId w:val="7"/>
  </w:num>
  <w:num w:numId="7">
    <w:abstractNumId w:val="12"/>
  </w:num>
  <w:num w:numId="8">
    <w:abstractNumId w:val="10"/>
  </w:num>
  <w:num w:numId="9">
    <w:abstractNumId w:val="1"/>
  </w:num>
  <w:num w:numId="10">
    <w:abstractNumId w:val="13"/>
  </w:num>
  <w:num w:numId="11">
    <w:abstractNumId w:val="9"/>
  </w:num>
  <w:num w:numId="12">
    <w:abstractNumId w:val="0"/>
  </w:num>
  <w:num w:numId="13">
    <w:abstractNumId w:val="11"/>
  </w:num>
  <w:num w:numId="14">
    <w:abstractNumId w:val="5"/>
  </w:num>
  <w:num w:numId="15">
    <w:abstractNumId w:val="15"/>
  </w:num>
  <w:num w:numId="16">
    <w:abstractNumId w:val="2"/>
  </w:num>
  <w:num w:numId="17">
    <w:abstractNumId w:val="16"/>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33F7"/>
    <w:rsid w:val="00046588"/>
    <w:rsid w:val="00051E0D"/>
    <w:rsid w:val="00052CE2"/>
    <w:rsid w:val="0005378A"/>
    <w:rsid w:val="00070401"/>
    <w:rsid w:val="0007147A"/>
    <w:rsid w:val="00072E1B"/>
    <w:rsid w:val="0007655F"/>
    <w:rsid w:val="00080B73"/>
    <w:rsid w:val="000A3DA5"/>
    <w:rsid w:val="000B4370"/>
    <w:rsid w:val="000B5E45"/>
    <w:rsid w:val="000C01D4"/>
    <w:rsid w:val="000D4F57"/>
    <w:rsid w:val="000D5A5B"/>
    <w:rsid w:val="000E06F1"/>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67965"/>
    <w:rsid w:val="001702F2"/>
    <w:rsid w:val="0017189C"/>
    <w:rsid w:val="00173403"/>
    <w:rsid w:val="001774BC"/>
    <w:rsid w:val="001848C4"/>
    <w:rsid w:val="00192D26"/>
    <w:rsid w:val="00194B05"/>
    <w:rsid w:val="0019515C"/>
    <w:rsid w:val="001A4E3F"/>
    <w:rsid w:val="001A69BA"/>
    <w:rsid w:val="001A6D2A"/>
    <w:rsid w:val="001B00F0"/>
    <w:rsid w:val="001B36B6"/>
    <w:rsid w:val="001D2E53"/>
    <w:rsid w:val="001D4F07"/>
    <w:rsid w:val="001E1BE7"/>
    <w:rsid w:val="001F41F3"/>
    <w:rsid w:val="001F445E"/>
    <w:rsid w:val="00203F6A"/>
    <w:rsid w:val="00213182"/>
    <w:rsid w:val="0021549B"/>
    <w:rsid w:val="002269FD"/>
    <w:rsid w:val="00245F81"/>
    <w:rsid w:val="00262ACE"/>
    <w:rsid w:val="00266968"/>
    <w:rsid w:val="00281574"/>
    <w:rsid w:val="00284F6A"/>
    <w:rsid w:val="002857B6"/>
    <w:rsid w:val="00286311"/>
    <w:rsid w:val="00291065"/>
    <w:rsid w:val="00291305"/>
    <w:rsid w:val="00295084"/>
    <w:rsid w:val="002A0DB1"/>
    <w:rsid w:val="002A4A62"/>
    <w:rsid w:val="002A6618"/>
    <w:rsid w:val="002B2B31"/>
    <w:rsid w:val="002B6D18"/>
    <w:rsid w:val="002C398C"/>
    <w:rsid w:val="002C719B"/>
    <w:rsid w:val="002D3F02"/>
    <w:rsid w:val="002D46F4"/>
    <w:rsid w:val="002D5BF7"/>
    <w:rsid w:val="002D7BBD"/>
    <w:rsid w:val="002E1C99"/>
    <w:rsid w:val="002E7253"/>
    <w:rsid w:val="002F209D"/>
    <w:rsid w:val="002F22DD"/>
    <w:rsid w:val="002F5C8E"/>
    <w:rsid w:val="003143E7"/>
    <w:rsid w:val="0031652F"/>
    <w:rsid w:val="00321AA8"/>
    <w:rsid w:val="00322BA4"/>
    <w:rsid w:val="003401CA"/>
    <w:rsid w:val="0034344A"/>
    <w:rsid w:val="00346942"/>
    <w:rsid w:val="0037187E"/>
    <w:rsid w:val="003767D7"/>
    <w:rsid w:val="003771A4"/>
    <w:rsid w:val="00380696"/>
    <w:rsid w:val="00381B64"/>
    <w:rsid w:val="00383858"/>
    <w:rsid w:val="00385579"/>
    <w:rsid w:val="00386CA6"/>
    <w:rsid w:val="003A64C5"/>
    <w:rsid w:val="003A64FE"/>
    <w:rsid w:val="003A6AD0"/>
    <w:rsid w:val="003B0260"/>
    <w:rsid w:val="003B7CDE"/>
    <w:rsid w:val="003C43F4"/>
    <w:rsid w:val="003C4D22"/>
    <w:rsid w:val="003C5B62"/>
    <w:rsid w:val="003D526D"/>
    <w:rsid w:val="003D6CAF"/>
    <w:rsid w:val="003D780B"/>
    <w:rsid w:val="003E0CEE"/>
    <w:rsid w:val="003F2E8D"/>
    <w:rsid w:val="003F5064"/>
    <w:rsid w:val="003F6245"/>
    <w:rsid w:val="004031F8"/>
    <w:rsid w:val="00417DB4"/>
    <w:rsid w:val="004209E7"/>
    <w:rsid w:val="00422DF6"/>
    <w:rsid w:val="00431C9F"/>
    <w:rsid w:val="00433C19"/>
    <w:rsid w:val="00436057"/>
    <w:rsid w:val="00436842"/>
    <w:rsid w:val="004407BB"/>
    <w:rsid w:val="00440FFF"/>
    <w:rsid w:val="00441BD5"/>
    <w:rsid w:val="004443E6"/>
    <w:rsid w:val="00447BA5"/>
    <w:rsid w:val="004572CE"/>
    <w:rsid w:val="004602FE"/>
    <w:rsid w:val="00465448"/>
    <w:rsid w:val="00465A51"/>
    <w:rsid w:val="004926BD"/>
    <w:rsid w:val="004B6B6B"/>
    <w:rsid w:val="004B7462"/>
    <w:rsid w:val="004D10F8"/>
    <w:rsid w:val="004E7CD4"/>
    <w:rsid w:val="004F6FEC"/>
    <w:rsid w:val="00502868"/>
    <w:rsid w:val="00515B6A"/>
    <w:rsid w:val="005160F8"/>
    <w:rsid w:val="0054211D"/>
    <w:rsid w:val="0054494B"/>
    <w:rsid w:val="005454FB"/>
    <w:rsid w:val="00546B7C"/>
    <w:rsid w:val="005555B6"/>
    <w:rsid w:val="005601A1"/>
    <w:rsid w:val="00572F09"/>
    <w:rsid w:val="005772C1"/>
    <w:rsid w:val="005835BC"/>
    <w:rsid w:val="005856A7"/>
    <w:rsid w:val="00585897"/>
    <w:rsid w:val="005A42CF"/>
    <w:rsid w:val="005A5C7E"/>
    <w:rsid w:val="005B6209"/>
    <w:rsid w:val="005C71CB"/>
    <w:rsid w:val="005D1EEF"/>
    <w:rsid w:val="005E365A"/>
    <w:rsid w:val="005E6608"/>
    <w:rsid w:val="00612214"/>
    <w:rsid w:val="00625CD7"/>
    <w:rsid w:val="00626E7A"/>
    <w:rsid w:val="00630932"/>
    <w:rsid w:val="00631F68"/>
    <w:rsid w:val="00641A50"/>
    <w:rsid w:val="0065206B"/>
    <w:rsid w:val="00653FE5"/>
    <w:rsid w:val="00661BE2"/>
    <w:rsid w:val="00670788"/>
    <w:rsid w:val="0067545A"/>
    <w:rsid w:val="006959E4"/>
    <w:rsid w:val="00696341"/>
    <w:rsid w:val="006A2EB4"/>
    <w:rsid w:val="006B0F80"/>
    <w:rsid w:val="006B7633"/>
    <w:rsid w:val="006C0567"/>
    <w:rsid w:val="006D21F9"/>
    <w:rsid w:val="006D5FFB"/>
    <w:rsid w:val="006D7E71"/>
    <w:rsid w:val="006F00BA"/>
    <w:rsid w:val="006F2454"/>
    <w:rsid w:val="006F24E0"/>
    <w:rsid w:val="006F3CDD"/>
    <w:rsid w:val="006F63D7"/>
    <w:rsid w:val="007057FE"/>
    <w:rsid w:val="00706401"/>
    <w:rsid w:val="00720D4C"/>
    <w:rsid w:val="00724689"/>
    <w:rsid w:val="007255CC"/>
    <w:rsid w:val="00725DA1"/>
    <w:rsid w:val="007261FA"/>
    <w:rsid w:val="00733E58"/>
    <w:rsid w:val="00740A5A"/>
    <w:rsid w:val="00745638"/>
    <w:rsid w:val="0075199B"/>
    <w:rsid w:val="007540CF"/>
    <w:rsid w:val="00755C22"/>
    <w:rsid w:val="00757E02"/>
    <w:rsid w:val="00760BFE"/>
    <w:rsid w:val="00765301"/>
    <w:rsid w:val="00774A06"/>
    <w:rsid w:val="00774F8F"/>
    <w:rsid w:val="00777A77"/>
    <w:rsid w:val="0078425B"/>
    <w:rsid w:val="00791471"/>
    <w:rsid w:val="007914EA"/>
    <w:rsid w:val="007961D4"/>
    <w:rsid w:val="007B77BB"/>
    <w:rsid w:val="007B7829"/>
    <w:rsid w:val="007C0AC3"/>
    <w:rsid w:val="007C1863"/>
    <w:rsid w:val="007D6E60"/>
    <w:rsid w:val="007E51D8"/>
    <w:rsid w:val="007E6925"/>
    <w:rsid w:val="007E7201"/>
    <w:rsid w:val="007F2B0B"/>
    <w:rsid w:val="007F3217"/>
    <w:rsid w:val="00812A66"/>
    <w:rsid w:val="008169B8"/>
    <w:rsid w:val="008325B5"/>
    <w:rsid w:val="00844759"/>
    <w:rsid w:val="00846897"/>
    <w:rsid w:val="008479E1"/>
    <w:rsid w:val="00852F22"/>
    <w:rsid w:val="00856CFA"/>
    <w:rsid w:val="00865132"/>
    <w:rsid w:val="0087112C"/>
    <w:rsid w:val="008769EF"/>
    <w:rsid w:val="00881381"/>
    <w:rsid w:val="00881AB9"/>
    <w:rsid w:val="00892846"/>
    <w:rsid w:val="0089351C"/>
    <w:rsid w:val="008A1398"/>
    <w:rsid w:val="008A1837"/>
    <w:rsid w:val="008B1BCF"/>
    <w:rsid w:val="008C1A56"/>
    <w:rsid w:val="008C1FE2"/>
    <w:rsid w:val="008D4373"/>
    <w:rsid w:val="008E312C"/>
    <w:rsid w:val="008E78E6"/>
    <w:rsid w:val="008F366F"/>
    <w:rsid w:val="008F6A5A"/>
    <w:rsid w:val="0090158F"/>
    <w:rsid w:val="009025C1"/>
    <w:rsid w:val="00905C38"/>
    <w:rsid w:val="00911E50"/>
    <w:rsid w:val="00913892"/>
    <w:rsid w:val="0092193B"/>
    <w:rsid w:val="009229AD"/>
    <w:rsid w:val="0094372F"/>
    <w:rsid w:val="009527B5"/>
    <w:rsid w:val="009541F2"/>
    <w:rsid w:val="009551F2"/>
    <w:rsid w:val="0096402F"/>
    <w:rsid w:val="00973033"/>
    <w:rsid w:val="009761A7"/>
    <w:rsid w:val="00982FE2"/>
    <w:rsid w:val="00983C6B"/>
    <w:rsid w:val="009868D6"/>
    <w:rsid w:val="009872DA"/>
    <w:rsid w:val="0098762D"/>
    <w:rsid w:val="00991A82"/>
    <w:rsid w:val="009A755B"/>
    <w:rsid w:val="009B0CAB"/>
    <w:rsid w:val="009B7978"/>
    <w:rsid w:val="009D4F78"/>
    <w:rsid w:val="009D6016"/>
    <w:rsid w:val="009E0268"/>
    <w:rsid w:val="009E1265"/>
    <w:rsid w:val="009E1C96"/>
    <w:rsid w:val="009F17AE"/>
    <w:rsid w:val="009F1B70"/>
    <w:rsid w:val="009F2D5C"/>
    <w:rsid w:val="00A13ABE"/>
    <w:rsid w:val="00A13BBD"/>
    <w:rsid w:val="00A14647"/>
    <w:rsid w:val="00A27662"/>
    <w:rsid w:val="00A2780F"/>
    <w:rsid w:val="00A42301"/>
    <w:rsid w:val="00A45D5C"/>
    <w:rsid w:val="00A4711C"/>
    <w:rsid w:val="00A5290F"/>
    <w:rsid w:val="00A5364A"/>
    <w:rsid w:val="00A623F2"/>
    <w:rsid w:val="00A64328"/>
    <w:rsid w:val="00A6432A"/>
    <w:rsid w:val="00A66729"/>
    <w:rsid w:val="00A70AFC"/>
    <w:rsid w:val="00A7136B"/>
    <w:rsid w:val="00A90FFD"/>
    <w:rsid w:val="00A96285"/>
    <w:rsid w:val="00AA2AB0"/>
    <w:rsid w:val="00AA39AC"/>
    <w:rsid w:val="00AA4483"/>
    <w:rsid w:val="00AD0A40"/>
    <w:rsid w:val="00AD7B7A"/>
    <w:rsid w:val="00AF0F1A"/>
    <w:rsid w:val="00AF24E0"/>
    <w:rsid w:val="00AF5D91"/>
    <w:rsid w:val="00B0043C"/>
    <w:rsid w:val="00B021CE"/>
    <w:rsid w:val="00B0386B"/>
    <w:rsid w:val="00B130B0"/>
    <w:rsid w:val="00B13369"/>
    <w:rsid w:val="00B170EA"/>
    <w:rsid w:val="00B26AB3"/>
    <w:rsid w:val="00B26AD2"/>
    <w:rsid w:val="00B40A2F"/>
    <w:rsid w:val="00B46E62"/>
    <w:rsid w:val="00B54B4B"/>
    <w:rsid w:val="00B553A6"/>
    <w:rsid w:val="00B56B50"/>
    <w:rsid w:val="00B635B4"/>
    <w:rsid w:val="00B67332"/>
    <w:rsid w:val="00B8345D"/>
    <w:rsid w:val="00B87F82"/>
    <w:rsid w:val="00B958BA"/>
    <w:rsid w:val="00BA3361"/>
    <w:rsid w:val="00BA3A67"/>
    <w:rsid w:val="00BA61AF"/>
    <w:rsid w:val="00BB53A8"/>
    <w:rsid w:val="00BB7991"/>
    <w:rsid w:val="00BC1021"/>
    <w:rsid w:val="00BC7AFB"/>
    <w:rsid w:val="00BD1460"/>
    <w:rsid w:val="00BD597B"/>
    <w:rsid w:val="00BD6D36"/>
    <w:rsid w:val="00BE17FF"/>
    <w:rsid w:val="00BE32B9"/>
    <w:rsid w:val="00BE4A2A"/>
    <w:rsid w:val="00BF0672"/>
    <w:rsid w:val="00BF0809"/>
    <w:rsid w:val="00BF738D"/>
    <w:rsid w:val="00C15423"/>
    <w:rsid w:val="00C23814"/>
    <w:rsid w:val="00C30D6E"/>
    <w:rsid w:val="00C31057"/>
    <w:rsid w:val="00C331B7"/>
    <w:rsid w:val="00C360AA"/>
    <w:rsid w:val="00C3772F"/>
    <w:rsid w:val="00C41A50"/>
    <w:rsid w:val="00C42F6C"/>
    <w:rsid w:val="00C73EF4"/>
    <w:rsid w:val="00C75ACC"/>
    <w:rsid w:val="00C770B6"/>
    <w:rsid w:val="00C77559"/>
    <w:rsid w:val="00C80C62"/>
    <w:rsid w:val="00C81ABF"/>
    <w:rsid w:val="00C84899"/>
    <w:rsid w:val="00C8589D"/>
    <w:rsid w:val="00C877EE"/>
    <w:rsid w:val="00C904B6"/>
    <w:rsid w:val="00C90886"/>
    <w:rsid w:val="00C9102A"/>
    <w:rsid w:val="00C95F59"/>
    <w:rsid w:val="00CA5CFA"/>
    <w:rsid w:val="00CB2778"/>
    <w:rsid w:val="00CC235A"/>
    <w:rsid w:val="00CC239F"/>
    <w:rsid w:val="00CC33A7"/>
    <w:rsid w:val="00CC576B"/>
    <w:rsid w:val="00CC7543"/>
    <w:rsid w:val="00CD042D"/>
    <w:rsid w:val="00CD3DB4"/>
    <w:rsid w:val="00CD4D18"/>
    <w:rsid w:val="00CE0598"/>
    <w:rsid w:val="00CE3066"/>
    <w:rsid w:val="00CF1B81"/>
    <w:rsid w:val="00CF5F59"/>
    <w:rsid w:val="00D13B05"/>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3244"/>
    <w:rsid w:val="00DC592F"/>
    <w:rsid w:val="00DC7CDA"/>
    <w:rsid w:val="00DD7546"/>
    <w:rsid w:val="00DE1284"/>
    <w:rsid w:val="00DE7180"/>
    <w:rsid w:val="00DF2638"/>
    <w:rsid w:val="00E1080E"/>
    <w:rsid w:val="00E128BD"/>
    <w:rsid w:val="00E164DD"/>
    <w:rsid w:val="00E17F42"/>
    <w:rsid w:val="00E21A66"/>
    <w:rsid w:val="00E25C5C"/>
    <w:rsid w:val="00E30F9B"/>
    <w:rsid w:val="00E37DD8"/>
    <w:rsid w:val="00E44AFC"/>
    <w:rsid w:val="00E52FFC"/>
    <w:rsid w:val="00E55AFD"/>
    <w:rsid w:val="00E57229"/>
    <w:rsid w:val="00E57963"/>
    <w:rsid w:val="00EA4D5C"/>
    <w:rsid w:val="00EA53D2"/>
    <w:rsid w:val="00EA7A64"/>
    <w:rsid w:val="00EB54FA"/>
    <w:rsid w:val="00EB5C9A"/>
    <w:rsid w:val="00EB7DA1"/>
    <w:rsid w:val="00EC5379"/>
    <w:rsid w:val="00ED072E"/>
    <w:rsid w:val="00ED5CF6"/>
    <w:rsid w:val="00ED6FF1"/>
    <w:rsid w:val="00EE1177"/>
    <w:rsid w:val="00EE2D1D"/>
    <w:rsid w:val="00EE6AD6"/>
    <w:rsid w:val="00EF081C"/>
    <w:rsid w:val="00EF2E4B"/>
    <w:rsid w:val="00EF32C9"/>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461F"/>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7CE19BF-DD02-4719-99B9-1418736C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C448E-4B94-46DD-BF64-8DDFF2F23A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2023-07-12T11:21:00Z</cp:lastPrinted>
  <dcterms:created xsi:type="dcterms:W3CDTF">2023-07-20T08:48:00Z</dcterms:created>
  <dcterms:modified xsi:type="dcterms:W3CDTF">2023-07-20T08:48:00Z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