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29/04/2022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1662.  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B4E1B" w:rsidRDefault="004B4E1B">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components of her department make up the Inclusive Basket of Results score for the National Senior Certificate (NSC) examinations, (b) are the reasons that the particular components of the score were chosen, (c) are the reasons that the score is not announced at the same time as the pass rate at the beginning of the year and (d) are the Inclusive Basket scores for each (</w:t>
      </w:r>
      <w:proofErr w:type="spellStart"/>
      <w:r>
        <w:rPr>
          <w:rFonts w:ascii="Arial" w:eastAsia="Arial" w:hAnsi="Arial" w:cs="Arial"/>
          <w:sz w:val="24"/>
          <w:szCs w:val="24"/>
        </w:rPr>
        <w:t>i</w:t>
      </w:r>
      <w:proofErr w:type="spellEnd"/>
      <w:r>
        <w:rPr>
          <w:rFonts w:ascii="Arial" w:eastAsia="Arial" w:hAnsi="Arial" w:cs="Arial"/>
          <w:sz w:val="24"/>
          <w:szCs w:val="24"/>
        </w:rPr>
        <w:t>) province and (ii) education district in the 2021 NSC results?    </w:t>
      </w:r>
    </w:p>
    <w:p w:rsidR="009C6466" w:rsidRDefault="004B4E1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(a) The nine criteria that constitute the reporting in terms of the Inclusive Basket framework, are as follows: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w:t>
      </w:r>
      <w:proofErr w:type="spellStart"/>
      <w:r>
        <w:rPr>
          <w:rFonts w:ascii="Arial" w:eastAsia="Arial" w:hAnsi="Arial" w:cs="Arial"/>
          <w:sz w:val="24"/>
          <w:szCs w:val="24"/>
        </w:rPr>
        <w:t>i</w:t>
      </w:r>
      <w:proofErr w:type="spellEnd"/>
      <w:r>
        <w:rPr>
          <w:rFonts w:ascii="Arial" w:eastAsia="Arial" w:hAnsi="Arial" w:cs="Arial"/>
          <w:sz w:val="24"/>
          <w:szCs w:val="24"/>
        </w:rPr>
        <w:t>)     Overall Achievement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(ii)    Mathematics Participation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(iii)    Mathematics Achievement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(iv)    Physical Science Achievement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(v)    Technical Mathematics Achievement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(vi)    Accounting Achievement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(vii)   Admission to Bachelor Studies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(viii)  Distinction Achievement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(ix)   Throughput rate (%)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(b)    The rationale for the Inclusive Basket of Criteria, is to move away from a single determinant of the performance of the schooling system (i.e. Overall Pass Percentage) to a more comprehensive set of quality indicators that more accurately reflect the performance of the schooling system at the end of Grade 12. The specific subjects which include Mathematics, Physical Science, Technical Mathematics and Accounting, represents the priority subject fields that need to be promoted in the schooling system. Accounting has been added as a proxy subject for the Business, Commerce and Management subjects, and Technical Mathematics added as a proxy subject for the Technology stream. Admission to Bachelor Studies and the Distinction Achievement are strong indicators of the quality of the achievement and throughput rate reflects the efficiency of the system.</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(c)  The Council of Education Ministers (CEM) made a decision that the Inclusive Basket of Criteria will be piloted for a few years so as to obtain feedback on the uptake of this new system of reporting and to ensure that the criteria are appropriately selected. Therefore, over the last three years the criteria have been amended based on feedback on what should be the priority drivers in the system and there has been a shift from aggregating the individual scores of the selected indicators to reporting on each of the criteria individually. The Inclusive Basket of Criteria has been used as the secondary mode of reporting, while overall pass percentage remained the primary reporting tool. This will be reviewed once again this year and a decision will be made as to how the Inclusive Basket of Criteria will be used in 2022 and beyond.</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(d)  (</w:t>
      </w:r>
      <w:proofErr w:type="spellStart"/>
      <w:r>
        <w:rPr>
          <w:rFonts w:ascii="Arial" w:eastAsia="Arial" w:hAnsi="Arial" w:cs="Arial"/>
          <w:sz w:val="24"/>
          <w:szCs w:val="24"/>
        </w:rPr>
        <w:t>i</w:t>
      </w:r>
      <w:proofErr w:type="spellEnd"/>
      <w:r>
        <w:rPr>
          <w:rFonts w:ascii="Arial" w:eastAsia="Arial" w:hAnsi="Arial" w:cs="Arial"/>
          <w:sz w:val="24"/>
          <w:szCs w:val="24"/>
        </w:rPr>
        <w:t>) Table representing the Performance of the Nine PEDs, in the 2021 NSC Examination, in terms of the Inclusive Basket of Criteria.</w:t>
      </w:r>
    </w:p>
    <w:tbl>
      <w:tblPr>
        <w:tblW w:w="11960" w:type="dxa"/>
        <w:tblCellSpacing w:w="0" w:type="dxa"/>
        <w:tblInd w:w="15" w:type="dxa"/>
        <w:tblCellMar>
          <w:top w:w="15" w:type="dxa"/>
          <w:left w:w="15" w:type="dxa"/>
          <w:bottom w:w="15" w:type="dxa"/>
          <w:right w:w="15" w:type="dxa"/>
        </w:tblCellMar>
        <w:tblLook w:val="04A0"/>
      </w:tblPr>
      <w:tblGrid>
        <w:gridCol w:w="1990"/>
        <w:gridCol w:w="1431"/>
        <w:gridCol w:w="1550"/>
        <w:gridCol w:w="1684"/>
        <w:gridCol w:w="1364"/>
        <w:gridCol w:w="1684"/>
        <w:gridCol w:w="1817"/>
        <w:gridCol w:w="1524"/>
        <w:gridCol w:w="1604"/>
        <w:gridCol w:w="1577"/>
      </w:tblGrid>
      <w:tr w:rsidR="009C6466">
        <w:trPr>
          <w:trHeight w:val="116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 Name</w:t>
            </w:r>
          </w:p>
        </w:tc>
        <w:tc>
          <w:tcPr>
            <w:tcW w:w="123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Achieved  </w:t>
            </w:r>
          </w:p>
        </w:tc>
        <w:tc>
          <w:tcPr>
            <w:tcW w:w="99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Accounting Achieved</w:t>
            </w:r>
          </w:p>
        </w:tc>
        <w:tc>
          <w:tcPr>
            <w:tcW w:w="99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Mathematics Achieved</w:t>
            </w:r>
          </w:p>
        </w:tc>
        <w:tc>
          <w:tcPr>
            <w:tcW w:w="115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Physical Sciences Achieved </w:t>
            </w:r>
          </w:p>
        </w:tc>
        <w:tc>
          <w:tcPr>
            <w:tcW w:w="99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Technical Mathematics</w:t>
            </w:r>
          </w:p>
        </w:tc>
        <w:tc>
          <w:tcPr>
            <w:tcW w:w="13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Maths Participation  </w:t>
            </w:r>
          </w:p>
        </w:tc>
        <w:tc>
          <w:tcPr>
            <w:tcW w:w="107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Bachelors  </w:t>
            </w:r>
          </w:p>
        </w:tc>
        <w:tc>
          <w:tcPr>
            <w:tcW w:w="125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Distinctions Achieved</w:t>
            </w:r>
          </w:p>
        </w:tc>
        <w:tc>
          <w:tcPr>
            <w:tcW w:w="147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Throughput</w:t>
            </w:r>
          </w:p>
        </w:tc>
      </w:tr>
      <w:tr w:rsidR="009C6466">
        <w:trPr>
          <w:trHeight w:val="29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1230" w:type="dxa"/>
            <w:shd w:val="clear" w:color="auto" w:fill="FCB97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73.0%</w:t>
            </w:r>
          </w:p>
        </w:tc>
        <w:tc>
          <w:tcPr>
            <w:tcW w:w="990" w:type="dxa"/>
            <w:shd w:val="clear" w:color="auto" w:fill="FDCD7E"/>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76.4%</w:t>
            </w:r>
          </w:p>
        </w:tc>
        <w:tc>
          <w:tcPr>
            <w:tcW w:w="990" w:type="dxa"/>
            <w:shd w:val="clear" w:color="auto" w:fill="F8696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46.6%</w:t>
            </w:r>
          </w:p>
        </w:tc>
        <w:tc>
          <w:tcPr>
            <w:tcW w:w="1150" w:type="dxa"/>
            <w:shd w:val="clear" w:color="auto" w:fill="F8736C"/>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62.3%</w:t>
            </w:r>
          </w:p>
        </w:tc>
        <w:tc>
          <w:tcPr>
            <w:tcW w:w="990" w:type="dxa"/>
            <w:shd w:val="clear" w:color="auto" w:fill="F97D6F"/>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50.7%</w:t>
            </w:r>
          </w:p>
        </w:tc>
        <w:tc>
          <w:tcPr>
            <w:tcW w:w="1310" w:type="dxa"/>
            <w:shd w:val="clear" w:color="auto" w:fill="63BE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48.0%</w:t>
            </w:r>
          </w:p>
        </w:tc>
        <w:tc>
          <w:tcPr>
            <w:tcW w:w="1070" w:type="dxa"/>
            <w:shd w:val="clear" w:color="auto" w:fill="FFEB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34.3%</w:t>
            </w:r>
          </w:p>
        </w:tc>
        <w:tc>
          <w:tcPr>
            <w:tcW w:w="1250" w:type="dxa"/>
            <w:shd w:val="clear" w:color="auto" w:fill="F8E9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3.7%</w:t>
            </w:r>
          </w:p>
        </w:tc>
        <w:tc>
          <w:tcPr>
            <w:tcW w:w="1470" w:type="dxa"/>
            <w:shd w:val="clear" w:color="auto" w:fill="FCC1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66.2%</w:t>
            </w:r>
          </w:p>
        </w:tc>
      </w:tr>
      <w:tr w:rsidR="009C6466">
        <w:trPr>
          <w:trHeight w:val="29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1230" w:type="dxa"/>
            <w:shd w:val="clear" w:color="auto" w:fill="63BE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85.7%</w:t>
            </w:r>
          </w:p>
        </w:tc>
        <w:tc>
          <w:tcPr>
            <w:tcW w:w="990" w:type="dxa"/>
            <w:shd w:val="clear" w:color="auto" w:fill="65BF7C"/>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81.9%</w:t>
            </w:r>
          </w:p>
        </w:tc>
        <w:tc>
          <w:tcPr>
            <w:tcW w:w="990" w:type="dxa"/>
            <w:shd w:val="clear" w:color="auto" w:fill="AED480"/>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66.6%</w:t>
            </w:r>
          </w:p>
        </w:tc>
        <w:tc>
          <w:tcPr>
            <w:tcW w:w="1150" w:type="dxa"/>
            <w:shd w:val="clear" w:color="auto" w:fill="AAD380"/>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75.1%</w:t>
            </w:r>
          </w:p>
        </w:tc>
        <w:tc>
          <w:tcPr>
            <w:tcW w:w="990" w:type="dxa"/>
            <w:shd w:val="clear" w:color="auto" w:fill="93CC7E"/>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73.5%</w:t>
            </w:r>
          </w:p>
        </w:tc>
        <w:tc>
          <w:tcPr>
            <w:tcW w:w="1310" w:type="dxa"/>
            <w:shd w:val="clear" w:color="auto" w:fill="FFEB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36.4%</w:t>
            </w:r>
          </w:p>
        </w:tc>
        <w:tc>
          <w:tcPr>
            <w:tcW w:w="1070" w:type="dxa"/>
            <w:shd w:val="clear" w:color="auto" w:fill="B1D580"/>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39.9%</w:t>
            </w:r>
          </w:p>
        </w:tc>
        <w:tc>
          <w:tcPr>
            <w:tcW w:w="1250" w:type="dxa"/>
            <w:shd w:val="clear" w:color="auto" w:fill="FFEB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w:t>
            </w:r>
          </w:p>
        </w:tc>
        <w:tc>
          <w:tcPr>
            <w:tcW w:w="1470" w:type="dxa"/>
            <w:shd w:val="clear" w:color="auto" w:fill="F86F6C"/>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58.7%</w:t>
            </w:r>
          </w:p>
        </w:tc>
      </w:tr>
      <w:tr w:rsidR="009C6466">
        <w:trPr>
          <w:trHeight w:val="29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1230" w:type="dxa"/>
            <w:shd w:val="clear" w:color="auto" w:fill="97CD7E"/>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82.8%</w:t>
            </w:r>
          </w:p>
        </w:tc>
        <w:tc>
          <w:tcPr>
            <w:tcW w:w="990" w:type="dxa"/>
            <w:shd w:val="clear" w:color="auto" w:fill="63BE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81.9%</w:t>
            </w:r>
          </w:p>
        </w:tc>
        <w:tc>
          <w:tcPr>
            <w:tcW w:w="990" w:type="dxa"/>
            <w:shd w:val="clear" w:color="auto" w:fill="9CCF7F"/>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68.2%</w:t>
            </w:r>
          </w:p>
        </w:tc>
        <w:tc>
          <w:tcPr>
            <w:tcW w:w="1150" w:type="dxa"/>
            <w:shd w:val="clear" w:color="auto" w:fill="CEDD82"/>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73.5%</w:t>
            </w:r>
          </w:p>
        </w:tc>
        <w:tc>
          <w:tcPr>
            <w:tcW w:w="990" w:type="dxa"/>
            <w:shd w:val="clear" w:color="auto" w:fill="FBEA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63.4%</w:t>
            </w:r>
          </w:p>
        </w:tc>
        <w:tc>
          <w:tcPr>
            <w:tcW w:w="1310" w:type="dxa"/>
            <w:shd w:val="clear" w:color="auto" w:fill="FCBF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31.2%</w:t>
            </w:r>
          </w:p>
        </w:tc>
        <w:tc>
          <w:tcPr>
            <w:tcW w:w="1070" w:type="dxa"/>
            <w:shd w:val="clear" w:color="auto" w:fill="78C57D"/>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43.8%</w:t>
            </w:r>
          </w:p>
        </w:tc>
        <w:tc>
          <w:tcPr>
            <w:tcW w:w="1250" w:type="dxa"/>
            <w:shd w:val="clear" w:color="auto" w:fill="B9D780"/>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w:t>
            </w:r>
          </w:p>
        </w:tc>
        <w:tc>
          <w:tcPr>
            <w:tcW w:w="1470" w:type="dxa"/>
            <w:shd w:val="clear" w:color="auto" w:fill="F9EA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70.4%</w:t>
            </w:r>
          </w:p>
        </w:tc>
      </w:tr>
      <w:tr w:rsidR="009C6466">
        <w:trPr>
          <w:trHeight w:val="29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1230" w:type="dxa"/>
            <w:shd w:val="clear" w:color="auto" w:fill="FFEB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76.8%</w:t>
            </w:r>
          </w:p>
        </w:tc>
        <w:tc>
          <w:tcPr>
            <w:tcW w:w="990" w:type="dxa"/>
            <w:shd w:val="clear" w:color="auto" w:fill="FA9573"/>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70.1%</w:t>
            </w:r>
          </w:p>
        </w:tc>
        <w:tc>
          <w:tcPr>
            <w:tcW w:w="990" w:type="dxa"/>
            <w:shd w:val="clear" w:color="auto" w:fill="FCB77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54.2%</w:t>
            </w:r>
          </w:p>
        </w:tc>
        <w:tc>
          <w:tcPr>
            <w:tcW w:w="1150" w:type="dxa"/>
            <w:shd w:val="clear" w:color="auto" w:fill="FFEB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71.2%</w:t>
            </w:r>
          </w:p>
        </w:tc>
        <w:tc>
          <w:tcPr>
            <w:tcW w:w="990" w:type="dxa"/>
            <w:shd w:val="clear" w:color="auto" w:fill="FFEB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63.0%</w:t>
            </w:r>
          </w:p>
        </w:tc>
        <w:tc>
          <w:tcPr>
            <w:tcW w:w="1310" w:type="dxa"/>
            <w:shd w:val="clear" w:color="auto" w:fill="F8E9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36.9%</w:t>
            </w:r>
          </w:p>
        </w:tc>
        <w:tc>
          <w:tcPr>
            <w:tcW w:w="1070" w:type="dxa"/>
            <w:shd w:val="clear" w:color="auto" w:fill="D7E082"/>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37.1%</w:t>
            </w:r>
          </w:p>
        </w:tc>
        <w:tc>
          <w:tcPr>
            <w:tcW w:w="1250" w:type="dxa"/>
            <w:shd w:val="clear" w:color="auto" w:fill="BFD981"/>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w:t>
            </w:r>
          </w:p>
        </w:tc>
        <w:tc>
          <w:tcPr>
            <w:tcW w:w="1470" w:type="dxa"/>
            <w:shd w:val="clear" w:color="auto" w:fill="B5D680"/>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73.5%</w:t>
            </w:r>
          </w:p>
        </w:tc>
      </w:tr>
      <w:tr w:rsidR="009C6466">
        <w:trPr>
          <w:trHeight w:val="29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1230" w:type="dxa"/>
            <w:shd w:val="clear" w:color="auto" w:fill="F8696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66.7%</w:t>
            </w:r>
          </w:p>
        </w:tc>
        <w:tc>
          <w:tcPr>
            <w:tcW w:w="990" w:type="dxa"/>
            <w:shd w:val="clear" w:color="auto" w:fill="F8696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65.2%</w:t>
            </w:r>
          </w:p>
        </w:tc>
        <w:tc>
          <w:tcPr>
            <w:tcW w:w="990" w:type="dxa"/>
            <w:shd w:val="clear" w:color="auto" w:fill="FCBB7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54.5%</w:t>
            </w:r>
          </w:p>
        </w:tc>
        <w:tc>
          <w:tcPr>
            <w:tcW w:w="1150" w:type="dxa"/>
            <w:shd w:val="clear" w:color="auto" w:fill="FCBC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67.8%</w:t>
            </w:r>
          </w:p>
        </w:tc>
        <w:tc>
          <w:tcPr>
            <w:tcW w:w="990" w:type="dxa"/>
            <w:shd w:val="clear" w:color="auto" w:fill="FA9773"/>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53.6%</w:t>
            </w:r>
          </w:p>
        </w:tc>
        <w:tc>
          <w:tcPr>
            <w:tcW w:w="1310" w:type="dxa"/>
            <w:shd w:val="clear" w:color="auto" w:fill="AAD380"/>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42.7%</w:t>
            </w:r>
          </w:p>
        </w:tc>
        <w:tc>
          <w:tcPr>
            <w:tcW w:w="1070" w:type="dxa"/>
            <w:shd w:val="clear" w:color="auto" w:fill="F8696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26.7%</w:t>
            </w:r>
          </w:p>
        </w:tc>
        <w:tc>
          <w:tcPr>
            <w:tcW w:w="1250" w:type="dxa"/>
            <w:shd w:val="clear" w:color="auto" w:fill="F9826F"/>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w:t>
            </w:r>
          </w:p>
        </w:tc>
        <w:tc>
          <w:tcPr>
            <w:tcW w:w="1470" w:type="dxa"/>
            <w:shd w:val="clear" w:color="auto" w:fill="FFEB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70.1%</w:t>
            </w:r>
          </w:p>
        </w:tc>
      </w:tr>
      <w:tr w:rsidR="009C6466">
        <w:trPr>
          <w:trHeight w:val="29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1230" w:type="dxa"/>
            <w:shd w:val="clear" w:color="auto" w:fill="FCC17C"/>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73.6%</w:t>
            </w:r>
          </w:p>
        </w:tc>
        <w:tc>
          <w:tcPr>
            <w:tcW w:w="990" w:type="dxa"/>
            <w:shd w:val="clear" w:color="auto" w:fill="FBA175"/>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71.4%</w:t>
            </w:r>
          </w:p>
        </w:tc>
        <w:tc>
          <w:tcPr>
            <w:tcW w:w="990" w:type="dxa"/>
            <w:shd w:val="clear" w:color="auto" w:fill="FCB579"/>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54.0%</w:t>
            </w:r>
          </w:p>
        </w:tc>
        <w:tc>
          <w:tcPr>
            <w:tcW w:w="1150" w:type="dxa"/>
            <w:shd w:val="clear" w:color="auto" w:fill="F8696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61.5%</w:t>
            </w:r>
          </w:p>
        </w:tc>
        <w:tc>
          <w:tcPr>
            <w:tcW w:w="990" w:type="dxa"/>
            <w:shd w:val="clear" w:color="auto" w:fill="63BE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78.0%</w:t>
            </w:r>
          </w:p>
        </w:tc>
        <w:tc>
          <w:tcPr>
            <w:tcW w:w="1310" w:type="dxa"/>
            <w:shd w:val="clear" w:color="auto" w:fill="A9D27F"/>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42.8%</w:t>
            </w:r>
          </w:p>
        </w:tc>
        <w:tc>
          <w:tcPr>
            <w:tcW w:w="1070" w:type="dxa"/>
            <w:shd w:val="clear" w:color="auto" w:fill="FCBB7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31.5%</w:t>
            </w:r>
          </w:p>
        </w:tc>
        <w:tc>
          <w:tcPr>
            <w:tcW w:w="1250" w:type="dxa"/>
            <w:shd w:val="clear" w:color="auto" w:fill="F98770"/>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w:t>
            </w:r>
          </w:p>
        </w:tc>
        <w:tc>
          <w:tcPr>
            <w:tcW w:w="1470" w:type="dxa"/>
            <w:shd w:val="clear" w:color="auto" w:fill="63BE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77.3%</w:t>
            </w:r>
          </w:p>
        </w:tc>
      </w:tr>
      <w:tr w:rsidR="009C6466">
        <w:trPr>
          <w:trHeight w:val="29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w:t>
            </w:r>
          </w:p>
        </w:tc>
        <w:tc>
          <w:tcPr>
            <w:tcW w:w="1230" w:type="dxa"/>
            <w:shd w:val="clear" w:color="auto" w:fill="E7E483"/>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78.2%</w:t>
            </w:r>
          </w:p>
        </w:tc>
        <w:tc>
          <w:tcPr>
            <w:tcW w:w="990" w:type="dxa"/>
            <w:shd w:val="clear" w:color="auto" w:fill="FFEB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79.6%</w:t>
            </w:r>
          </w:p>
        </w:tc>
        <w:tc>
          <w:tcPr>
            <w:tcW w:w="990" w:type="dxa"/>
            <w:shd w:val="clear" w:color="auto" w:fill="79C57D"/>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71.5%</w:t>
            </w:r>
          </w:p>
        </w:tc>
        <w:tc>
          <w:tcPr>
            <w:tcW w:w="1150" w:type="dxa"/>
            <w:shd w:val="clear" w:color="auto" w:fill="76C47D"/>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77.5%</w:t>
            </w:r>
          </w:p>
        </w:tc>
        <w:tc>
          <w:tcPr>
            <w:tcW w:w="990" w:type="dxa"/>
            <w:shd w:val="clear" w:color="auto" w:fill="F8696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48.4%</w:t>
            </w:r>
          </w:p>
        </w:tc>
        <w:tc>
          <w:tcPr>
            <w:tcW w:w="1310" w:type="dxa"/>
            <w:shd w:val="clear" w:color="auto" w:fill="F9806F"/>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23.9%</w:t>
            </w:r>
          </w:p>
        </w:tc>
        <w:tc>
          <w:tcPr>
            <w:tcW w:w="1070" w:type="dxa"/>
            <w:shd w:val="clear" w:color="auto" w:fill="FEE282"/>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33.8%</w:t>
            </w:r>
          </w:p>
        </w:tc>
        <w:tc>
          <w:tcPr>
            <w:tcW w:w="1250" w:type="dxa"/>
            <w:shd w:val="clear" w:color="auto" w:fill="FBAA77"/>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w:t>
            </w:r>
          </w:p>
        </w:tc>
        <w:tc>
          <w:tcPr>
            <w:tcW w:w="1470" w:type="dxa"/>
            <w:shd w:val="clear" w:color="auto" w:fill="F98E72"/>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61.5%</w:t>
            </w:r>
          </w:p>
        </w:tc>
      </w:tr>
      <w:tr w:rsidR="009C6466">
        <w:trPr>
          <w:trHeight w:val="29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1230" w:type="dxa"/>
            <w:shd w:val="clear" w:color="auto" w:fill="FBA576"/>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71.4%</w:t>
            </w:r>
          </w:p>
        </w:tc>
        <w:tc>
          <w:tcPr>
            <w:tcW w:w="990" w:type="dxa"/>
            <w:shd w:val="clear" w:color="auto" w:fill="B1D580"/>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80.8%</w:t>
            </w:r>
          </w:p>
        </w:tc>
        <w:tc>
          <w:tcPr>
            <w:tcW w:w="990" w:type="dxa"/>
            <w:shd w:val="clear" w:color="auto" w:fill="FFEB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59.2%</w:t>
            </w:r>
          </w:p>
        </w:tc>
        <w:tc>
          <w:tcPr>
            <w:tcW w:w="1150" w:type="dxa"/>
            <w:shd w:val="clear" w:color="auto" w:fill="FA9A7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65.2%</w:t>
            </w:r>
          </w:p>
        </w:tc>
        <w:tc>
          <w:tcPr>
            <w:tcW w:w="990" w:type="dxa"/>
            <w:shd w:val="clear" w:color="auto" w:fill="FDCE7E"/>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59.8%</w:t>
            </w:r>
          </w:p>
        </w:tc>
        <w:tc>
          <w:tcPr>
            <w:tcW w:w="1310" w:type="dxa"/>
            <w:shd w:val="clear" w:color="auto" w:fill="F8696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21.1%</w:t>
            </w:r>
          </w:p>
        </w:tc>
        <w:tc>
          <w:tcPr>
            <w:tcW w:w="1070" w:type="dxa"/>
            <w:shd w:val="clear" w:color="auto" w:fill="FBA676"/>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30.3%</w:t>
            </w:r>
          </w:p>
        </w:tc>
        <w:tc>
          <w:tcPr>
            <w:tcW w:w="1250" w:type="dxa"/>
            <w:shd w:val="clear" w:color="auto" w:fill="F8696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w:t>
            </w:r>
          </w:p>
        </w:tc>
        <w:tc>
          <w:tcPr>
            <w:tcW w:w="1470" w:type="dxa"/>
            <w:shd w:val="clear" w:color="auto" w:fill="F8696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58.1%</w:t>
            </w:r>
          </w:p>
        </w:tc>
      </w:tr>
      <w:tr w:rsidR="009C6466">
        <w:trPr>
          <w:trHeight w:val="29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w:t>
            </w:r>
          </w:p>
        </w:tc>
        <w:tc>
          <w:tcPr>
            <w:tcW w:w="1230" w:type="dxa"/>
            <w:shd w:val="clear" w:color="auto" w:fill="B2D580"/>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81.2%</w:t>
            </w:r>
          </w:p>
        </w:tc>
        <w:tc>
          <w:tcPr>
            <w:tcW w:w="990" w:type="dxa"/>
            <w:shd w:val="clear" w:color="auto" w:fill="DFE283"/>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80.1%</w:t>
            </w:r>
          </w:p>
        </w:tc>
        <w:tc>
          <w:tcPr>
            <w:tcW w:w="990" w:type="dxa"/>
            <w:shd w:val="clear" w:color="auto" w:fill="63BE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73.4%</w:t>
            </w:r>
          </w:p>
        </w:tc>
        <w:tc>
          <w:tcPr>
            <w:tcW w:w="1150" w:type="dxa"/>
            <w:shd w:val="clear" w:color="auto" w:fill="63BE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78.3%</w:t>
            </w:r>
          </w:p>
        </w:tc>
        <w:tc>
          <w:tcPr>
            <w:tcW w:w="990" w:type="dxa"/>
            <w:shd w:val="clear" w:color="auto" w:fill="FDEB84"/>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63.2%</w:t>
            </w:r>
          </w:p>
        </w:tc>
        <w:tc>
          <w:tcPr>
            <w:tcW w:w="1310" w:type="dxa"/>
            <w:shd w:val="clear" w:color="auto" w:fill="FA9573"/>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26.3%</w:t>
            </w:r>
          </w:p>
        </w:tc>
        <w:tc>
          <w:tcPr>
            <w:tcW w:w="1070" w:type="dxa"/>
            <w:shd w:val="clear" w:color="auto" w:fill="63BE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45.3%</w:t>
            </w:r>
          </w:p>
        </w:tc>
        <w:tc>
          <w:tcPr>
            <w:tcW w:w="1250" w:type="dxa"/>
            <w:shd w:val="clear" w:color="auto" w:fill="63BE7B"/>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7.2%</w:t>
            </w:r>
          </w:p>
        </w:tc>
        <w:tc>
          <w:tcPr>
            <w:tcW w:w="1470" w:type="dxa"/>
            <w:shd w:val="clear" w:color="auto" w:fill="B7D780"/>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73.4%</w:t>
            </w:r>
          </w:p>
        </w:tc>
      </w:tr>
      <w:tr w:rsidR="009C6466">
        <w:trPr>
          <w:trHeight w:val="290"/>
          <w:tblCellSpacing w:w="0" w:type="dxa"/>
        </w:trPr>
        <w:tc>
          <w:tcPr>
            <w:tcW w:w="18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NATIONAL</w:t>
            </w:r>
          </w:p>
        </w:tc>
        <w:tc>
          <w:tcPr>
            <w:tcW w:w="123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76.4%</w:t>
            </w:r>
          </w:p>
        </w:tc>
        <w:tc>
          <w:tcPr>
            <w:tcW w:w="99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74.7%</w:t>
            </w:r>
          </w:p>
        </w:tc>
        <w:tc>
          <w:tcPr>
            <w:tcW w:w="99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57.6%</w:t>
            </w:r>
          </w:p>
        </w:tc>
        <w:tc>
          <w:tcPr>
            <w:tcW w:w="115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69.0%</w:t>
            </w:r>
          </w:p>
        </w:tc>
        <w:tc>
          <w:tcPr>
            <w:tcW w:w="99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60.1%</w:t>
            </w:r>
          </w:p>
        </w:tc>
        <w:tc>
          <w:tcPr>
            <w:tcW w:w="131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36.8%</w:t>
            </w:r>
          </w:p>
        </w:tc>
        <w:tc>
          <w:tcPr>
            <w:tcW w:w="107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36.4%</w:t>
            </w:r>
          </w:p>
        </w:tc>
        <w:tc>
          <w:tcPr>
            <w:tcW w:w="125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4.2%</w:t>
            </w:r>
          </w:p>
        </w:tc>
        <w:tc>
          <w:tcPr>
            <w:tcW w:w="1470" w:type="dxa"/>
            <w:tcMar>
              <w:top w:w="15" w:type="dxa"/>
              <w:left w:w="15" w:type="dxa"/>
              <w:bottom w:w="15" w:type="dxa"/>
              <w:right w:w="15" w:type="dxa"/>
            </w:tcMar>
            <w:vAlign w:val="center"/>
            <w:hideMark/>
          </w:tcPr>
          <w:p w:rsidR="009C6466" w:rsidRDefault="004B4E1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69.8</w:t>
            </w:r>
          </w:p>
        </w:tc>
      </w:tr>
    </w:tbl>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(d) (ii)  Annexure A, Representing the Performance of the Seventy Five Education Districts in the 2021 NSC Examinations, in terms of the Inclusive Basket of Criteria.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EF37B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AB" w:rsidRDefault="00977AAB">
      <w:pPr>
        <w:spacing w:after="0" w:line="240" w:lineRule="auto"/>
      </w:pPr>
      <w:r>
        <w:separator/>
      </w:r>
    </w:p>
  </w:endnote>
  <w:endnote w:type="continuationSeparator" w:id="0">
    <w:p w:rsidR="00977AAB" w:rsidRDefault="00977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AB" w:rsidRDefault="00977AAB">
      <w:pPr>
        <w:spacing w:after="0" w:line="240" w:lineRule="auto"/>
      </w:pPr>
      <w:r>
        <w:separator/>
      </w:r>
    </w:p>
  </w:footnote>
  <w:footnote w:type="continuationSeparator" w:id="0">
    <w:p w:rsidR="00977AAB" w:rsidRDefault="00977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1662.  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77AAB"/>
    <w:rsid w:val="00996F09"/>
    <w:rsid w:val="009B6115"/>
    <w:rsid w:val="009C2773"/>
    <w:rsid w:val="009C6466"/>
    <w:rsid w:val="009D302C"/>
    <w:rsid w:val="009F03E8"/>
    <w:rsid w:val="00A20079"/>
    <w:rsid w:val="00A451EB"/>
    <w:rsid w:val="00A5175A"/>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37B7"/>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DE88-8C8E-40AA-9F14-AFB3A7B2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2022-05-19T12:04:00Z</dcterms:created>
  <dcterms:modified xsi:type="dcterms:W3CDTF">2022-05-19T12:04:00Z</dcterms:modified>
</cp:coreProperties>
</file>