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615D" w14:textId="77777777" w:rsidR="00C94A8D" w:rsidRDefault="00C94A8D" w:rsidP="00C94A8D">
      <w:pPr>
        <w:rPr>
          <w:sz w:val="20"/>
        </w:rPr>
      </w:pPr>
      <w:bookmarkStart w:id="0" w:name="_GoBack"/>
      <w:bookmarkEnd w:id="0"/>
    </w:p>
    <w:p w14:paraId="60FED385" w14:textId="77777777" w:rsidR="00C94A8D" w:rsidRDefault="00C94A8D" w:rsidP="00C94A8D">
      <w:pPr>
        <w:rPr>
          <w:sz w:val="20"/>
        </w:rPr>
      </w:pPr>
    </w:p>
    <w:p w14:paraId="2B059200" w14:textId="77777777" w:rsidR="00AA5CBF" w:rsidRPr="004D116D" w:rsidRDefault="00AA5CBF" w:rsidP="00AA5CBF">
      <w:pPr>
        <w:spacing w:line="276" w:lineRule="auto"/>
        <w:ind w:left="-142" w:right="328"/>
        <w:jc w:val="center"/>
        <w:rPr>
          <w:szCs w:val="24"/>
        </w:rPr>
      </w:pPr>
      <w:r w:rsidRPr="004D116D">
        <w:rPr>
          <w:noProof/>
          <w:szCs w:val="24"/>
          <w:lang w:val="en-ZA" w:eastAsia="en-ZA"/>
        </w:rPr>
        <w:drawing>
          <wp:inline distT="0" distB="0" distL="0" distR="0" wp14:anchorId="1B57D03D" wp14:editId="12DC7D85">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0FBEC712" w14:textId="77777777" w:rsidR="00AA5CBF" w:rsidRPr="004D116D" w:rsidRDefault="00AA5CBF" w:rsidP="00AA5CBF">
      <w:pPr>
        <w:spacing w:line="276" w:lineRule="auto"/>
        <w:ind w:left="426" w:right="328" w:firstLine="720"/>
        <w:rPr>
          <w:rFonts w:cs="Arial"/>
          <w:b/>
          <w:szCs w:val="24"/>
        </w:rPr>
      </w:pPr>
    </w:p>
    <w:p w14:paraId="24E7B271" w14:textId="77777777" w:rsidR="00AA5CBF" w:rsidRPr="004D116D" w:rsidRDefault="00AA5CBF" w:rsidP="00AA5CBF">
      <w:pPr>
        <w:spacing w:line="276" w:lineRule="auto"/>
        <w:ind w:right="328"/>
        <w:jc w:val="center"/>
        <w:rPr>
          <w:rFonts w:cs="Arial"/>
          <w:b/>
          <w:szCs w:val="24"/>
        </w:rPr>
      </w:pPr>
      <w:r w:rsidRPr="004D116D">
        <w:rPr>
          <w:rFonts w:cs="Arial"/>
          <w:b/>
          <w:szCs w:val="24"/>
        </w:rPr>
        <w:t>DEPARTMENT: PUBLIC ENTERPRISES</w:t>
      </w:r>
    </w:p>
    <w:p w14:paraId="67B555AA" w14:textId="77777777" w:rsidR="00AA5CBF" w:rsidRPr="004D116D" w:rsidRDefault="00AA5CBF" w:rsidP="00AA5CBF">
      <w:pPr>
        <w:spacing w:line="276" w:lineRule="auto"/>
        <w:ind w:right="328"/>
        <w:jc w:val="center"/>
        <w:rPr>
          <w:rFonts w:cs="Arial"/>
          <w:b/>
          <w:szCs w:val="24"/>
        </w:rPr>
      </w:pPr>
      <w:r w:rsidRPr="004D116D">
        <w:rPr>
          <w:rFonts w:cs="Arial"/>
          <w:b/>
          <w:szCs w:val="24"/>
        </w:rPr>
        <w:t>REPUBLIC OF SOUTH AFRICA</w:t>
      </w:r>
    </w:p>
    <w:p w14:paraId="32A458F0" w14:textId="77777777" w:rsidR="00AF1965" w:rsidRDefault="00AF1965" w:rsidP="00AF1965">
      <w:pPr>
        <w:spacing w:line="276" w:lineRule="auto"/>
        <w:ind w:right="328"/>
        <w:rPr>
          <w:rFonts w:cs="Arial"/>
          <w:b/>
          <w:szCs w:val="24"/>
        </w:rPr>
      </w:pPr>
    </w:p>
    <w:p w14:paraId="65F4C487" w14:textId="77777777" w:rsidR="00AA5CBF" w:rsidRPr="004D116D" w:rsidRDefault="00AA5CBF" w:rsidP="00AF1965">
      <w:pPr>
        <w:spacing w:line="276" w:lineRule="auto"/>
        <w:ind w:right="328"/>
        <w:rPr>
          <w:rFonts w:cs="Arial"/>
          <w:b/>
          <w:szCs w:val="24"/>
        </w:rPr>
      </w:pPr>
      <w:r w:rsidRPr="004D116D">
        <w:rPr>
          <w:rFonts w:cs="Arial"/>
          <w:b/>
          <w:szCs w:val="24"/>
        </w:rPr>
        <w:t>NATIONAL ASSEMBLY</w:t>
      </w:r>
    </w:p>
    <w:p w14:paraId="7A246AF9" w14:textId="77777777" w:rsidR="00AA5CBF" w:rsidRPr="004D116D" w:rsidRDefault="00AA5CBF" w:rsidP="00AA5CBF">
      <w:pPr>
        <w:spacing w:line="276" w:lineRule="auto"/>
        <w:ind w:right="328"/>
        <w:rPr>
          <w:rFonts w:cs="Arial"/>
          <w:b/>
          <w:bCs/>
          <w:szCs w:val="24"/>
        </w:rPr>
      </w:pPr>
    </w:p>
    <w:p w14:paraId="6228BCEE" w14:textId="77777777" w:rsidR="00AA5CBF" w:rsidRPr="004D116D" w:rsidRDefault="00AA5CBF" w:rsidP="00AA5CBF">
      <w:pPr>
        <w:spacing w:line="276" w:lineRule="auto"/>
        <w:ind w:right="328"/>
        <w:rPr>
          <w:rFonts w:cs="Arial"/>
          <w:b/>
          <w:bCs/>
          <w:szCs w:val="24"/>
        </w:rPr>
      </w:pPr>
      <w:r w:rsidRPr="004D116D">
        <w:rPr>
          <w:rFonts w:cs="Arial"/>
          <w:b/>
          <w:bCs/>
          <w:szCs w:val="24"/>
        </w:rPr>
        <w:t xml:space="preserve">QUESTION NO.: </w:t>
      </w:r>
      <w:r w:rsidR="00ED581B">
        <w:rPr>
          <w:rFonts w:cs="Arial"/>
          <w:b/>
          <w:bCs/>
          <w:szCs w:val="24"/>
        </w:rPr>
        <w:t>1660</w:t>
      </w:r>
    </w:p>
    <w:p w14:paraId="4FE4D4A5" w14:textId="77777777" w:rsidR="00AA5CBF" w:rsidRPr="004D116D" w:rsidRDefault="00AA5CBF" w:rsidP="00AA5CBF">
      <w:pPr>
        <w:spacing w:line="276" w:lineRule="auto"/>
        <w:ind w:right="328"/>
        <w:rPr>
          <w:rFonts w:cs="Arial"/>
          <w:b/>
          <w:bCs/>
          <w:szCs w:val="24"/>
        </w:rPr>
      </w:pPr>
    </w:p>
    <w:p w14:paraId="18BEA425" w14:textId="77777777" w:rsidR="00AA5CBF" w:rsidRDefault="00AA5CBF" w:rsidP="00AA5CBF">
      <w:pPr>
        <w:ind w:left="709" w:hanging="709"/>
        <w:jc w:val="both"/>
        <w:rPr>
          <w:rFonts w:ascii="Calibri" w:hAnsi="Calibri"/>
          <w:sz w:val="22"/>
          <w:lang w:val="en-ZA" w:eastAsia="en-US"/>
        </w:rPr>
      </w:pPr>
      <w:r w:rsidRPr="00B614CA">
        <w:rPr>
          <w:rFonts w:ascii="Times New Roman" w:eastAsiaTheme="minorHAnsi" w:hAnsi="Times New Roman"/>
          <w:b/>
          <w:noProof/>
          <w:szCs w:val="24"/>
          <w:lang w:val="en-GB"/>
        </w:rPr>
        <w:tab/>
      </w:r>
      <w:r>
        <w:rPr>
          <w:b/>
          <w:bCs/>
          <w:lang w:val="en-ZA"/>
        </w:rPr>
        <w:t xml:space="preserve">Mr </w:t>
      </w:r>
      <w:r w:rsidR="003F0D68">
        <w:rPr>
          <w:b/>
          <w:bCs/>
          <w:lang w:val="en-ZA"/>
        </w:rPr>
        <w:t xml:space="preserve">SC </w:t>
      </w:r>
      <w:proofErr w:type="spellStart"/>
      <w:r w:rsidR="003F0D68">
        <w:rPr>
          <w:b/>
          <w:bCs/>
          <w:lang w:val="en-ZA"/>
        </w:rPr>
        <w:t>Modau</w:t>
      </w:r>
      <w:proofErr w:type="spellEnd"/>
      <w:r>
        <w:rPr>
          <w:b/>
          <w:bCs/>
          <w:lang w:val="en-ZA"/>
        </w:rPr>
        <w:t>: (DA) to ask the Minister of Public Enterprises:</w:t>
      </w:r>
    </w:p>
    <w:p w14:paraId="64ABEFFD" w14:textId="77777777" w:rsidR="003F0D68" w:rsidRPr="00ED581B" w:rsidRDefault="00AA5CBF" w:rsidP="003F0D68">
      <w:pPr>
        <w:spacing w:before="100" w:beforeAutospacing="1" w:after="100" w:afterAutospacing="1" w:line="259" w:lineRule="auto"/>
        <w:ind w:left="720"/>
        <w:jc w:val="both"/>
        <w:rPr>
          <w:rFonts w:eastAsia="Calibri" w:cs="Arial"/>
          <w:color w:val="auto"/>
          <w:szCs w:val="24"/>
          <w:lang w:eastAsia="en-US"/>
        </w:rPr>
      </w:pPr>
      <w:proofErr w:type="gramStart"/>
      <w:r w:rsidRPr="008C144E">
        <w:rPr>
          <w:lang w:val="en-ZA"/>
        </w:rPr>
        <w:t xml:space="preserve">(a) </w:t>
      </w:r>
      <w:r w:rsidR="003F0D68" w:rsidRPr="008C144E">
        <w:rPr>
          <w:rFonts w:eastAsia="Calibri" w:cs="Arial"/>
          <w:szCs w:val="24"/>
          <w:lang w:eastAsia="en-ZA"/>
        </w:rPr>
        <w:t>What number of cases relating to the Prevention and Combating of Corrupt Activities Act, Act 12 of 2004, as amended, have been referred to the (</w:t>
      </w:r>
      <w:proofErr w:type="spellStart"/>
      <w:r w:rsidR="003F0D68" w:rsidRPr="008C144E">
        <w:rPr>
          <w:rFonts w:eastAsia="Calibri" w:cs="Arial"/>
          <w:szCs w:val="24"/>
          <w:lang w:eastAsia="en-ZA"/>
        </w:rPr>
        <w:t>i</w:t>
      </w:r>
      <w:proofErr w:type="spellEnd"/>
      <w:r w:rsidR="003F0D68" w:rsidRPr="008C144E">
        <w:rPr>
          <w:rFonts w:eastAsia="Calibri" w:cs="Arial"/>
          <w:szCs w:val="24"/>
          <w:lang w:eastAsia="en-ZA"/>
        </w:rPr>
        <w:t xml:space="preserve">) SA </w:t>
      </w:r>
      <w:r w:rsidR="003F0D68" w:rsidRPr="008C144E">
        <w:rPr>
          <w:rFonts w:eastAsia="Calibri" w:cs="Arial"/>
          <w:noProof/>
          <w:szCs w:val="24"/>
          <w:lang w:val="af-ZA" w:eastAsia="en-ZA"/>
        </w:rPr>
        <w:t>Police</w:t>
      </w:r>
      <w:r w:rsidR="003F0D68" w:rsidRPr="008C144E">
        <w:rPr>
          <w:rFonts w:eastAsia="Calibri" w:cs="Arial"/>
          <w:szCs w:val="24"/>
          <w:lang w:eastAsia="en-ZA"/>
        </w:rPr>
        <w:t xml:space="preserve"> Service (SAPS) and (ii) Directorate for Priority Crime Investigation (DPCI) by (aa) his department and (bb) each entity reporting to him for further investigation since the Act was assented to and (b) what number of the specified cases have (</w:t>
      </w:r>
      <w:proofErr w:type="spellStart"/>
      <w:r w:rsidR="003F0D68" w:rsidRPr="008C144E">
        <w:rPr>
          <w:rFonts w:eastAsia="Calibri" w:cs="Arial"/>
          <w:szCs w:val="24"/>
          <w:lang w:eastAsia="en-ZA"/>
        </w:rPr>
        <w:t>i</w:t>
      </w:r>
      <w:proofErr w:type="spellEnd"/>
      <w:r w:rsidR="003F0D68" w:rsidRPr="008C144E">
        <w:rPr>
          <w:rFonts w:eastAsia="Calibri" w:cs="Arial"/>
          <w:szCs w:val="24"/>
          <w:lang w:eastAsia="en-ZA"/>
        </w:rPr>
        <w:t>) been investigated by SAPS and DPCI, (ii) been followed up by the respective accounting officers and (iii) resulted in a conviction in each specified financial year since 2004</w:t>
      </w:r>
      <w:r w:rsidR="003F0D68" w:rsidRPr="008C144E">
        <w:rPr>
          <w:rFonts w:eastAsia="Calibri" w:cs="Arial"/>
          <w:color w:val="auto"/>
          <w:szCs w:val="24"/>
          <w:lang w:eastAsia="en-US"/>
        </w:rPr>
        <w:t>?</w:t>
      </w:r>
      <w:r w:rsidR="003F0D68" w:rsidRPr="008C144E">
        <w:rPr>
          <w:rFonts w:eastAsia="Calibri" w:cs="Arial"/>
          <w:color w:val="auto"/>
          <w:szCs w:val="24"/>
          <w:lang w:eastAsia="en-US"/>
        </w:rPr>
        <w:tab/>
      </w:r>
      <w:proofErr w:type="gramEnd"/>
      <w:r w:rsidR="003F0D68" w:rsidRPr="008C144E">
        <w:rPr>
          <w:rFonts w:eastAsia="Calibri" w:cs="Arial"/>
          <w:color w:val="auto"/>
          <w:szCs w:val="24"/>
          <w:lang w:eastAsia="en-US"/>
        </w:rPr>
        <w:t>NW1810E</w:t>
      </w:r>
    </w:p>
    <w:p w14:paraId="3322A0DE" w14:textId="77777777" w:rsidR="00AA5CBF" w:rsidRDefault="00AA5CBF" w:rsidP="00AA5CBF">
      <w:pPr>
        <w:jc w:val="both"/>
        <w:rPr>
          <w:lang w:val="en-ZA"/>
        </w:rPr>
      </w:pPr>
    </w:p>
    <w:p w14:paraId="528223F6" w14:textId="77777777" w:rsidR="00AA5CBF" w:rsidRDefault="00AA5CBF" w:rsidP="00AA5CBF">
      <w:pPr>
        <w:pStyle w:val="NormalWeb"/>
        <w:spacing w:after="0" w:line="360" w:lineRule="auto"/>
        <w:rPr>
          <w:rFonts w:ascii="Arial" w:hAnsi="Arial" w:cs="Arial"/>
          <w:b/>
          <w:bCs/>
        </w:rPr>
      </w:pPr>
      <w:r w:rsidRPr="00BF0A3F">
        <w:rPr>
          <w:rFonts w:ascii="Arial" w:hAnsi="Arial" w:cs="Arial"/>
          <w:b/>
          <w:bCs/>
        </w:rPr>
        <w:t xml:space="preserve">REPLY: </w:t>
      </w:r>
    </w:p>
    <w:p w14:paraId="65AA80DD" w14:textId="77777777" w:rsidR="00705586" w:rsidRDefault="00705586" w:rsidP="00AA5CBF">
      <w:pPr>
        <w:pStyle w:val="NormalWeb"/>
        <w:spacing w:after="0" w:line="360" w:lineRule="auto"/>
        <w:rPr>
          <w:rFonts w:ascii="Arial" w:hAnsi="Arial" w:cs="Arial"/>
          <w:b/>
          <w:bCs/>
        </w:rPr>
      </w:pPr>
    </w:p>
    <w:p w14:paraId="591E78B9" w14:textId="77777777" w:rsidR="00AA5CBF" w:rsidRDefault="00705586" w:rsidP="00AA5CBF">
      <w:pPr>
        <w:pStyle w:val="NormalWeb"/>
        <w:spacing w:after="0" w:line="360" w:lineRule="auto"/>
        <w:rPr>
          <w:rFonts w:ascii="Arial" w:hAnsi="Arial" w:cs="Arial"/>
          <w:b/>
          <w:bCs/>
        </w:rPr>
      </w:pPr>
      <w:r>
        <w:rPr>
          <w:rFonts w:ascii="Arial" w:hAnsi="Arial" w:cs="Arial"/>
          <w:b/>
          <w:bCs/>
        </w:rPr>
        <w:t>DPE response</w:t>
      </w:r>
    </w:p>
    <w:p w14:paraId="010A3444" w14:textId="77777777" w:rsidR="00ED581B" w:rsidRPr="00ED581B" w:rsidRDefault="00ED581B" w:rsidP="003F0D68">
      <w:pPr>
        <w:jc w:val="both"/>
        <w:rPr>
          <w:rFonts w:eastAsia="Calibri" w:cs="Arial"/>
          <w:szCs w:val="24"/>
          <w:lang w:eastAsia="en-ZA"/>
        </w:rPr>
      </w:pPr>
      <w:r w:rsidRPr="00ED581B">
        <w:rPr>
          <w:rFonts w:eastAsiaTheme="minorHAnsi" w:cs="Arial"/>
          <w:color w:val="auto"/>
          <w:szCs w:val="24"/>
          <w:lang w:eastAsia="en-US"/>
        </w:rPr>
        <w:tab/>
      </w:r>
    </w:p>
    <w:p w14:paraId="7F83CD1F" w14:textId="77777777" w:rsidR="00ED581B" w:rsidRPr="00ED581B" w:rsidRDefault="00ED581B" w:rsidP="003F0D68">
      <w:pPr>
        <w:numPr>
          <w:ilvl w:val="0"/>
          <w:numId w:val="3"/>
        </w:numPr>
        <w:ind w:left="900" w:hanging="540"/>
        <w:contextualSpacing/>
        <w:jc w:val="both"/>
        <w:rPr>
          <w:rFonts w:eastAsia="Calibri" w:cs="Arial"/>
          <w:szCs w:val="24"/>
          <w:lang w:eastAsia="en-ZA"/>
        </w:rPr>
      </w:pPr>
      <w:r w:rsidRPr="00ED581B">
        <w:rPr>
          <w:rFonts w:eastAsia="Calibri" w:cs="Arial"/>
          <w:szCs w:val="24"/>
          <w:lang w:eastAsia="en-ZA"/>
        </w:rPr>
        <w:t xml:space="preserve">The Special Investigating Unit is currently working with a team comprising the DPCI and State-Owned Companies’ (SOC) Forensic Units </w:t>
      </w:r>
      <w:proofErr w:type="gramStart"/>
      <w:r w:rsidRPr="00ED581B">
        <w:rPr>
          <w:rFonts w:eastAsia="Calibri" w:cs="Arial"/>
          <w:szCs w:val="24"/>
          <w:lang w:eastAsia="en-ZA"/>
        </w:rPr>
        <w:t>to inter alia address</w:t>
      </w:r>
      <w:proofErr w:type="gramEnd"/>
      <w:r w:rsidRPr="00ED581B">
        <w:rPr>
          <w:rFonts w:eastAsia="Calibri" w:cs="Arial"/>
          <w:szCs w:val="24"/>
          <w:lang w:eastAsia="en-ZA"/>
        </w:rPr>
        <w:t xml:space="preserve"> current and historical allegations of corruption in the SOCs.  Among others, the team is seized with reviewing forensic reports that have been commissioned by the SOCs in order</w:t>
      </w:r>
      <w:r w:rsidR="00036190">
        <w:rPr>
          <w:rFonts w:eastAsia="Calibri" w:cs="Arial"/>
          <w:szCs w:val="24"/>
          <w:lang w:eastAsia="en-ZA"/>
        </w:rPr>
        <w:t xml:space="preserve"> to:</w:t>
      </w:r>
      <w:r w:rsidRPr="00ED581B">
        <w:rPr>
          <w:rFonts w:eastAsia="Calibri" w:cs="Arial"/>
          <w:szCs w:val="24"/>
          <w:lang w:eastAsia="en-ZA"/>
        </w:rPr>
        <w:t xml:space="preserve"> </w:t>
      </w:r>
    </w:p>
    <w:p w14:paraId="7E6115D8" w14:textId="77777777" w:rsidR="00ED581B" w:rsidRPr="00ED581B" w:rsidRDefault="00ED581B" w:rsidP="003F0D68">
      <w:pPr>
        <w:ind w:left="720"/>
        <w:contextualSpacing/>
        <w:jc w:val="both"/>
        <w:rPr>
          <w:rFonts w:eastAsia="Calibri" w:cs="Arial"/>
          <w:szCs w:val="24"/>
          <w:lang w:eastAsia="en-ZA"/>
        </w:rPr>
      </w:pPr>
    </w:p>
    <w:p w14:paraId="6D900750" w14:textId="77777777" w:rsidR="00ED581B" w:rsidRPr="00ED581B" w:rsidRDefault="00ED581B" w:rsidP="003F0D68">
      <w:pPr>
        <w:numPr>
          <w:ilvl w:val="0"/>
          <w:numId w:val="2"/>
        </w:numPr>
        <w:tabs>
          <w:tab w:val="left" w:pos="1260"/>
          <w:tab w:val="left" w:pos="1440"/>
          <w:tab w:val="left" w:pos="1530"/>
        </w:tabs>
        <w:ind w:hanging="720"/>
        <w:contextualSpacing/>
        <w:jc w:val="both"/>
        <w:rPr>
          <w:rFonts w:eastAsia="Calibri" w:cs="Arial"/>
          <w:szCs w:val="24"/>
          <w:lang w:eastAsia="en-ZA"/>
        </w:rPr>
      </w:pPr>
      <w:r w:rsidRPr="00ED581B">
        <w:rPr>
          <w:rFonts w:eastAsia="Calibri" w:cs="Arial"/>
          <w:szCs w:val="24"/>
          <w:lang w:eastAsia="en-ZA"/>
        </w:rPr>
        <w:t>Ascertain the number and status of matters that have been referred to SAPS;</w:t>
      </w:r>
    </w:p>
    <w:p w14:paraId="49756E0A" w14:textId="77777777" w:rsidR="00ED581B" w:rsidRPr="00ED581B" w:rsidRDefault="00ED581B" w:rsidP="003F0D68">
      <w:pPr>
        <w:numPr>
          <w:ilvl w:val="0"/>
          <w:numId w:val="2"/>
        </w:numPr>
        <w:tabs>
          <w:tab w:val="left" w:pos="1260"/>
          <w:tab w:val="left" w:pos="1440"/>
          <w:tab w:val="left" w:pos="1530"/>
        </w:tabs>
        <w:ind w:hanging="720"/>
        <w:contextualSpacing/>
        <w:jc w:val="both"/>
        <w:rPr>
          <w:rFonts w:eastAsia="Calibri" w:cs="Arial"/>
          <w:szCs w:val="24"/>
          <w:lang w:eastAsia="en-ZA"/>
        </w:rPr>
      </w:pPr>
      <w:r w:rsidRPr="00ED581B">
        <w:rPr>
          <w:rFonts w:eastAsia="Calibri" w:cs="Arial"/>
          <w:szCs w:val="24"/>
          <w:lang w:eastAsia="en-ZA"/>
        </w:rPr>
        <w:t xml:space="preserve">Ascertain the number and status of matters that </w:t>
      </w:r>
      <w:proofErr w:type="gramStart"/>
      <w:r w:rsidRPr="00ED581B">
        <w:rPr>
          <w:rFonts w:eastAsia="Calibri" w:cs="Arial"/>
          <w:szCs w:val="24"/>
          <w:lang w:eastAsia="en-ZA"/>
        </w:rPr>
        <w:t>have been referred</w:t>
      </w:r>
      <w:proofErr w:type="gramEnd"/>
      <w:r w:rsidRPr="00ED581B">
        <w:rPr>
          <w:rFonts w:eastAsia="Calibri" w:cs="Arial"/>
          <w:szCs w:val="24"/>
          <w:lang w:eastAsia="en-ZA"/>
        </w:rPr>
        <w:t xml:space="preserve"> to DPCI. </w:t>
      </w:r>
    </w:p>
    <w:p w14:paraId="390B57B7" w14:textId="77777777" w:rsidR="00ED581B" w:rsidRPr="00ED581B" w:rsidRDefault="00ED581B" w:rsidP="003F0D68">
      <w:pPr>
        <w:ind w:left="900"/>
        <w:jc w:val="both"/>
        <w:rPr>
          <w:rFonts w:eastAsia="Calibri" w:cs="Arial"/>
          <w:szCs w:val="24"/>
          <w:lang w:eastAsia="en-ZA"/>
        </w:rPr>
      </w:pPr>
      <w:r w:rsidRPr="00ED581B">
        <w:rPr>
          <w:rFonts w:eastAsia="Calibri" w:cs="Arial"/>
          <w:szCs w:val="24"/>
          <w:lang w:eastAsia="en-ZA"/>
        </w:rPr>
        <w:t xml:space="preserve">The efforts </w:t>
      </w:r>
      <w:proofErr w:type="gramStart"/>
      <w:r w:rsidRPr="00ED581B">
        <w:rPr>
          <w:rFonts w:eastAsia="Calibri" w:cs="Arial"/>
          <w:szCs w:val="24"/>
          <w:lang w:eastAsia="en-ZA"/>
        </w:rPr>
        <w:t>are meant</w:t>
      </w:r>
      <w:proofErr w:type="gramEnd"/>
      <w:r w:rsidRPr="00ED581B">
        <w:rPr>
          <w:rFonts w:eastAsia="Calibri" w:cs="Arial"/>
          <w:szCs w:val="24"/>
          <w:lang w:eastAsia="en-ZA"/>
        </w:rPr>
        <w:t xml:space="preserve"> to ensure that where prima</w:t>
      </w:r>
      <w:r w:rsidR="00036190">
        <w:rPr>
          <w:rFonts w:eastAsia="Calibri" w:cs="Arial"/>
          <w:szCs w:val="24"/>
          <w:lang w:eastAsia="en-ZA"/>
        </w:rPr>
        <w:t xml:space="preserve"> fa</w:t>
      </w:r>
      <w:r w:rsidRPr="00ED581B">
        <w:rPr>
          <w:rFonts w:eastAsia="Calibri" w:cs="Arial"/>
          <w:szCs w:val="24"/>
          <w:lang w:eastAsia="en-ZA"/>
        </w:rPr>
        <w:t xml:space="preserve">cie case of corruption exists, the law enforcement agencies move to seize assets that are proceeds of corruption.  Furthermore, the work </w:t>
      </w:r>
      <w:proofErr w:type="gramStart"/>
      <w:r w:rsidRPr="00ED581B">
        <w:rPr>
          <w:rFonts w:eastAsia="Calibri" w:cs="Arial"/>
          <w:szCs w:val="24"/>
          <w:lang w:eastAsia="en-ZA"/>
        </w:rPr>
        <w:t>is also meant</w:t>
      </w:r>
      <w:proofErr w:type="gramEnd"/>
      <w:r w:rsidRPr="00ED581B">
        <w:rPr>
          <w:rFonts w:eastAsia="Calibri" w:cs="Arial"/>
          <w:szCs w:val="24"/>
          <w:lang w:eastAsia="en-ZA"/>
        </w:rPr>
        <w:t xml:space="preserve"> to establish matters that the Boards and Executive of SOCs failed to refer for criminal investigation by relevant law enforcement agencies and matters that could expeditiously result in the conviction of those implicated in allegations of corruption concerning SOCs. </w:t>
      </w:r>
    </w:p>
    <w:p w14:paraId="0330D868" w14:textId="77777777" w:rsidR="00ED581B" w:rsidRPr="00ED581B" w:rsidRDefault="00ED581B" w:rsidP="00ED581B">
      <w:pPr>
        <w:spacing w:after="160" w:line="259" w:lineRule="auto"/>
        <w:ind w:left="720"/>
        <w:jc w:val="both"/>
        <w:rPr>
          <w:rFonts w:eastAsia="Calibri" w:cs="Arial"/>
          <w:szCs w:val="24"/>
          <w:lang w:eastAsia="en-ZA"/>
        </w:rPr>
      </w:pPr>
    </w:p>
    <w:p w14:paraId="03EAC7DB" w14:textId="77777777" w:rsidR="00ED581B" w:rsidRPr="008C144E" w:rsidRDefault="0068038E" w:rsidP="003F0D68">
      <w:pPr>
        <w:numPr>
          <w:ilvl w:val="0"/>
          <w:numId w:val="4"/>
        </w:numPr>
        <w:spacing w:after="160" w:line="259" w:lineRule="auto"/>
        <w:ind w:left="900" w:hanging="540"/>
        <w:contextualSpacing/>
        <w:jc w:val="both"/>
        <w:rPr>
          <w:rFonts w:eastAsia="Calibri" w:cs="Arial"/>
          <w:szCs w:val="24"/>
          <w:lang w:eastAsia="en-ZA"/>
        </w:rPr>
      </w:pPr>
      <w:r w:rsidRPr="008C144E">
        <w:rPr>
          <w:rFonts w:eastAsia="Calibri" w:cs="Arial"/>
          <w:szCs w:val="24"/>
          <w:lang w:eastAsia="en-ZA"/>
        </w:rPr>
        <w:t xml:space="preserve">The question relates to a period that spans 14 years. Consequently, at the time of responding to the question, the Department had confirmed that one case of </w:t>
      </w:r>
      <w:proofErr w:type="gramStart"/>
      <w:r w:rsidRPr="008C144E">
        <w:rPr>
          <w:rFonts w:eastAsia="Calibri" w:cs="Arial"/>
          <w:szCs w:val="24"/>
          <w:lang w:eastAsia="en-ZA"/>
        </w:rPr>
        <w:lastRenderedPageBreak/>
        <w:t>corruption and fraud was referred to the SAPS</w:t>
      </w:r>
      <w:proofErr w:type="gramEnd"/>
      <w:r w:rsidRPr="008C144E">
        <w:rPr>
          <w:rFonts w:eastAsia="Calibri" w:cs="Arial"/>
          <w:szCs w:val="24"/>
          <w:lang w:eastAsia="en-ZA"/>
        </w:rPr>
        <w:t xml:space="preserve"> and the related investigation is still underway. </w:t>
      </w:r>
    </w:p>
    <w:p w14:paraId="6101C745" w14:textId="77777777" w:rsidR="00ED581B" w:rsidRPr="00ED581B" w:rsidRDefault="00ED581B" w:rsidP="00ED581B">
      <w:pPr>
        <w:spacing w:after="160" w:line="259" w:lineRule="auto"/>
        <w:ind w:left="720"/>
        <w:contextualSpacing/>
        <w:jc w:val="both"/>
        <w:rPr>
          <w:rFonts w:eastAsia="Calibri" w:cs="Arial"/>
          <w:szCs w:val="24"/>
          <w:lang w:eastAsia="en-ZA"/>
        </w:rPr>
      </w:pPr>
    </w:p>
    <w:p w14:paraId="1C468112" w14:textId="77777777" w:rsidR="00ED581B" w:rsidRPr="00ED581B" w:rsidRDefault="00ED581B" w:rsidP="003F0D68">
      <w:pPr>
        <w:numPr>
          <w:ilvl w:val="0"/>
          <w:numId w:val="4"/>
        </w:numPr>
        <w:spacing w:after="160" w:line="259" w:lineRule="auto"/>
        <w:ind w:left="900" w:hanging="540"/>
        <w:contextualSpacing/>
        <w:jc w:val="both"/>
        <w:rPr>
          <w:rFonts w:eastAsia="Calibri" w:cs="Arial"/>
          <w:szCs w:val="24"/>
          <w:lang w:eastAsia="en-ZA"/>
        </w:rPr>
      </w:pPr>
      <w:r w:rsidRPr="00ED581B">
        <w:rPr>
          <w:rFonts w:eastAsia="Calibri" w:cs="Arial"/>
          <w:szCs w:val="24"/>
          <w:lang w:eastAsia="en-ZA"/>
        </w:rPr>
        <w:t xml:space="preserve">To date </w:t>
      </w:r>
      <w:proofErr w:type="gramStart"/>
      <w:r w:rsidRPr="00ED581B">
        <w:rPr>
          <w:rFonts w:eastAsia="Calibri" w:cs="Arial"/>
          <w:szCs w:val="24"/>
          <w:lang w:eastAsia="en-ZA"/>
        </w:rPr>
        <w:t>seventy nine</w:t>
      </w:r>
      <w:proofErr w:type="gramEnd"/>
      <w:r w:rsidRPr="00ED581B">
        <w:rPr>
          <w:rFonts w:eastAsia="Calibri" w:cs="Arial"/>
          <w:szCs w:val="24"/>
          <w:lang w:eastAsia="en-ZA"/>
        </w:rPr>
        <w:t xml:space="preserve"> forensic reports commissioned by SOCs concerning matters of malfeasance, fraud and corruption have been referred to the SIU for review. The team comprising SIU, Asset Forfeiture Unit and the DPCI </w:t>
      </w:r>
      <w:proofErr w:type="gramStart"/>
      <w:r w:rsidRPr="00ED581B">
        <w:rPr>
          <w:rFonts w:eastAsia="Calibri" w:cs="Arial"/>
          <w:szCs w:val="24"/>
          <w:lang w:eastAsia="en-ZA"/>
        </w:rPr>
        <w:t>is seized</w:t>
      </w:r>
      <w:proofErr w:type="gramEnd"/>
      <w:r w:rsidRPr="00ED581B">
        <w:rPr>
          <w:rFonts w:eastAsia="Calibri" w:cs="Arial"/>
          <w:szCs w:val="24"/>
          <w:lang w:eastAsia="en-ZA"/>
        </w:rPr>
        <w:t xml:space="preserve"> with the review of the reports.  Furthermore, the SIU is currently conducting work in line with Proclamation </w:t>
      </w:r>
      <w:r w:rsidR="008563C1">
        <w:rPr>
          <w:rFonts w:eastAsia="Calibri" w:cs="Arial"/>
          <w:szCs w:val="24"/>
          <w:lang w:eastAsia="en-ZA"/>
        </w:rPr>
        <w:t>N</w:t>
      </w:r>
      <w:r w:rsidRPr="00ED581B">
        <w:rPr>
          <w:rFonts w:eastAsia="Calibri" w:cs="Arial"/>
          <w:szCs w:val="24"/>
          <w:lang w:eastAsia="en-ZA"/>
        </w:rPr>
        <w:t xml:space="preserve">o 11 of 2018 that authorizes investigation </w:t>
      </w:r>
      <w:r w:rsidR="008563C1">
        <w:rPr>
          <w:rFonts w:eastAsia="Calibri" w:cs="Arial"/>
          <w:szCs w:val="24"/>
          <w:lang w:eastAsia="en-ZA"/>
        </w:rPr>
        <w:t>in</w:t>
      </w:r>
      <w:r w:rsidRPr="00ED581B">
        <w:rPr>
          <w:rFonts w:eastAsia="Calibri" w:cs="Arial"/>
          <w:szCs w:val="24"/>
          <w:lang w:eastAsia="en-ZA"/>
        </w:rPr>
        <w:t>to allegations of malfeasance, fraud and corruption in Transnet and Eskom.</w:t>
      </w:r>
      <w:r w:rsidR="008563C1">
        <w:rPr>
          <w:rFonts w:eastAsia="Calibri" w:cs="Arial"/>
          <w:szCs w:val="24"/>
          <w:lang w:eastAsia="en-ZA"/>
        </w:rPr>
        <w:t xml:space="preserve">  A motivation </w:t>
      </w:r>
      <w:proofErr w:type="gramStart"/>
      <w:r w:rsidR="008563C1">
        <w:rPr>
          <w:rFonts w:eastAsia="Calibri" w:cs="Arial"/>
          <w:szCs w:val="24"/>
          <w:lang w:eastAsia="en-ZA"/>
        </w:rPr>
        <w:t>will be submitted</w:t>
      </w:r>
      <w:proofErr w:type="gramEnd"/>
      <w:r w:rsidR="008563C1">
        <w:rPr>
          <w:rFonts w:eastAsia="Calibri" w:cs="Arial"/>
          <w:szCs w:val="24"/>
          <w:lang w:eastAsia="en-ZA"/>
        </w:rPr>
        <w:t xml:space="preserve"> to Denel to address allegations of corruption in Denel. </w:t>
      </w:r>
      <w:r w:rsidRPr="00ED581B">
        <w:rPr>
          <w:rFonts w:eastAsia="Calibri" w:cs="Arial"/>
          <w:szCs w:val="24"/>
          <w:lang w:eastAsia="en-ZA"/>
        </w:rPr>
        <w:t xml:space="preserve">  </w:t>
      </w:r>
    </w:p>
    <w:p w14:paraId="57D24004" w14:textId="77777777" w:rsidR="00ED581B" w:rsidRPr="00ED581B" w:rsidRDefault="00ED581B" w:rsidP="00ED581B">
      <w:pPr>
        <w:spacing w:after="160" w:line="259" w:lineRule="auto"/>
        <w:ind w:left="720"/>
        <w:contextualSpacing/>
        <w:jc w:val="both"/>
        <w:rPr>
          <w:rFonts w:eastAsia="Calibri" w:cs="Arial"/>
          <w:szCs w:val="24"/>
          <w:lang w:eastAsia="en-ZA"/>
        </w:rPr>
      </w:pPr>
    </w:p>
    <w:p w14:paraId="37EEC74C" w14:textId="77777777" w:rsidR="00ED581B" w:rsidRPr="00ED581B" w:rsidRDefault="00ED581B" w:rsidP="003F0D68">
      <w:pPr>
        <w:numPr>
          <w:ilvl w:val="0"/>
          <w:numId w:val="3"/>
        </w:numPr>
        <w:spacing w:after="160" w:line="259" w:lineRule="auto"/>
        <w:ind w:left="900" w:hanging="540"/>
        <w:contextualSpacing/>
        <w:jc w:val="both"/>
        <w:rPr>
          <w:rFonts w:eastAsia="Calibri" w:cs="Arial"/>
          <w:szCs w:val="24"/>
          <w:lang w:eastAsia="en-ZA"/>
        </w:rPr>
      </w:pPr>
      <w:r w:rsidRPr="00ED581B">
        <w:rPr>
          <w:rFonts w:eastAsia="Calibri" w:cs="Arial"/>
          <w:szCs w:val="24"/>
          <w:lang w:eastAsia="en-ZA"/>
        </w:rPr>
        <w:t>(</w:t>
      </w:r>
      <w:proofErr w:type="spellStart"/>
      <w:r w:rsidRPr="00ED581B">
        <w:rPr>
          <w:rFonts w:eastAsia="Calibri" w:cs="Arial"/>
          <w:szCs w:val="24"/>
          <w:lang w:eastAsia="en-ZA"/>
        </w:rPr>
        <w:t>i</w:t>
      </w:r>
      <w:proofErr w:type="spellEnd"/>
      <w:r w:rsidRPr="00ED581B">
        <w:rPr>
          <w:rFonts w:eastAsia="Calibri" w:cs="Arial"/>
          <w:szCs w:val="24"/>
          <w:lang w:eastAsia="en-ZA"/>
        </w:rPr>
        <w:t>)(ii)(ii</w:t>
      </w:r>
      <w:r w:rsidR="00E94F8F">
        <w:rPr>
          <w:rFonts w:eastAsia="Calibri" w:cs="Arial"/>
          <w:szCs w:val="24"/>
          <w:lang w:eastAsia="en-ZA"/>
        </w:rPr>
        <w:t>i</w:t>
      </w:r>
      <w:r w:rsidRPr="00ED581B">
        <w:rPr>
          <w:rFonts w:eastAsia="Calibri" w:cs="Arial"/>
          <w:szCs w:val="24"/>
          <w:lang w:eastAsia="en-ZA"/>
        </w:rPr>
        <w:t xml:space="preserve">) The review and reconciliation of records </w:t>
      </w:r>
      <w:proofErr w:type="gramStart"/>
      <w:r w:rsidRPr="00ED581B">
        <w:rPr>
          <w:rFonts w:eastAsia="Calibri" w:cs="Arial"/>
          <w:szCs w:val="24"/>
          <w:lang w:eastAsia="en-ZA"/>
        </w:rPr>
        <w:t>being done</w:t>
      </w:r>
      <w:proofErr w:type="gramEnd"/>
      <w:r w:rsidRPr="00ED581B">
        <w:rPr>
          <w:rFonts w:eastAsia="Calibri" w:cs="Arial"/>
          <w:szCs w:val="24"/>
          <w:lang w:eastAsia="en-ZA"/>
        </w:rPr>
        <w:t xml:space="preserve"> independently by the team led by the SIU should assist in ascertain</w:t>
      </w:r>
      <w:r w:rsidR="008563C1">
        <w:rPr>
          <w:rFonts w:eastAsia="Calibri" w:cs="Arial"/>
          <w:szCs w:val="24"/>
          <w:lang w:eastAsia="en-ZA"/>
        </w:rPr>
        <w:t>ing</w:t>
      </w:r>
      <w:r w:rsidRPr="00ED581B">
        <w:rPr>
          <w:rFonts w:eastAsia="Calibri" w:cs="Arial"/>
          <w:szCs w:val="24"/>
          <w:lang w:eastAsia="en-ZA"/>
        </w:rPr>
        <w:t xml:space="preserve"> the completeness and status of all matters that have been referred to law enforcement agencies and convictions if any, which have been registered to date.  </w:t>
      </w:r>
    </w:p>
    <w:p w14:paraId="5E609363" w14:textId="77777777" w:rsidR="00ED581B" w:rsidRPr="00ED581B" w:rsidRDefault="00ED581B" w:rsidP="00ED581B">
      <w:pPr>
        <w:spacing w:after="160" w:line="259" w:lineRule="auto"/>
        <w:ind w:left="1080"/>
        <w:contextualSpacing/>
        <w:jc w:val="both"/>
        <w:rPr>
          <w:rFonts w:eastAsia="Calibri" w:cs="Arial"/>
          <w:szCs w:val="24"/>
          <w:lang w:eastAsia="en-ZA"/>
        </w:rPr>
      </w:pPr>
    </w:p>
    <w:p w14:paraId="3A032291" w14:textId="77777777" w:rsidR="00ED581B" w:rsidRPr="00ED581B" w:rsidRDefault="00ED581B" w:rsidP="000D5DC2">
      <w:pPr>
        <w:spacing w:after="160" w:line="259" w:lineRule="auto"/>
        <w:ind w:left="270"/>
        <w:jc w:val="both"/>
        <w:rPr>
          <w:rFonts w:eastAsia="Calibri" w:cs="Arial"/>
          <w:szCs w:val="24"/>
          <w:lang w:eastAsia="en-ZA"/>
        </w:rPr>
      </w:pPr>
      <w:r w:rsidRPr="00ED581B">
        <w:rPr>
          <w:rFonts w:eastAsia="Calibri" w:cs="Arial"/>
          <w:szCs w:val="24"/>
          <w:lang w:eastAsia="en-ZA"/>
        </w:rPr>
        <w:t xml:space="preserve">All the efforts mentioned above </w:t>
      </w:r>
      <w:proofErr w:type="gramStart"/>
      <w:r w:rsidRPr="00ED581B">
        <w:rPr>
          <w:rFonts w:eastAsia="Calibri" w:cs="Arial"/>
          <w:szCs w:val="24"/>
          <w:lang w:eastAsia="en-ZA"/>
        </w:rPr>
        <w:t>are fully aligned</w:t>
      </w:r>
      <w:proofErr w:type="gramEnd"/>
      <w:r w:rsidRPr="00ED581B">
        <w:rPr>
          <w:rFonts w:eastAsia="Calibri" w:cs="Arial"/>
          <w:szCs w:val="24"/>
          <w:lang w:eastAsia="en-ZA"/>
        </w:rPr>
        <w:t xml:space="preserve"> to the commitment made by the President during the State of the Nation Address that this is the year to turn the tide of corruption in public institutions. Therefore, the team led by the SIU should be allowed to continue its work in order to reveal facts behind the questions posed and the information that the SOCs has over the years submitted to the Ministry.  </w:t>
      </w: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47"/>
        <w:gridCol w:w="547"/>
        <w:gridCol w:w="1292"/>
        <w:gridCol w:w="3692"/>
      </w:tblGrid>
      <w:tr w:rsidR="005628F3" w:rsidRPr="004D116D" w14:paraId="55677A9D" w14:textId="77777777" w:rsidTr="005628F3">
        <w:trPr>
          <w:trHeight w:val="382"/>
        </w:trPr>
        <w:tc>
          <w:tcPr>
            <w:tcW w:w="3831" w:type="dxa"/>
            <w:gridSpan w:val="2"/>
          </w:tcPr>
          <w:p w14:paraId="2551FA35" w14:textId="77777777" w:rsidR="005628F3" w:rsidRPr="004D116D" w:rsidRDefault="005628F3" w:rsidP="00AF1965">
            <w:pPr>
              <w:spacing w:after="160" w:line="259" w:lineRule="auto"/>
              <w:rPr>
                <w:rFonts w:cs="Arial"/>
                <w:b/>
                <w:snapToGrid w:val="0"/>
                <w:szCs w:val="24"/>
              </w:rPr>
            </w:pPr>
          </w:p>
        </w:tc>
        <w:tc>
          <w:tcPr>
            <w:tcW w:w="547" w:type="dxa"/>
          </w:tcPr>
          <w:p w14:paraId="54F87B73" w14:textId="77777777" w:rsidR="005628F3" w:rsidRPr="004D116D" w:rsidRDefault="005628F3" w:rsidP="00D504C0">
            <w:pPr>
              <w:spacing w:line="360" w:lineRule="auto"/>
              <w:rPr>
                <w:rFonts w:cs="Arial"/>
                <w:b/>
                <w:snapToGrid w:val="0"/>
                <w:szCs w:val="24"/>
              </w:rPr>
            </w:pPr>
          </w:p>
        </w:tc>
        <w:tc>
          <w:tcPr>
            <w:tcW w:w="1292" w:type="dxa"/>
          </w:tcPr>
          <w:p w14:paraId="5BA4CD75" w14:textId="77777777" w:rsidR="005628F3" w:rsidRDefault="005628F3" w:rsidP="005628F3">
            <w:pPr>
              <w:spacing w:line="360" w:lineRule="auto"/>
              <w:ind w:firstLine="582"/>
              <w:rPr>
                <w:rFonts w:cs="Arial"/>
                <w:b/>
                <w:snapToGrid w:val="0"/>
                <w:szCs w:val="24"/>
              </w:rPr>
            </w:pPr>
          </w:p>
          <w:p w14:paraId="5C6AE3CF" w14:textId="77777777" w:rsidR="005628F3" w:rsidRPr="004D116D" w:rsidRDefault="005628F3" w:rsidP="005628F3">
            <w:pPr>
              <w:spacing w:line="360" w:lineRule="auto"/>
              <w:ind w:firstLine="582"/>
              <w:rPr>
                <w:rFonts w:cs="Arial"/>
                <w:b/>
                <w:snapToGrid w:val="0"/>
                <w:szCs w:val="24"/>
              </w:rPr>
            </w:pPr>
          </w:p>
        </w:tc>
        <w:tc>
          <w:tcPr>
            <w:tcW w:w="3692" w:type="dxa"/>
          </w:tcPr>
          <w:p w14:paraId="0BB26208" w14:textId="77777777" w:rsidR="005628F3" w:rsidRPr="004D116D" w:rsidRDefault="005628F3" w:rsidP="005628F3">
            <w:pPr>
              <w:spacing w:line="360" w:lineRule="auto"/>
              <w:ind w:firstLine="582"/>
              <w:rPr>
                <w:rFonts w:cs="Arial"/>
                <w:b/>
                <w:snapToGrid w:val="0"/>
                <w:szCs w:val="24"/>
              </w:rPr>
            </w:pPr>
          </w:p>
        </w:tc>
      </w:tr>
      <w:tr w:rsidR="00AA5CBF" w:rsidRPr="004D116D" w14:paraId="4E4FA7EF" w14:textId="77777777" w:rsidTr="005628F3">
        <w:trPr>
          <w:trHeight w:val="382"/>
        </w:trPr>
        <w:tc>
          <w:tcPr>
            <w:tcW w:w="3284" w:type="dxa"/>
          </w:tcPr>
          <w:p w14:paraId="7DD7AB3A" w14:textId="77777777" w:rsidR="00AA5CBF" w:rsidRPr="004D116D" w:rsidRDefault="00AA5CBF" w:rsidP="00D504C0">
            <w:pPr>
              <w:spacing w:line="360" w:lineRule="auto"/>
              <w:rPr>
                <w:rFonts w:cs="Arial"/>
                <w:b/>
                <w:snapToGrid w:val="0"/>
                <w:szCs w:val="24"/>
              </w:rPr>
            </w:pPr>
          </w:p>
        </w:tc>
        <w:tc>
          <w:tcPr>
            <w:tcW w:w="547" w:type="dxa"/>
          </w:tcPr>
          <w:p w14:paraId="55D0DA3D" w14:textId="77777777" w:rsidR="00AA5CBF" w:rsidRPr="004D116D" w:rsidRDefault="00AA5CBF" w:rsidP="00D504C0">
            <w:pPr>
              <w:spacing w:line="360" w:lineRule="auto"/>
              <w:rPr>
                <w:rFonts w:cs="Arial"/>
                <w:b/>
                <w:snapToGrid w:val="0"/>
                <w:szCs w:val="24"/>
              </w:rPr>
            </w:pPr>
          </w:p>
        </w:tc>
        <w:tc>
          <w:tcPr>
            <w:tcW w:w="547" w:type="dxa"/>
          </w:tcPr>
          <w:p w14:paraId="48512DE7" w14:textId="77777777" w:rsidR="00AA5CBF" w:rsidRPr="004D116D" w:rsidRDefault="00AA5CBF" w:rsidP="00D504C0">
            <w:pPr>
              <w:spacing w:line="360" w:lineRule="auto"/>
              <w:rPr>
                <w:rFonts w:cs="Arial"/>
                <w:b/>
                <w:snapToGrid w:val="0"/>
                <w:szCs w:val="24"/>
              </w:rPr>
            </w:pPr>
          </w:p>
        </w:tc>
        <w:tc>
          <w:tcPr>
            <w:tcW w:w="4984" w:type="dxa"/>
            <w:gridSpan w:val="2"/>
          </w:tcPr>
          <w:p w14:paraId="6D5AC54A" w14:textId="77777777" w:rsidR="00AA5CBF" w:rsidRPr="004D116D" w:rsidRDefault="00AA5CBF" w:rsidP="005628F3">
            <w:pPr>
              <w:spacing w:line="360" w:lineRule="auto"/>
              <w:ind w:firstLine="582"/>
              <w:rPr>
                <w:rFonts w:cs="Arial"/>
                <w:b/>
                <w:snapToGrid w:val="0"/>
                <w:szCs w:val="24"/>
              </w:rPr>
            </w:pPr>
          </w:p>
        </w:tc>
      </w:tr>
    </w:tbl>
    <w:p w14:paraId="60EA65FF" w14:textId="77777777" w:rsidR="00EB2231" w:rsidRDefault="00EB2231"/>
    <w:sectPr w:rsidR="00EB2231" w:rsidSect="00310951">
      <w:headerReference w:type="even" r:id="rId8"/>
      <w:headerReference w:type="default" r:id="rId9"/>
      <w:footerReference w:type="default" r:id="rId10"/>
      <w:footerReference w:type="first" r:id="rId11"/>
      <w:pgSz w:w="11906" w:h="16838" w:code="9"/>
      <w:pgMar w:top="397" w:right="1134" w:bottom="284"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EB97" w14:textId="77777777" w:rsidR="00FA7217" w:rsidRDefault="00FA7217">
      <w:r>
        <w:separator/>
      </w:r>
    </w:p>
  </w:endnote>
  <w:endnote w:type="continuationSeparator" w:id="0">
    <w:p w14:paraId="74613852" w14:textId="77777777" w:rsidR="00FA7217" w:rsidRDefault="00FA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74C787C0" w14:textId="09D82615" w:rsidR="00740B1C" w:rsidRPr="003E058D" w:rsidRDefault="005628F3">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2310EC">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2310EC">
              <w:rPr>
                <w:bCs/>
                <w:noProof/>
                <w:sz w:val="16"/>
              </w:rPr>
              <w:t>2</w:t>
            </w:r>
            <w:r w:rsidRPr="003E058D">
              <w:rPr>
                <w:bCs/>
                <w:sz w:val="16"/>
                <w:szCs w:val="24"/>
              </w:rPr>
              <w:fldChar w:fldCharType="end"/>
            </w:r>
          </w:p>
        </w:sdtContent>
      </w:sdt>
    </w:sdtContent>
  </w:sdt>
  <w:p w14:paraId="25AFC0EB" w14:textId="77777777" w:rsidR="00740B1C" w:rsidRPr="00A27D60" w:rsidRDefault="002310EC" w:rsidP="00740B1C">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35561BB9" w14:textId="7E292E94" w:rsidR="00740B1C" w:rsidRDefault="005628F3" w:rsidP="00740B1C">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2310EC">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0420" w14:textId="77777777" w:rsidR="00FA7217" w:rsidRDefault="00FA7217">
      <w:r>
        <w:separator/>
      </w:r>
    </w:p>
  </w:footnote>
  <w:footnote w:type="continuationSeparator" w:id="0">
    <w:p w14:paraId="37D714FE" w14:textId="77777777" w:rsidR="00FA7217" w:rsidRDefault="00FA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F22A" w14:textId="77777777" w:rsidR="00740B1C" w:rsidRDefault="005628F3">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E172" w14:textId="77777777" w:rsidR="00740B1C" w:rsidRDefault="002310EC">
    <w:pPr>
      <w:jc w:val="center"/>
      <w:rPr>
        <w:sz w:val="16"/>
      </w:rPr>
    </w:pPr>
  </w:p>
  <w:p w14:paraId="5CEF8EA8" w14:textId="77777777" w:rsidR="00325081" w:rsidRDefault="00325081">
    <w:pPr>
      <w:jc w:val="center"/>
      <w:rPr>
        <w:sz w:val="16"/>
      </w:rPr>
    </w:pPr>
  </w:p>
  <w:p w14:paraId="6D409E5E" w14:textId="77777777" w:rsidR="00325081" w:rsidRDefault="00325081">
    <w:pPr>
      <w:jc w:val="center"/>
      <w:rPr>
        <w:sz w:val="16"/>
      </w:rPr>
    </w:pPr>
  </w:p>
  <w:p w14:paraId="63086618" w14:textId="77777777" w:rsidR="00325081" w:rsidRDefault="00325081">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C41"/>
    <w:multiLevelType w:val="hybridMultilevel"/>
    <w:tmpl w:val="0CB4D5B2"/>
    <w:lvl w:ilvl="0" w:tplc="90D02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3386"/>
    <w:multiLevelType w:val="hybridMultilevel"/>
    <w:tmpl w:val="82C2C31A"/>
    <w:lvl w:ilvl="0" w:tplc="5C3CC57C">
      <w:start w:val="1"/>
      <w:numFmt w:val="lowerRoman"/>
      <w:lvlText w:val="(%1)"/>
      <w:lvlJc w:val="left"/>
      <w:pPr>
        <w:ind w:left="1620" w:hanging="360"/>
      </w:pPr>
      <w:rPr>
        <w:rFonts w:ascii="Times New Roman" w:eastAsia="Calibri" w:hAnsi="Times New Roman" w:cs="Times New Roman"/>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4501CD4"/>
    <w:multiLevelType w:val="hybridMultilevel"/>
    <w:tmpl w:val="4AA65942"/>
    <w:lvl w:ilvl="0" w:tplc="F466A506">
      <w:start w:val="2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72251"/>
    <w:multiLevelType w:val="hybridMultilevel"/>
    <w:tmpl w:val="737E1ED2"/>
    <w:lvl w:ilvl="0" w:tplc="4CBC5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F"/>
    <w:rsid w:val="00036190"/>
    <w:rsid w:val="000D5DC2"/>
    <w:rsid w:val="002310EC"/>
    <w:rsid w:val="0030724A"/>
    <w:rsid w:val="00325081"/>
    <w:rsid w:val="00340C7D"/>
    <w:rsid w:val="003A40F7"/>
    <w:rsid w:val="003F0D68"/>
    <w:rsid w:val="004B25A4"/>
    <w:rsid w:val="005628F3"/>
    <w:rsid w:val="0068038E"/>
    <w:rsid w:val="00705586"/>
    <w:rsid w:val="008154F5"/>
    <w:rsid w:val="008563C1"/>
    <w:rsid w:val="008C144E"/>
    <w:rsid w:val="008F1EFD"/>
    <w:rsid w:val="009956AA"/>
    <w:rsid w:val="00A83E43"/>
    <w:rsid w:val="00AA5CBF"/>
    <w:rsid w:val="00AF1965"/>
    <w:rsid w:val="00C94A8D"/>
    <w:rsid w:val="00E94F8F"/>
    <w:rsid w:val="00EB2231"/>
    <w:rsid w:val="00ED581B"/>
    <w:rsid w:val="00F038E2"/>
    <w:rsid w:val="00FA28E6"/>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51EE"/>
  <w15:docId w15:val="{F550F994-1C27-4C6E-81F9-2947348A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BF"/>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C94A8D"/>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C94A8D"/>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BF"/>
    <w:pPr>
      <w:spacing w:line="360" w:lineRule="auto"/>
      <w:ind w:left="720"/>
      <w:jc w:val="both"/>
    </w:pPr>
    <w:rPr>
      <w:rFonts w:ascii="Times New Roman" w:hAnsi="Times New Roman"/>
      <w:color w:val="auto"/>
      <w:sz w:val="20"/>
      <w:lang w:val="en-GB" w:eastAsia="en-US"/>
    </w:rPr>
  </w:style>
  <w:style w:type="paragraph" w:styleId="Footer">
    <w:name w:val="footer"/>
    <w:basedOn w:val="Normal"/>
    <w:link w:val="FooterChar"/>
    <w:uiPriority w:val="99"/>
    <w:unhideWhenUsed/>
    <w:rsid w:val="00AA5CBF"/>
    <w:pPr>
      <w:tabs>
        <w:tab w:val="center" w:pos="4513"/>
        <w:tab w:val="right" w:pos="9026"/>
      </w:tabs>
    </w:pPr>
  </w:style>
  <w:style w:type="character" w:customStyle="1" w:styleId="FooterChar">
    <w:name w:val="Footer Char"/>
    <w:basedOn w:val="DefaultParagraphFont"/>
    <w:link w:val="Footer"/>
    <w:uiPriority w:val="99"/>
    <w:rsid w:val="00AA5CBF"/>
    <w:rPr>
      <w:rFonts w:ascii="Arial" w:eastAsia="Times New Roman" w:hAnsi="Arial" w:cs="Times New Roman"/>
      <w:color w:val="000000"/>
      <w:sz w:val="24"/>
      <w:szCs w:val="20"/>
      <w:lang w:eastAsia="en-GB"/>
    </w:rPr>
  </w:style>
  <w:style w:type="table" w:styleId="TableGrid">
    <w:name w:val="Table Grid"/>
    <w:basedOn w:val="TableNormal"/>
    <w:uiPriority w:val="59"/>
    <w:rsid w:val="00AA5CB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5CBF"/>
    <w:pPr>
      <w:spacing w:after="200" w:line="276" w:lineRule="auto"/>
    </w:pPr>
    <w:rPr>
      <w:rFonts w:ascii="Times New Roman" w:eastAsiaTheme="minorHAnsi" w:hAnsi="Times New Roman"/>
      <w:color w:val="auto"/>
      <w:szCs w:val="24"/>
      <w:lang w:val="en-GB" w:eastAsia="en-US"/>
    </w:rPr>
  </w:style>
  <w:style w:type="character" w:customStyle="1" w:styleId="Heading1Char">
    <w:name w:val="Heading 1 Char"/>
    <w:basedOn w:val="DefaultParagraphFont"/>
    <w:link w:val="Heading1"/>
    <w:rsid w:val="00C94A8D"/>
    <w:rPr>
      <w:rFonts w:ascii="Arial" w:eastAsia="Times New Roman" w:hAnsi="Arial" w:cs="Arial"/>
      <w:b/>
      <w:bCs/>
      <w:sz w:val="24"/>
      <w:szCs w:val="24"/>
    </w:rPr>
  </w:style>
  <w:style w:type="character" w:customStyle="1" w:styleId="Heading2Char">
    <w:name w:val="Heading 2 Char"/>
    <w:basedOn w:val="DefaultParagraphFont"/>
    <w:link w:val="Heading2"/>
    <w:rsid w:val="00C94A8D"/>
    <w:rPr>
      <w:rFonts w:ascii="Arial" w:eastAsia="SimSun" w:hAnsi="Arial" w:cs="Arial"/>
      <w:b/>
      <w:bCs/>
      <w:sz w:val="32"/>
      <w:szCs w:val="20"/>
      <w:lang w:val="en-GB"/>
    </w:rPr>
  </w:style>
  <w:style w:type="character" w:styleId="Emphasis">
    <w:name w:val="Emphasis"/>
    <w:basedOn w:val="DefaultParagraphFont"/>
    <w:uiPriority w:val="20"/>
    <w:qFormat/>
    <w:rsid w:val="00C94A8D"/>
    <w:rPr>
      <w:b/>
      <w:bCs/>
      <w:i w:val="0"/>
      <w:iCs w:val="0"/>
    </w:rPr>
  </w:style>
  <w:style w:type="paragraph" w:styleId="Header">
    <w:name w:val="header"/>
    <w:basedOn w:val="Normal"/>
    <w:link w:val="HeaderChar"/>
    <w:uiPriority w:val="99"/>
    <w:unhideWhenUsed/>
    <w:rsid w:val="00325081"/>
    <w:pPr>
      <w:tabs>
        <w:tab w:val="center" w:pos="4680"/>
        <w:tab w:val="right" w:pos="9360"/>
      </w:tabs>
    </w:pPr>
  </w:style>
  <w:style w:type="character" w:customStyle="1" w:styleId="HeaderChar">
    <w:name w:val="Header Char"/>
    <w:basedOn w:val="DefaultParagraphFont"/>
    <w:link w:val="Header"/>
    <w:uiPriority w:val="99"/>
    <w:rsid w:val="00325081"/>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8C1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4E"/>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Francinah Seanego</dc:creator>
  <cp:lastModifiedBy>Michael  Plaatjies</cp:lastModifiedBy>
  <cp:revision>3</cp:revision>
  <cp:lastPrinted>2018-06-18T18:42:00Z</cp:lastPrinted>
  <dcterms:created xsi:type="dcterms:W3CDTF">2018-06-18T18:42:00Z</dcterms:created>
  <dcterms:modified xsi:type="dcterms:W3CDTF">2018-06-18T18:42:00Z</dcterms:modified>
</cp:coreProperties>
</file>