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7D53" w14:textId="77777777" w:rsidR="0012321F" w:rsidRPr="00355173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bookmarkStart w:id="0" w:name="_GoBack"/>
      <w:bookmarkEnd w:id="0"/>
      <w:r w:rsidRPr="00355173">
        <w:rPr>
          <w:rFonts w:ascii="Arial" w:hAnsi="Arial" w:cs="Arial"/>
          <w:b/>
          <w:szCs w:val="24"/>
        </w:rPr>
        <w:t>NATIONAL ASSEMBLY</w:t>
      </w:r>
      <w:r w:rsidR="0012321F" w:rsidRPr="00355173">
        <w:rPr>
          <w:rFonts w:ascii="Arial" w:hAnsi="Arial" w:cs="Arial"/>
          <w:b/>
          <w:szCs w:val="24"/>
        </w:rPr>
        <w:t xml:space="preserve"> QUESTION FOR WRITTEN REPLY</w:t>
      </w:r>
    </w:p>
    <w:p w14:paraId="48DFC400" w14:textId="77777777" w:rsidR="00420BEB" w:rsidRPr="00355173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355173">
        <w:rPr>
          <w:rFonts w:ascii="Arial" w:hAnsi="Arial" w:cs="Arial"/>
          <w:b/>
          <w:szCs w:val="24"/>
        </w:rPr>
        <w:t>QUESTION NUMBER:</w:t>
      </w:r>
      <w:r w:rsidR="008465AE" w:rsidRPr="00355173">
        <w:rPr>
          <w:rFonts w:ascii="Arial" w:hAnsi="Arial" w:cs="Arial"/>
          <w:b/>
          <w:szCs w:val="24"/>
        </w:rPr>
        <w:t xml:space="preserve"> </w:t>
      </w:r>
      <w:r w:rsidR="00936D81" w:rsidRPr="00355173">
        <w:rPr>
          <w:rFonts w:ascii="Arial" w:hAnsi="Arial" w:cs="Arial"/>
          <w:b/>
          <w:szCs w:val="24"/>
        </w:rPr>
        <w:t>1657</w:t>
      </w:r>
      <w:r w:rsidR="00784604" w:rsidRPr="00355173">
        <w:rPr>
          <w:rFonts w:ascii="Arial" w:hAnsi="Arial" w:cs="Arial"/>
          <w:b/>
          <w:szCs w:val="24"/>
        </w:rPr>
        <w:tab/>
      </w:r>
      <w:r w:rsidR="00A81B0B" w:rsidRPr="00355173">
        <w:rPr>
          <w:rFonts w:ascii="Arial" w:hAnsi="Arial" w:cs="Arial"/>
          <w:b/>
          <w:szCs w:val="24"/>
        </w:rPr>
        <w:tab/>
      </w:r>
      <w:r w:rsidRPr="00355173">
        <w:rPr>
          <w:rFonts w:ascii="Arial" w:hAnsi="Arial" w:cs="Arial"/>
          <w:b/>
          <w:szCs w:val="24"/>
        </w:rPr>
        <w:t>ADVANCE NOTICE NO:</w:t>
      </w:r>
      <w:r w:rsidR="00936D81" w:rsidRPr="00355173">
        <w:rPr>
          <w:rFonts w:ascii="Arial" w:hAnsi="Arial" w:cs="Arial"/>
          <w:b/>
          <w:szCs w:val="24"/>
        </w:rPr>
        <w:t xml:space="preserve"> NW1807</w:t>
      </w:r>
      <w:r w:rsidR="00047550" w:rsidRPr="00355173">
        <w:rPr>
          <w:rFonts w:ascii="Arial" w:hAnsi="Arial" w:cs="Arial"/>
          <w:b/>
          <w:szCs w:val="24"/>
        </w:rPr>
        <w:t>E</w:t>
      </w:r>
    </w:p>
    <w:p w14:paraId="4B6F0E97" w14:textId="77777777" w:rsidR="00CB7801" w:rsidRPr="00355173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355173">
        <w:rPr>
          <w:rFonts w:ascii="Arial" w:hAnsi="Arial" w:cs="Arial"/>
          <w:b/>
          <w:szCs w:val="24"/>
        </w:rPr>
        <w:t>DATE OF PUBLICATI</w:t>
      </w:r>
      <w:r w:rsidR="00985A6F" w:rsidRPr="00355173">
        <w:rPr>
          <w:rFonts w:ascii="Arial" w:hAnsi="Arial" w:cs="Arial"/>
          <w:b/>
          <w:szCs w:val="24"/>
        </w:rPr>
        <w:t>O</w:t>
      </w:r>
      <w:r w:rsidR="005625C5" w:rsidRPr="00355173">
        <w:rPr>
          <w:rFonts w:ascii="Arial" w:hAnsi="Arial" w:cs="Arial"/>
          <w:b/>
          <w:szCs w:val="24"/>
        </w:rPr>
        <w:t>N IN INTERNAL QUESTION PAPER:</w:t>
      </w:r>
      <w:r w:rsidR="00936D81" w:rsidRPr="00355173">
        <w:rPr>
          <w:rFonts w:ascii="Arial" w:hAnsi="Arial" w:cs="Arial"/>
          <w:b/>
          <w:szCs w:val="24"/>
        </w:rPr>
        <w:t xml:space="preserve">  </w:t>
      </w:r>
      <w:r w:rsidR="00ED737B" w:rsidRPr="00355173">
        <w:rPr>
          <w:rFonts w:ascii="Arial" w:hAnsi="Arial" w:cs="Arial"/>
          <w:b/>
          <w:szCs w:val="24"/>
        </w:rPr>
        <w:t xml:space="preserve">25 May </w:t>
      </w:r>
      <w:r w:rsidR="00936D81" w:rsidRPr="00355173">
        <w:rPr>
          <w:rFonts w:ascii="Arial" w:hAnsi="Arial" w:cs="Arial"/>
          <w:b/>
          <w:szCs w:val="24"/>
        </w:rPr>
        <w:t>2018</w:t>
      </w:r>
    </w:p>
    <w:p w14:paraId="7E8F817B" w14:textId="77777777" w:rsidR="00CB7801" w:rsidRPr="00355173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355173">
        <w:rPr>
          <w:rFonts w:ascii="Arial" w:hAnsi="Arial" w:cs="Arial"/>
          <w:b/>
          <w:szCs w:val="24"/>
        </w:rPr>
        <w:t xml:space="preserve">INTERNAL QUESTION PAPER </w:t>
      </w:r>
      <w:r w:rsidR="00740702" w:rsidRPr="00355173">
        <w:rPr>
          <w:rFonts w:ascii="Arial" w:hAnsi="Arial" w:cs="Arial"/>
          <w:b/>
          <w:szCs w:val="24"/>
        </w:rPr>
        <w:t>NUMBER:</w:t>
      </w:r>
      <w:r w:rsidR="00936D81" w:rsidRPr="00355173">
        <w:rPr>
          <w:rFonts w:ascii="Arial" w:hAnsi="Arial" w:cs="Arial"/>
          <w:b/>
          <w:szCs w:val="24"/>
        </w:rPr>
        <w:t xml:space="preserve"> 18</w:t>
      </w:r>
    </w:p>
    <w:p w14:paraId="62674896" w14:textId="77777777" w:rsidR="00936D81" w:rsidRPr="00355173" w:rsidRDefault="00936D81" w:rsidP="00936D81">
      <w:pPr>
        <w:spacing w:before="100" w:beforeAutospacing="1" w:after="100" w:afterAutospacing="1"/>
        <w:ind w:left="720" w:hanging="720"/>
        <w:outlineLvl w:val="0"/>
        <w:rPr>
          <w:rFonts w:ascii="Arial" w:hAnsi="Arial" w:cs="Arial"/>
          <w:szCs w:val="24"/>
          <w:lang w:val="en-US"/>
        </w:rPr>
      </w:pPr>
      <w:r w:rsidRPr="00355173">
        <w:rPr>
          <w:rFonts w:ascii="Arial" w:hAnsi="Arial" w:cs="Arial"/>
          <w:b/>
          <w:noProof/>
          <w:szCs w:val="24"/>
          <w:lang w:val="af-ZA"/>
        </w:rPr>
        <w:t>1657</w:t>
      </w:r>
      <w:r w:rsidRPr="00355173">
        <w:rPr>
          <w:rFonts w:ascii="Arial" w:hAnsi="Arial" w:cs="Arial"/>
          <w:b/>
          <w:szCs w:val="24"/>
          <w:lang w:val="en-US"/>
        </w:rPr>
        <w:t>.</w:t>
      </w:r>
      <w:r w:rsidRPr="00355173">
        <w:rPr>
          <w:rFonts w:ascii="Arial" w:hAnsi="Arial" w:cs="Arial"/>
          <w:b/>
          <w:szCs w:val="24"/>
          <w:lang w:val="en-US"/>
        </w:rPr>
        <w:tab/>
        <w:t>Adv H C Schmidt (DA) to ask the Minister of Mineral Resources:</w:t>
      </w:r>
    </w:p>
    <w:p w14:paraId="2F589AE7" w14:textId="77777777" w:rsidR="00936D81" w:rsidRPr="00355173" w:rsidRDefault="00936D81" w:rsidP="009328E4">
      <w:pPr>
        <w:spacing w:before="100" w:beforeAutospacing="1" w:after="100" w:afterAutospacing="1" w:line="360" w:lineRule="auto"/>
        <w:ind w:left="720"/>
        <w:rPr>
          <w:rFonts w:ascii="Arial" w:eastAsia="Calibri" w:hAnsi="Arial" w:cs="Arial"/>
          <w:szCs w:val="24"/>
        </w:rPr>
      </w:pPr>
      <w:r w:rsidRPr="00355173">
        <w:rPr>
          <w:rFonts w:ascii="Arial" w:eastAsia="Calibri" w:hAnsi="Arial" w:cs="Arial"/>
          <w:szCs w:val="24"/>
          <w:lang w:eastAsia="en-ZA"/>
        </w:rPr>
        <w:t xml:space="preserve">(a) What number of cases relating to the Prevention and Combating of Corrupt Activities Act, Act 12 of 2004, as amended, have been referred to the </w:t>
      </w:r>
      <w:r w:rsidRPr="00355173">
        <w:rPr>
          <w:rFonts w:ascii="Arial" w:eastAsia="Calibri" w:hAnsi="Arial" w:cs="Arial"/>
          <w:szCs w:val="24"/>
          <w:lang w:val="en-US" w:eastAsia="en-ZA"/>
        </w:rPr>
        <w:t>(</w:t>
      </w:r>
      <w:proofErr w:type="spellStart"/>
      <w:r w:rsidRPr="00355173">
        <w:rPr>
          <w:rFonts w:ascii="Arial" w:eastAsia="Calibri" w:hAnsi="Arial" w:cs="Arial"/>
          <w:szCs w:val="24"/>
          <w:lang w:val="en-US" w:eastAsia="en-ZA"/>
        </w:rPr>
        <w:t>i</w:t>
      </w:r>
      <w:proofErr w:type="spellEnd"/>
      <w:r w:rsidRPr="00355173">
        <w:rPr>
          <w:rFonts w:ascii="Arial" w:eastAsia="Calibri" w:hAnsi="Arial" w:cs="Arial"/>
          <w:szCs w:val="24"/>
          <w:lang w:val="en-US" w:eastAsia="en-ZA"/>
        </w:rPr>
        <w:t xml:space="preserve">) </w:t>
      </w:r>
      <w:r w:rsidRPr="00355173">
        <w:rPr>
          <w:rFonts w:ascii="Arial" w:eastAsia="Calibri" w:hAnsi="Arial" w:cs="Arial"/>
          <w:szCs w:val="24"/>
          <w:lang w:eastAsia="en-ZA"/>
        </w:rPr>
        <w:t xml:space="preserve">SA </w:t>
      </w:r>
      <w:r w:rsidRPr="00355173">
        <w:rPr>
          <w:rFonts w:ascii="Arial" w:eastAsia="Calibri" w:hAnsi="Arial" w:cs="Arial"/>
          <w:noProof/>
          <w:szCs w:val="24"/>
          <w:lang w:val="af-ZA" w:eastAsia="en-ZA"/>
        </w:rPr>
        <w:t>Police</w:t>
      </w:r>
      <w:r w:rsidRPr="00355173">
        <w:rPr>
          <w:rFonts w:ascii="Arial" w:eastAsia="Calibri" w:hAnsi="Arial" w:cs="Arial"/>
          <w:szCs w:val="24"/>
          <w:lang w:eastAsia="en-ZA"/>
        </w:rPr>
        <w:t xml:space="preserve"> Service</w:t>
      </w:r>
      <w:r w:rsidRPr="00355173">
        <w:rPr>
          <w:rFonts w:ascii="Arial" w:eastAsia="Calibri" w:hAnsi="Arial" w:cs="Arial"/>
          <w:szCs w:val="24"/>
          <w:lang w:val="en-US" w:eastAsia="en-ZA"/>
        </w:rPr>
        <w:t xml:space="preserve"> (SAPS) and (ii) Directorate for Priority Crime Investigation</w:t>
      </w:r>
      <w:r w:rsidRPr="00355173">
        <w:rPr>
          <w:rFonts w:ascii="Arial" w:eastAsia="Calibri" w:hAnsi="Arial" w:cs="Arial"/>
          <w:szCs w:val="24"/>
          <w:lang w:eastAsia="en-ZA"/>
        </w:rPr>
        <w:t xml:space="preserve"> (DPCI) by </w:t>
      </w:r>
      <w:r w:rsidRPr="00355173">
        <w:rPr>
          <w:rFonts w:ascii="Arial" w:eastAsia="Calibri" w:hAnsi="Arial" w:cs="Arial"/>
          <w:szCs w:val="24"/>
          <w:lang w:val="en-US" w:eastAsia="en-ZA"/>
        </w:rPr>
        <w:t xml:space="preserve">(aa) his department and (bb) each entity reporting to him </w:t>
      </w:r>
      <w:r w:rsidRPr="00355173">
        <w:rPr>
          <w:rFonts w:ascii="Arial" w:eastAsia="Calibri" w:hAnsi="Arial" w:cs="Arial"/>
          <w:szCs w:val="24"/>
          <w:lang w:eastAsia="en-ZA"/>
        </w:rPr>
        <w:t>for further investigation since the Act was assented to and (b) what number of the specified cases have (</w:t>
      </w:r>
      <w:proofErr w:type="spellStart"/>
      <w:r w:rsidRPr="00355173">
        <w:rPr>
          <w:rFonts w:ascii="Arial" w:eastAsia="Calibri" w:hAnsi="Arial" w:cs="Arial"/>
          <w:szCs w:val="24"/>
          <w:lang w:eastAsia="en-ZA"/>
        </w:rPr>
        <w:t>i</w:t>
      </w:r>
      <w:proofErr w:type="spellEnd"/>
      <w:r w:rsidRPr="00355173">
        <w:rPr>
          <w:rFonts w:ascii="Arial" w:eastAsia="Calibri" w:hAnsi="Arial" w:cs="Arial"/>
          <w:szCs w:val="24"/>
          <w:lang w:eastAsia="en-ZA"/>
        </w:rPr>
        <w:t>) been investigated by SAPS and DPCI, (ii) been followed up by the respective accounting officers and (iii) resulted in a conviction in each specified financial year since 2004</w:t>
      </w:r>
      <w:r w:rsidRPr="00355173">
        <w:rPr>
          <w:rFonts w:ascii="Arial" w:eastAsia="Calibri" w:hAnsi="Arial" w:cs="Arial"/>
          <w:szCs w:val="24"/>
        </w:rPr>
        <w:t>?</w:t>
      </w:r>
      <w:r w:rsidRPr="00355173">
        <w:rPr>
          <w:rFonts w:ascii="Arial" w:eastAsia="Calibri" w:hAnsi="Arial" w:cs="Arial"/>
          <w:szCs w:val="24"/>
        </w:rPr>
        <w:tab/>
        <w:t>NW1807E</w:t>
      </w:r>
    </w:p>
    <w:p w14:paraId="753B65C8" w14:textId="77777777" w:rsidR="00BB434F" w:rsidRPr="00355173" w:rsidRDefault="00F7145F" w:rsidP="00CF0E84">
      <w:pPr>
        <w:spacing w:before="100" w:beforeAutospacing="1" w:after="100" w:afterAutospacing="1" w:line="480" w:lineRule="auto"/>
        <w:rPr>
          <w:rFonts w:ascii="Arial" w:hAnsi="Arial" w:cs="Arial"/>
          <w:b/>
          <w:szCs w:val="24"/>
          <w:lang w:val="en-ZA"/>
        </w:rPr>
      </w:pPr>
      <w:r w:rsidRPr="00355173">
        <w:rPr>
          <w:rFonts w:ascii="Arial" w:hAnsi="Arial" w:cs="Arial"/>
          <w:b/>
          <w:szCs w:val="24"/>
          <w:lang w:val="en-ZA"/>
        </w:rPr>
        <w:t>Re</w:t>
      </w:r>
      <w:r w:rsidR="005557F6" w:rsidRPr="00355173">
        <w:rPr>
          <w:rFonts w:ascii="Arial" w:hAnsi="Arial" w:cs="Arial"/>
          <w:b/>
          <w:szCs w:val="24"/>
          <w:lang w:val="en-ZA"/>
        </w:rPr>
        <w:t>ply</w:t>
      </w:r>
    </w:p>
    <w:p w14:paraId="7DD1167F" w14:textId="595914E0" w:rsidR="00355173" w:rsidRPr="00355173" w:rsidRDefault="00355173" w:rsidP="00CF0E84">
      <w:pPr>
        <w:spacing w:before="100" w:beforeAutospacing="1" w:after="100" w:afterAutospacing="1" w:line="480" w:lineRule="auto"/>
        <w:rPr>
          <w:rFonts w:ascii="Arial" w:hAnsi="Arial" w:cs="Arial"/>
          <w:b/>
          <w:szCs w:val="24"/>
          <w:lang w:val="en-ZA"/>
        </w:rPr>
      </w:pPr>
      <w:r w:rsidRPr="00355173">
        <w:rPr>
          <w:rFonts w:ascii="Arial" w:hAnsi="Arial" w:cs="Arial"/>
          <w:b/>
          <w:szCs w:val="24"/>
          <w:lang w:val="en-ZA"/>
        </w:rPr>
        <w:t>Department of Mineral Resources</w:t>
      </w:r>
    </w:p>
    <w:p w14:paraId="02BCB002" w14:textId="77777777" w:rsidR="00B30A74" w:rsidRPr="00355173" w:rsidRDefault="00B30A74" w:rsidP="00CF0E84">
      <w:pPr>
        <w:spacing w:before="100" w:beforeAutospacing="1" w:after="100" w:afterAutospacing="1" w:line="480" w:lineRule="auto"/>
        <w:rPr>
          <w:rFonts w:ascii="Arial" w:hAnsi="Arial" w:cs="Arial"/>
          <w:b/>
          <w:szCs w:val="24"/>
          <w:lang w:val="en-ZA"/>
        </w:rPr>
      </w:pPr>
      <w:r w:rsidRPr="00355173">
        <w:rPr>
          <w:rFonts w:ascii="Arial" w:hAnsi="Arial" w:cs="Arial"/>
          <w:b/>
          <w:szCs w:val="24"/>
          <w:lang w:val="en-ZA"/>
        </w:rPr>
        <w:t>Four (4) cases.</w:t>
      </w:r>
    </w:p>
    <w:p w14:paraId="1BB8E411" w14:textId="77777777" w:rsidR="005E6F15" w:rsidRPr="00355173" w:rsidRDefault="005E6F15" w:rsidP="005E6F15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rFonts w:ascii="Arial" w:hAnsi="Arial" w:cs="Arial"/>
          <w:szCs w:val="24"/>
        </w:rPr>
      </w:pPr>
      <w:r w:rsidRPr="00355173">
        <w:rPr>
          <w:rFonts w:ascii="Arial" w:hAnsi="Arial" w:cs="Arial"/>
          <w:szCs w:val="24"/>
        </w:rPr>
        <w:t>Number of c</w:t>
      </w:r>
      <w:r w:rsidR="00B30A74" w:rsidRPr="00355173">
        <w:rPr>
          <w:rFonts w:ascii="Arial" w:hAnsi="Arial" w:cs="Arial"/>
          <w:szCs w:val="24"/>
        </w:rPr>
        <w:t>ases</w:t>
      </w:r>
      <w:r w:rsidRPr="00355173">
        <w:rPr>
          <w:rFonts w:ascii="Arial" w:hAnsi="Arial" w:cs="Arial"/>
          <w:szCs w:val="24"/>
        </w:rPr>
        <w:t xml:space="preserve"> relating to Prevention and Combating of Corrupt Activities Act, Act 12 of 2004</w:t>
      </w:r>
      <w:r w:rsidR="00311A6F" w:rsidRPr="00355173">
        <w:rPr>
          <w:rFonts w:ascii="Arial" w:hAnsi="Arial" w:cs="Arial"/>
          <w:szCs w:val="24"/>
        </w:rPr>
        <w:t>, as amended that have been referred:</w:t>
      </w:r>
    </w:p>
    <w:p w14:paraId="1F122185" w14:textId="77777777" w:rsidR="00B30A74" w:rsidRPr="00355173" w:rsidRDefault="00311A6F" w:rsidP="005E6F15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rPr>
          <w:rFonts w:ascii="Arial" w:hAnsi="Arial" w:cs="Arial"/>
          <w:szCs w:val="24"/>
        </w:rPr>
      </w:pPr>
      <w:r w:rsidRPr="00355173">
        <w:rPr>
          <w:rFonts w:ascii="Arial" w:hAnsi="Arial" w:cs="Arial"/>
          <w:szCs w:val="24"/>
        </w:rPr>
        <w:t xml:space="preserve">(aa) </w:t>
      </w:r>
      <w:r w:rsidR="005E6F15" w:rsidRPr="00355173">
        <w:rPr>
          <w:rFonts w:ascii="Arial" w:hAnsi="Arial" w:cs="Arial"/>
          <w:szCs w:val="24"/>
        </w:rPr>
        <w:t xml:space="preserve">One </w:t>
      </w:r>
      <w:r w:rsidR="00776383" w:rsidRPr="00355173">
        <w:rPr>
          <w:rFonts w:ascii="Arial" w:hAnsi="Arial" w:cs="Arial"/>
          <w:szCs w:val="24"/>
        </w:rPr>
        <w:t>c</w:t>
      </w:r>
      <w:r w:rsidR="005E6F15" w:rsidRPr="00355173">
        <w:rPr>
          <w:rFonts w:ascii="Arial" w:hAnsi="Arial" w:cs="Arial"/>
          <w:szCs w:val="24"/>
        </w:rPr>
        <w:t xml:space="preserve">ase was referred to </w:t>
      </w:r>
      <w:r w:rsidRPr="00355173">
        <w:rPr>
          <w:rFonts w:ascii="Arial" w:hAnsi="Arial" w:cs="Arial"/>
          <w:szCs w:val="24"/>
        </w:rPr>
        <w:t>the South African Police Service (</w:t>
      </w:r>
      <w:r w:rsidR="005E6F15" w:rsidRPr="00355173">
        <w:rPr>
          <w:rFonts w:ascii="Arial" w:hAnsi="Arial" w:cs="Arial"/>
          <w:szCs w:val="24"/>
        </w:rPr>
        <w:t>SAPS</w:t>
      </w:r>
      <w:r w:rsidRPr="00355173">
        <w:rPr>
          <w:rFonts w:ascii="Arial" w:hAnsi="Arial" w:cs="Arial"/>
          <w:szCs w:val="24"/>
        </w:rPr>
        <w:t>) by the department.</w:t>
      </w:r>
    </w:p>
    <w:p w14:paraId="159C9E6C" w14:textId="77777777" w:rsidR="005E6F15" w:rsidRPr="00355173" w:rsidRDefault="00311A6F" w:rsidP="005E6F15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rPr>
          <w:rFonts w:ascii="Arial" w:hAnsi="Arial" w:cs="Arial"/>
          <w:szCs w:val="24"/>
        </w:rPr>
      </w:pPr>
      <w:r w:rsidRPr="00355173">
        <w:rPr>
          <w:rFonts w:ascii="Arial" w:hAnsi="Arial" w:cs="Arial"/>
          <w:szCs w:val="24"/>
        </w:rPr>
        <w:lastRenderedPageBreak/>
        <w:t xml:space="preserve">(aa) </w:t>
      </w:r>
      <w:r w:rsidR="005E6F15" w:rsidRPr="00355173">
        <w:rPr>
          <w:rFonts w:ascii="Arial" w:hAnsi="Arial" w:cs="Arial"/>
          <w:szCs w:val="24"/>
        </w:rPr>
        <w:t>No case</w:t>
      </w:r>
      <w:r w:rsidRPr="00355173">
        <w:rPr>
          <w:rFonts w:ascii="Arial" w:hAnsi="Arial" w:cs="Arial"/>
          <w:szCs w:val="24"/>
        </w:rPr>
        <w:t xml:space="preserve"> was</w:t>
      </w:r>
      <w:r w:rsidR="005E6F15" w:rsidRPr="00355173">
        <w:rPr>
          <w:rFonts w:ascii="Arial" w:hAnsi="Arial" w:cs="Arial"/>
          <w:szCs w:val="24"/>
        </w:rPr>
        <w:t xml:space="preserve"> referred to </w:t>
      </w:r>
      <w:r w:rsidRPr="00355173">
        <w:rPr>
          <w:rFonts w:ascii="Arial" w:hAnsi="Arial" w:cs="Arial"/>
          <w:szCs w:val="24"/>
        </w:rPr>
        <w:t>the Directorate for Priority Crime Investigation (</w:t>
      </w:r>
      <w:r w:rsidR="005E6F15" w:rsidRPr="00355173">
        <w:rPr>
          <w:rFonts w:ascii="Arial" w:hAnsi="Arial" w:cs="Arial"/>
          <w:szCs w:val="24"/>
        </w:rPr>
        <w:t>DPCI</w:t>
      </w:r>
      <w:r w:rsidRPr="00355173">
        <w:rPr>
          <w:rFonts w:ascii="Arial" w:hAnsi="Arial" w:cs="Arial"/>
          <w:szCs w:val="24"/>
        </w:rPr>
        <w:t>) by the department.</w:t>
      </w:r>
    </w:p>
    <w:p w14:paraId="34764411" w14:textId="77777777" w:rsidR="00311A6F" w:rsidRPr="00355173" w:rsidRDefault="00311A6F" w:rsidP="00311A6F">
      <w:pPr>
        <w:pStyle w:val="ListParagraph"/>
        <w:spacing w:before="100" w:beforeAutospacing="1" w:after="100" w:afterAutospacing="1" w:line="480" w:lineRule="auto"/>
        <w:ind w:left="1140"/>
        <w:rPr>
          <w:rFonts w:ascii="Arial" w:hAnsi="Arial" w:cs="Arial"/>
          <w:szCs w:val="24"/>
        </w:rPr>
      </w:pPr>
    </w:p>
    <w:p w14:paraId="381E07CF" w14:textId="67BAC3D2" w:rsidR="005E6F15" w:rsidRPr="00355173" w:rsidRDefault="00FC0DF4" w:rsidP="005E6F15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rFonts w:ascii="Arial" w:hAnsi="Arial" w:cs="Arial"/>
          <w:szCs w:val="24"/>
        </w:rPr>
      </w:pPr>
      <w:r w:rsidRPr="00355173">
        <w:rPr>
          <w:rFonts w:ascii="Arial" w:hAnsi="Arial" w:cs="Arial"/>
          <w:szCs w:val="24"/>
        </w:rPr>
        <w:t>(</w:t>
      </w:r>
      <w:proofErr w:type="spellStart"/>
      <w:r w:rsidRPr="00355173">
        <w:rPr>
          <w:rFonts w:ascii="Arial" w:hAnsi="Arial" w:cs="Arial"/>
          <w:szCs w:val="24"/>
        </w:rPr>
        <w:t>i</w:t>
      </w:r>
      <w:proofErr w:type="spellEnd"/>
      <w:r w:rsidRPr="00355173">
        <w:rPr>
          <w:rFonts w:ascii="Arial" w:hAnsi="Arial" w:cs="Arial"/>
          <w:szCs w:val="24"/>
        </w:rPr>
        <w:t xml:space="preserve">) One (1) case has been investigated by </w:t>
      </w:r>
      <w:r w:rsidR="001234B9" w:rsidRPr="00355173">
        <w:rPr>
          <w:rFonts w:ascii="Arial" w:hAnsi="Arial" w:cs="Arial"/>
          <w:szCs w:val="24"/>
        </w:rPr>
        <w:t>SAPS during 2013</w:t>
      </w:r>
      <w:r w:rsidR="0047214E" w:rsidRPr="00355173">
        <w:rPr>
          <w:rFonts w:ascii="Arial" w:hAnsi="Arial" w:cs="Arial"/>
          <w:szCs w:val="24"/>
        </w:rPr>
        <w:t>/</w:t>
      </w:r>
      <w:r w:rsidR="001234B9" w:rsidRPr="00355173">
        <w:rPr>
          <w:rFonts w:ascii="Arial" w:hAnsi="Arial" w:cs="Arial"/>
          <w:szCs w:val="24"/>
        </w:rPr>
        <w:t xml:space="preserve">14 financial year and no case has been investigated by </w:t>
      </w:r>
      <w:r w:rsidR="005E6F15" w:rsidRPr="00355173">
        <w:rPr>
          <w:rFonts w:ascii="Arial" w:hAnsi="Arial" w:cs="Arial"/>
          <w:szCs w:val="24"/>
        </w:rPr>
        <w:t>DPCI</w:t>
      </w:r>
      <w:r w:rsidR="001234B9" w:rsidRPr="00355173">
        <w:rPr>
          <w:rFonts w:ascii="Arial" w:hAnsi="Arial" w:cs="Arial"/>
          <w:szCs w:val="24"/>
        </w:rPr>
        <w:t>,</w:t>
      </w:r>
    </w:p>
    <w:p w14:paraId="731E5C8C" w14:textId="77777777" w:rsidR="005E6F15" w:rsidRPr="00355173" w:rsidRDefault="001234B9" w:rsidP="001234B9">
      <w:pPr>
        <w:spacing w:before="100" w:beforeAutospacing="1" w:after="100" w:afterAutospacing="1" w:line="480" w:lineRule="auto"/>
        <w:ind w:left="710" w:firstLine="10"/>
        <w:rPr>
          <w:rFonts w:ascii="Arial" w:hAnsi="Arial" w:cs="Arial"/>
          <w:szCs w:val="24"/>
        </w:rPr>
      </w:pPr>
      <w:r w:rsidRPr="00355173">
        <w:rPr>
          <w:rFonts w:ascii="Arial" w:hAnsi="Arial" w:cs="Arial"/>
          <w:szCs w:val="24"/>
        </w:rPr>
        <w:t>(ii)</w:t>
      </w:r>
      <w:r w:rsidRPr="00355173">
        <w:rPr>
          <w:rFonts w:ascii="Arial" w:hAnsi="Arial" w:cs="Arial"/>
          <w:szCs w:val="24"/>
        </w:rPr>
        <w:tab/>
        <w:t xml:space="preserve">A follow up was </w:t>
      </w:r>
      <w:r w:rsidR="005E6F15" w:rsidRPr="00355173">
        <w:rPr>
          <w:rFonts w:ascii="Arial" w:hAnsi="Arial" w:cs="Arial"/>
          <w:szCs w:val="24"/>
        </w:rPr>
        <w:t>done</w:t>
      </w:r>
      <w:r w:rsidRPr="00355173">
        <w:rPr>
          <w:rFonts w:ascii="Arial" w:hAnsi="Arial" w:cs="Arial"/>
          <w:szCs w:val="24"/>
        </w:rPr>
        <w:t xml:space="preserve"> on the case by the respective accounting officer, and</w:t>
      </w:r>
    </w:p>
    <w:p w14:paraId="38B383B8" w14:textId="77777777" w:rsidR="00355173" w:rsidRPr="00355173" w:rsidRDefault="001234B9" w:rsidP="00355173">
      <w:pPr>
        <w:pStyle w:val="ListParagraph"/>
        <w:spacing w:before="100" w:beforeAutospacing="1" w:after="100" w:afterAutospacing="1" w:line="480" w:lineRule="auto"/>
        <w:ind w:left="0"/>
        <w:rPr>
          <w:rFonts w:ascii="Arial" w:hAnsi="Arial" w:cs="Arial"/>
          <w:b/>
          <w:szCs w:val="24"/>
        </w:rPr>
      </w:pPr>
      <w:r w:rsidRPr="00355173">
        <w:rPr>
          <w:rFonts w:ascii="Arial" w:hAnsi="Arial" w:cs="Arial"/>
          <w:szCs w:val="24"/>
        </w:rPr>
        <w:t xml:space="preserve">The employee </w:t>
      </w:r>
      <w:r w:rsidR="005E6F15" w:rsidRPr="00355173">
        <w:rPr>
          <w:rFonts w:ascii="Arial" w:hAnsi="Arial" w:cs="Arial"/>
          <w:szCs w:val="24"/>
        </w:rPr>
        <w:t>was dismissed</w:t>
      </w:r>
      <w:r w:rsidRPr="00355173">
        <w:rPr>
          <w:rFonts w:ascii="Arial" w:hAnsi="Arial" w:cs="Arial"/>
          <w:szCs w:val="24"/>
        </w:rPr>
        <w:t>,</w:t>
      </w:r>
      <w:r w:rsidR="005E6F15" w:rsidRPr="00355173">
        <w:rPr>
          <w:rFonts w:ascii="Arial" w:hAnsi="Arial" w:cs="Arial"/>
          <w:szCs w:val="24"/>
        </w:rPr>
        <w:t xml:space="preserve"> later appeared in court</w:t>
      </w:r>
      <w:r w:rsidRPr="00355173">
        <w:rPr>
          <w:rFonts w:ascii="Arial" w:hAnsi="Arial" w:cs="Arial"/>
          <w:szCs w:val="24"/>
        </w:rPr>
        <w:t xml:space="preserve"> </w:t>
      </w:r>
      <w:r w:rsidR="005E6F15" w:rsidRPr="00355173">
        <w:rPr>
          <w:rFonts w:ascii="Arial" w:hAnsi="Arial" w:cs="Arial"/>
          <w:szCs w:val="24"/>
        </w:rPr>
        <w:t>and was found guilty</w:t>
      </w:r>
      <w:r w:rsidR="0047214E" w:rsidRPr="00355173">
        <w:rPr>
          <w:rFonts w:ascii="Arial" w:hAnsi="Arial" w:cs="Arial"/>
          <w:szCs w:val="24"/>
        </w:rPr>
        <w:t xml:space="preserve"> during 2017/18 financial year</w:t>
      </w:r>
      <w:r w:rsidR="005E6F15" w:rsidRPr="00355173">
        <w:rPr>
          <w:rFonts w:ascii="Arial" w:hAnsi="Arial" w:cs="Arial"/>
          <w:szCs w:val="24"/>
        </w:rPr>
        <w:t xml:space="preserve">. </w:t>
      </w:r>
      <w:r w:rsidRPr="00355173">
        <w:rPr>
          <w:rFonts w:ascii="Arial" w:hAnsi="Arial" w:cs="Arial"/>
          <w:szCs w:val="24"/>
        </w:rPr>
        <w:t>The employee is a</w:t>
      </w:r>
      <w:r w:rsidR="005E6F15" w:rsidRPr="00355173">
        <w:rPr>
          <w:rFonts w:ascii="Arial" w:hAnsi="Arial" w:cs="Arial"/>
          <w:szCs w:val="24"/>
        </w:rPr>
        <w:t xml:space="preserve">waiting </w:t>
      </w:r>
      <w:proofErr w:type="spellStart"/>
      <w:r w:rsidR="00355173" w:rsidRPr="00355173">
        <w:rPr>
          <w:rFonts w:ascii="Arial" w:hAnsi="Arial" w:cs="Arial"/>
          <w:b/>
          <w:szCs w:val="24"/>
        </w:rPr>
        <w:t>Mintek</w:t>
      </w:r>
      <w:proofErr w:type="spellEnd"/>
    </w:p>
    <w:p w14:paraId="59D10D6C" w14:textId="77777777" w:rsidR="00355173" w:rsidRPr="00355173" w:rsidRDefault="00355173" w:rsidP="00355173">
      <w:pPr>
        <w:pStyle w:val="ListParagraph"/>
        <w:numPr>
          <w:ilvl w:val="0"/>
          <w:numId w:val="16"/>
        </w:numPr>
        <w:spacing w:before="100" w:beforeAutospacing="1" w:after="100" w:afterAutospacing="1"/>
        <w:contextualSpacing w:val="0"/>
        <w:rPr>
          <w:rFonts w:ascii="Arial" w:eastAsia="Calibri" w:hAnsi="Arial" w:cs="Arial"/>
          <w:szCs w:val="24"/>
          <w:lang w:eastAsia="en-ZA"/>
        </w:rPr>
      </w:pPr>
      <w:r w:rsidRPr="00355173">
        <w:rPr>
          <w:rFonts w:ascii="Arial" w:hAnsi="Arial" w:cs="Arial"/>
          <w:szCs w:val="24"/>
        </w:rPr>
        <w:t>(</w:t>
      </w:r>
      <w:proofErr w:type="spellStart"/>
      <w:r w:rsidRPr="00355173">
        <w:rPr>
          <w:rFonts w:ascii="Arial" w:hAnsi="Arial" w:cs="Arial"/>
          <w:szCs w:val="24"/>
        </w:rPr>
        <w:t>i</w:t>
      </w:r>
      <w:proofErr w:type="spellEnd"/>
      <w:r w:rsidRPr="00355173">
        <w:rPr>
          <w:rFonts w:ascii="Arial" w:eastAsia="Calibri" w:hAnsi="Arial" w:cs="Arial"/>
          <w:szCs w:val="24"/>
          <w:lang w:eastAsia="en-ZA"/>
        </w:rPr>
        <w:t>) 2 cases</w:t>
      </w:r>
    </w:p>
    <w:p w14:paraId="43FCD16F" w14:textId="77777777" w:rsidR="00355173" w:rsidRPr="00355173" w:rsidRDefault="00355173" w:rsidP="00355173">
      <w:pPr>
        <w:spacing w:before="100" w:beforeAutospacing="1" w:after="100" w:afterAutospacing="1"/>
        <w:ind w:left="720"/>
        <w:rPr>
          <w:rFonts w:ascii="Arial" w:eastAsia="Calibri" w:hAnsi="Arial" w:cs="Arial"/>
          <w:szCs w:val="24"/>
          <w:lang w:eastAsia="en-ZA"/>
        </w:rPr>
      </w:pPr>
      <w:r w:rsidRPr="00355173">
        <w:rPr>
          <w:rFonts w:ascii="Arial" w:eastAsia="Calibri" w:hAnsi="Arial" w:cs="Arial"/>
          <w:szCs w:val="24"/>
          <w:lang w:eastAsia="en-ZA"/>
        </w:rPr>
        <w:t>(ii) None</w:t>
      </w:r>
    </w:p>
    <w:p w14:paraId="54FB6A10" w14:textId="77777777" w:rsidR="00355173" w:rsidRPr="00355173" w:rsidRDefault="00355173" w:rsidP="00355173">
      <w:pPr>
        <w:pStyle w:val="ListParagraph"/>
        <w:numPr>
          <w:ilvl w:val="0"/>
          <w:numId w:val="16"/>
        </w:numPr>
        <w:spacing w:before="100" w:beforeAutospacing="1" w:after="100" w:afterAutospacing="1"/>
        <w:contextualSpacing w:val="0"/>
        <w:rPr>
          <w:rFonts w:ascii="Arial" w:eastAsia="Calibri" w:hAnsi="Arial" w:cs="Arial"/>
          <w:szCs w:val="24"/>
          <w:lang w:eastAsia="en-ZA"/>
        </w:rPr>
      </w:pPr>
      <w:r w:rsidRPr="00355173">
        <w:rPr>
          <w:rFonts w:ascii="Arial" w:eastAsia="Calibri" w:hAnsi="Arial" w:cs="Arial"/>
          <w:szCs w:val="24"/>
          <w:lang w:eastAsia="en-ZA"/>
        </w:rPr>
        <w:t>(</w:t>
      </w:r>
      <w:proofErr w:type="spellStart"/>
      <w:r w:rsidRPr="00355173">
        <w:rPr>
          <w:rFonts w:ascii="Arial" w:eastAsia="Calibri" w:hAnsi="Arial" w:cs="Arial"/>
          <w:szCs w:val="24"/>
          <w:lang w:eastAsia="en-ZA"/>
        </w:rPr>
        <w:t>i</w:t>
      </w:r>
      <w:proofErr w:type="spellEnd"/>
      <w:r w:rsidRPr="00355173">
        <w:rPr>
          <w:rFonts w:ascii="Arial" w:eastAsia="Calibri" w:hAnsi="Arial" w:cs="Arial"/>
          <w:szCs w:val="24"/>
          <w:lang w:eastAsia="en-ZA"/>
        </w:rPr>
        <w:t>) 2 cases investigated by SAPS.</w:t>
      </w:r>
    </w:p>
    <w:p w14:paraId="4C20C061" w14:textId="77777777" w:rsidR="00355173" w:rsidRPr="00355173" w:rsidRDefault="00355173" w:rsidP="00355173">
      <w:pPr>
        <w:spacing w:before="100" w:beforeAutospacing="1" w:after="100" w:afterAutospacing="1"/>
        <w:ind w:left="720"/>
        <w:rPr>
          <w:rFonts w:ascii="Arial" w:eastAsia="Calibri" w:hAnsi="Arial" w:cs="Arial"/>
          <w:szCs w:val="24"/>
          <w:lang w:eastAsia="en-ZA"/>
        </w:rPr>
      </w:pPr>
      <w:r w:rsidRPr="00355173">
        <w:rPr>
          <w:rFonts w:ascii="Arial" w:eastAsia="Calibri" w:hAnsi="Arial" w:cs="Arial"/>
          <w:szCs w:val="24"/>
          <w:lang w:eastAsia="en-ZA"/>
        </w:rPr>
        <w:t>(ii) 2 cases were followed up by the accounting officer.</w:t>
      </w:r>
    </w:p>
    <w:p w14:paraId="1F81178A" w14:textId="77777777" w:rsidR="00355173" w:rsidRPr="00355173" w:rsidRDefault="00355173" w:rsidP="00355173">
      <w:pPr>
        <w:spacing w:before="100" w:beforeAutospacing="1" w:after="100" w:afterAutospacing="1"/>
        <w:ind w:left="720"/>
        <w:rPr>
          <w:rFonts w:ascii="Arial" w:eastAsia="Calibri" w:hAnsi="Arial" w:cs="Arial"/>
          <w:szCs w:val="24"/>
          <w:lang w:eastAsia="en-ZA"/>
        </w:rPr>
      </w:pPr>
      <w:r w:rsidRPr="00355173">
        <w:rPr>
          <w:rFonts w:ascii="Arial" w:eastAsia="Calibri" w:hAnsi="Arial" w:cs="Arial"/>
          <w:szCs w:val="24"/>
          <w:lang w:eastAsia="en-ZA"/>
        </w:rPr>
        <w:t>(iii) 1 case resulted in a conviction in 2009.</w:t>
      </w:r>
    </w:p>
    <w:p w14:paraId="3670DBDB" w14:textId="77777777" w:rsidR="00355173" w:rsidRPr="00355173" w:rsidRDefault="00355173" w:rsidP="00355173">
      <w:pPr>
        <w:pStyle w:val="ListParagraph"/>
        <w:spacing w:before="100" w:beforeAutospacing="1" w:after="100" w:afterAutospacing="1" w:line="480" w:lineRule="auto"/>
        <w:ind w:left="0"/>
        <w:rPr>
          <w:rFonts w:ascii="Arial" w:hAnsi="Arial" w:cs="Arial"/>
          <w:b/>
          <w:szCs w:val="24"/>
        </w:rPr>
      </w:pPr>
      <w:r w:rsidRPr="00355173">
        <w:rPr>
          <w:rFonts w:ascii="Arial" w:hAnsi="Arial" w:cs="Arial"/>
          <w:b/>
          <w:szCs w:val="24"/>
        </w:rPr>
        <w:t>SADPMR</w:t>
      </w:r>
    </w:p>
    <w:p w14:paraId="22AF286B" w14:textId="77777777" w:rsidR="00355173" w:rsidRPr="00355173" w:rsidRDefault="00355173" w:rsidP="00355173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eastAsia="Calibri" w:hAnsi="Arial" w:cs="Arial"/>
          <w:szCs w:val="24"/>
          <w:lang w:eastAsia="en-ZA"/>
        </w:rPr>
      </w:pPr>
      <w:r w:rsidRPr="00355173">
        <w:rPr>
          <w:rFonts w:ascii="Arial" w:eastAsia="Calibri" w:hAnsi="Arial" w:cs="Arial"/>
          <w:szCs w:val="24"/>
          <w:lang w:eastAsia="en-ZA"/>
        </w:rPr>
        <w:t>(</w:t>
      </w:r>
      <w:proofErr w:type="spellStart"/>
      <w:r w:rsidRPr="00355173">
        <w:rPr>
          <w:rFonts w:ascii="Arial" w:eastAsia="Calibri" w:hAnsi="Arial" w:cs="Arial"/>
          <w:szCs w:val="24"/>
          <w:lang w:eastAsia="en-ZA"/>
        </w:rPr>
        <w:t>i</w:t>
      </w:r>
      <w:proofErr w:type="spellEnd"/>
      <w:r w:rsidRPr="00355173">
        <w:rPr>
          <w:rFonts w:ascii="Arial" w:eastAsia="Calibri" w:hAnsi="Arial" w:cs="Arial"/>
          <w:szCs w:val="24"/>
          <w:lang w:eastAsia="en-ZA"/>
        </w:rPr>
        <w:t>) 4 cases were referred to SAPS</w:t>
      </w:r>
    </w:p>
    <w:p w14:paraId="34AE4BC4" w14:textId="77777777" w:rsidR="00355173" w:rsidRPr="00355173" w:rsidRDefault="00355173" w:rsidP="00355173">
      <w:pPr>
        <w:pStyle w:val="ListParagraph"/>
        <w:spacing w:before="100" w:beforeAutospacing="1" w:after="100" w:afterAutospacing="1"/>
        <w:ind w:left="810"/>
        <w:rPr>
          <w:rFonts w:ascii="Arial" w:eastAsia="Calibri" w:hAnsi="Arial" w:cs="Arial"/>
          <w:szCs w:val="24"/>
          <w:lang w:eastAsia="en-ZA"/>
        </w:rPr>
      </w:pPr>
    </w:p>
    <w:p w14:paraId="1D9D6F34" w14:textId="77777777" w:rsidR="00355173" w:rsidRPr="00355173" w:rsidRDefault="00355173" w:rsidP="00355173">
      <w:pPr>
        <w:pStyle w:val="ListParagraph"/>
        <w:spacing w:before="100" w:beforeAutospacing="1" w:after="100" w:afterAutospacing="1"/>
        <w:contextualSpacing w:val="0"/>
        <w:rPr>
          <w:rFonts w:ascii="Arial" w:eastAsia="Calibri" w:hAnsi="Arial" w:cs="Arial"/>
          <w:szCs w:val="24"/>
          <w:lang w:eastAsia="en-ZA"/>
        </w:rPr>
      </w:pPr>
      <w:r w:rsidRPr="00355173">
        <w:rPr>
          <w:rFonts w:ascii="Arial" w:eastAsia="Calibri" w:hAnsi="Arial" w:cs="Arial"/>
          <w:szCs w:val="24"/>
          <w:lang w:eastAsia="en-ZA"/>
        </w:rPr>
        <w:t>(ii) 1 case was referred to DPCI</w:t>
      </w:r>
    </w:p>
    <w:p w14:paraId="3BBFDEEE" w14:textId="77777777" w:rsidR="00355173" w:rsidRPr="00355173" w:rsidRDefault="00355173" w:rsidP="00355173">
      <w:pPr>
        <w:pStyle w:val="ListParagraph"/>
        <w:numPr>
          <w:ilvl w:val="0"/>
          <w:numId w:val="17"/>
        </w:numPr>
        <w:spacing w:before="100" w:beforeAutospacing="1" w:after="100" w:afterAutospacing="1"/>
        <w:contextualSpacing w:val="0"/>
        <w:rPr>
          <w:rFonts w:ascii="Arial" w:eastAsia="Calibri" w:hAnsi="Arial" w:cs="Arial"/>
          <w:szCs w:val="24"/>
          <w:lang w:eastAsia="en-ZA"/>
        </w:rPr>
      </w:pPr>
      <w:r w:rsidRPr="00355173">
        <w:rPr>
          <w:rFonts w:ascii="Arial" w:eastAsia="Calibri" w:hAnsi="Arial" w:cs="Arial"/>
          <w:szCs w:val="24"/>
          <w:lang w:eastAsia="en-ZA"/>
        </w:rPr>
        <w:t>(</w:t>
      </w:r>
      <w:proofErr w:type="spellStart"/>
      <w:r w:rsidRPr="00355173">
        <w:rPr>
          <w:rFonts w:ascii="Arial" w:eastAsia="Calibri" w:hAnsi="Arial" w:cs="Arial"/>
          <w:szCs w:val="24"/>
          <w:lang w:eastAsia="en-ZA"/>
        </w:rPr>
        <w:t>i</w:t>
      </w:r>
      <w:proofErr w:type="spellEnd"/>
      <w:r w:rsidRPr="00355173">
        <w:rPr>
          <w:rFonts w:ascii="Arial" w:eastAsia="Calibri" w:hAnsi="Arial" w:cs="Arial"/>
          <w:szCs w:val="24"/>
          <w:lang w:eastAsia="en-ZA"/>
        </w:rPr>
        <w:t>) 4 cases are investigated by SAPS and1 by DPCI.</w:t>
      </w:r>
    </w:p>
    <w:p w14:paraId="4AD81D69" w14:textId="77777777" w:rsidR="00355173" w:rsidRPr="00355173" w:rsidRDefault="00355173" w:rsidP="00355173">
      <w:pPr>
        <w:pStyle w:val="ListParagraph"/>
        <w:spacing w:before="100" w:beforeAutospacing="1" w:after="100" w:afterAutospacing="1"/>
        <w:contextualSpacing w:val="0"/>
        <w:rPr>
          <w:rFonts w:ascii="Arial" w:eastAsia="Calibri" w:hAnsi="Arial" w:cs="Arial"/>
          <w:szCs w:val="24"/>
          <w:lang w:eastAsia="en-ZA"/>
        </w:rPr>
      </w:pPr>
      <w:r w:rsidRPr="00355173">
        <w:rPr>
          <w:rFonts w:ascii="Arial" w:eastAsia="Calibri" w:hAnsi="Arial" w:cs="Arial"/>
          <w:szCs w:val="24"/>
          <w:lang w:eastAsia="en-ZA"/>
        </w:rPr>
        <w:t>(ii) All cases are currently being followed up on by the Accounting Officer.</w:t>
      </w:r>
    </w:p>
    <w:p w14:paraId="5FED33E3" w14:textId="77777777" w:rsidR="00355173" w:rsidRPr="00355173" w:rsidRDefault="00355173" w:rsidP="00355173">
      <w:pPr>
        <w:pStyle w:val="ListParagraph"/>
        <w:spacing w:before="100" w:beforeAutospacing="1" w:after="100" w:afterAutospacing="1"/>
        <w:contextualSpacing w:val="0"/>
        <w:rPr>
          <w:rFonts w:ascii="Arial" w:eastAsia="Calibri" w:hAnsi="Arial" w:cs="Arial"/>
          <w:szCs w:val="24"/>
          <w:lang w:eastAsia="en-ZA"/>
        </w:rPr>
      </w:pPr>
      <w:r w:rsidRPr="00355173">
        <w:rPr>
          <w:rFonts w:ascii="Arial" w:eastAsia="Calibri" w:hAnsi="Arial" w:cs="Arial"/>
          <w:szCs w:val="24"/>
          <w:lang w:eastAsia="en-ZA"/>
        </w:rPr>
        <w:t>(iii) There are no convictions yet</w:t>
      </w:r>
    </w:p>
    <w:p w14:paraId="29EC7723" w14:textId="77777777" w:rsidR="00355173" w:rsidRPr="00355173" w:rsidRDefault="00355173" w:rsidP="00355173">
      <w:pPr>
        <w:pStyle w:val="ListParagraph"/>
        <w:spacing w:before="100" w:beforeAutospacing="1" w:after="100" w:afterAutospacing="1" w:line="480" w:lineRule="auto"/>
        <w:ind w:left="0"/>
        <w:rPr>
          <w:rFonts w:ascii="Arial" w:hAnsi="Arial" w:cs="Arial"/>
          <w:b/>
          <w:szCs w:val="24"/>
        </w:rPr>
      </w:pPr>
      <w:r w:rsidRPr="00355173">
        <w:rPr>
          <w:rFonts w:ascii="Arial" w:hAnsi="Arial" w:cs="Arial"/>
          <w:b/>
          <w:szCs w:val="24"/>
        </w:rPr>
        <w:lastRenderedPageBreak/>
        <w:t>MSHC</w:t>
      </w:r>
    </w:p>
    <w:p w14:paraId="6FA3543A" w14:textId="77777777" w:rsidR="00355173" w:rsidRPr="00355173" w:rsidRDefault="00355173" w:rsidP="00355173">
      <w:pPr>
        <w:pStyle w:val="ListParagraph"/>
        <w:spacing w:before="100" w:beforeAutospacing="1" w:after="100" w:afterAutospacing="1" w:line="360" w:lineRule="auto"/>
        <w:contextualSpacing w:val="0"/>
        <w:rPr>
          <w:rFonts w:ascii="Arial" w:eastAsia="Calibri" w:hAnsi="Arial" w:cs="Arial"/>
          <w:szCs w:val="24"/>
          <w:lang w:eastAsia="en-ZA"/>
        </w:rPr>
      </w:pPr>
      <w:r w:rsidRPr="00355173">
        <w:rPr>
          <w:rFonts w:ascii="Arial" w:eastAsia="Calibri" w:hAnsi="Arial" w:cs="Arial"/>
          <w:szCs w:val="24"/>
          <w:lang w:eastAsia="en-ZA"/>
        </w:rPr>
        <w:t xml:space="preserve">The MHSC has no cases relating to the Prevention and Combating of Corrupt Activities Act, Act 12 of 2004, as amended, that </w:t>
      </w:r>
      <w:proofErr w:type="gramStart"/>
      <w:r w:rsidRPr="00355173">
        <w:rPr>
          <w:rFonts w:ascii="Arial" w:eastAsia="Calibri" w:hAnsi="Arial" w:cs="Arial"/>
          <w:szCs w:val="24"/>
          <w:lang w:eastAsia="en-ZA"/>
        </w:rPr>
        <w:t>have been referred</w:t>
      </w:r>
      <w:proofErr w:type="gramEnd"/>
      <w:r w:rsidRPr="00355173">
        <w:rPr>
          <w:rFonts w:ascii="Arial" w:eastAsia="Calibri" w:hAnsi="Arial" w:cs="Arial"/>
          <w:szCs w:val="24"/>
          <w:lang w:eastAsia="en-ZA"/>
        </w:rPr>
        <w:t xml:space="preserve"> to the (</w:t>
      </w:r>
      <w:proofErr w:type="spellStart"/>
      <w:r w:rsidRPr="00355173">
        <w:rPr>
          <w:rFonts w:ascii="Arial" w:eastAsia="Calibri" w:hAnsi="Arial" w:cs="Arial"/>
          <w:szCs w:val="24"/>
          <w:lang w:eastAsia="en-ZA"/>
        </w:rPr>
        <w:t>i</w:t>
      </w:r>
      <w:proofErr w:type="spellEnd"/>
      <w:r w:rsidRPr="00355173">
        <w:rPr>
          <w:rFonts w:ascii="Arial" w:eastAsia="Calibri" w:hAnsi="Arial" w:cs="Arial"/>
          <w:szCs w:val="24"/>
          <w:lang w:eastAsia="en-ZA"/>
        </w:rPr>
        <w:t>) SA Police Service (SAPS) and (ii) Directorate for Priority Crime Investigation (DPCI.)</w:t>
      </w:r>
    </w:p>
    <w:p w14:paraId="67E31F17" w14:textId="77777777" w:rsidR="00355173" w:rsidRPr="00355173" w:rsidRDefault="00355173" w:rsidP="00355173">
      <w:pPr>
        <w:pStyle w:val="ListParagraph"/>
        <w:spacing w:before="100" w:beforeAutospacing="1" w:after="100" w:afterAutospacing="1" w:line="480" w:lineRule="auto"/>
        <w:ind w:left="0"/>
        <w:rPr>
          <w:rFonts w:ascii="Arial" w:hAnsi="Arial" w:cs="Arial"/>
          <w:b/>
          <w:szCs w:val="24"/>
        </w:rPr>
      </w:pPr>
      <w:r w:rsidRPr="00355173">
        <w:rPr>
          <w:rFonts w:ascii="Arial" w:hAnsi="Arial" w:cs="Arial"/>
          <w:b/>
          <w:szCs w:val="24"/>
        </w:rPr>
        <w:t>SDT</w:t>
      </w:r>
    </w:p>
    <w:p w14:paraId="0F2CB676" w14:textId="77777777" w:rsidR="00355173" w:rsidRPr="00355173" w:rsidRDefault="00355173" w:rsidP="00355173">
      <w:pPr>
        <w:pStyle w:val="ListParagraph"/>
        <w:spacing w:before="100" w:beforeAutospacing="1" w:after="100" w:afterAutospacing="1" w:line="360" w:lineRule="auto"/>
        <w:contextualSpacing w:val="0"/>
        <w:rPr>
          <w:rFonts w:ascii="Arial" w:eastAsia="Calibri" w:hAnsi="Arial" w:cs="Arial"/>
          <w:szCs w:val="24"/>
          <w:lang w:eastAsia="en-ZA"/>
        </w:rPr>
      </w:pPr>
      <w:r w:rsidRPr="00355173">
        <w:rPr>
          <w:rFonts w:ascii="Arial" w:eastAsia="Calibri" w:hAnsi="Arial" w:cs="Arial"/>
          <w:szCs w:val="24"/>
          <w:lang w:eastAsia="en-ZA"/>
        </w:rPr>
        <w:t xml:space="preserve">The SDT has no cases relating to the Prevention and Combating of Corrupt Activities Act, Act 12 of 2004, as amended, that </w:t>
      </w:r>
      <w:proofErr w:type="gramStart"/>
      <w:r w:rsidRPr="00355173">
        <w:rPr>
          <w:rFonts w:ascii="Arial" w:eastAsia="Calibri" w:hAnsi="Arial" w:cs="Arial"/>
          <w:szCs w:val="24"/>
          <w:lang w:eastAsia="en-ZA"/>
        </w:rPr>
        <w:t>have been referred</w:t>
      </w:r>
      <w:proofErr w:type="gramEnd"/>
      <w:r w:rsidRPr="00355173">
        <w:rPr>
          <w:rFonts w:ascii="Arial" w:eastAsia="Calibri" w:hAnsi="Arial" w:cs="Arial"/>
          <w:szCs w:val="24"/>
          <w:lang w:eastAsia="en-ZA"/>
        </w:rPr>
        <w:t xml:space="preserve"> to the (</w:t>
      </w:r>
      <w:proofErr w:type="spellStart"/>
      <w:r w:rsidRPr="00355173">
        <w:rPr>
          <w:rFonts w:ascii="Arial" w:eastAsia="Calibri" w:hAnsi="Arial" w:cs="Arial"/>
          <w:szCs w:val="24"/>
          <w:lang w:eastAsia="en-ZA"/>
        </w:rPr>
        <w:t>i</w:t>
      </w:r>
      <w:proofErr w:type="spellEnd"/>
      <w:r w:rsidRPr="00355173">
        <w:rPr>
          <w:rFonts w:ascii="Arial" w:eastAsia="Calibri" w:hAnsi="Arial" w:cs="Arial"/>
          <w:szCs w:val="24"/>
          <w:lang w:eastAsia="en-ZA"/>
        </w:rPr>
        <w:t>) SA Police Service (SAPS) and (ii) Directorate for Priority Crime Investigation (DPCI.)</w:t>
      </w:r>
    </w:p>
    <w:p w14:paraId="41607F12" w14:textId="77777777" w:rsidR="00355173" w:rsidRPr="00355173" w:rsidRDefault="00355173" w:rsidP="00355173">
      <w:pPr>
        <w:spacing w:before="100" w:beforeAutospacing="1" w:after="100" w:afterAutospacing="1" w:line="480" w:lineRule="auto"/>
        <w:rPr>
          <w:rFonts w:ascii="Arial" w:eastAsia="Calibri" w:hAnsi="Arial" w:cs="Arial"/>
          <w:b/>
          <w:szCs w:val="24"/>
          <w:lang w:eastAsia="en-ZA"/>
        </w:rPr>
      </w:pPr>
      <w:r w:rsidRPr="00355173">
        <w:rPr>
          <w:rFonts w:ascii="Arial" w:eastAsia="Calibri" w:hAnsi="Arial" w:cs="Arial"/>
          <w:b/>
          <w:szCs w:val="24"/>
          <w:lang w:eastAsia="en-ZA"/>
        </w:rPr>
        <w:t>CGS</w:t>
      </w:r>
    </w:p>
    <w:p w14:paraId="2DF7A3D7" w14:textId="77777777" w:rsidR="00355173" w:rsidRPr="00355173" w:rsidRDefault="00355173" w:rsidP="00355173">
      <w:pPr>
        <w:pStyle w:val="ListParagraph"/>
        <w:spacing w:before="100" w:beforeAutospacing="1" w:after="100" w:afterAutospacing="1" w:line="360" w:lineRule="auto"/>
        <w:contextualSpacing w:val="0"/>
        <w:rPr>
          <w:rFonts w:ascii="Arial" w:eastAsia="Calibri" w:hAnsi="Arial" w:cs="Arial"/>
          <w:szCs w:val="24"/>
          <w:lang w:eastAsia="en-ZA"/>
        </w:rPr>
      </w:pPr>
      <w:r w:rsidRPr="00355173">
        <w:rPr>
          <w:rFonts w:ascii="Arial" w:eastAsia="Calibri" w:hAnsi="Arial" w:cs="Arial"/>
          <w:szCs w:val="24"/>
          <w:lang w:eastAsia="en-ZA"/>
        </w:rPr>
        <w:t xml:space="preserve">The CGS has no cases relating to the Prevention and Combating of Corrupt Activities Act, Act 12 of 2004, as amended, that </w:t>
      </w:r>
      <w:proofErr w:type="gramStart"/>
      <w:r w:rsidRPr="00355173">
        <w:rPr>
          <w:rFonts w:ascii="Arial" w:eastAsia="Calibri" w:hAnsi="Arial" w:cs="Arial"/>
          <w:szCs w:val="24"/>
          <w:lang w:eastAsia="en-ZA"/>
        </w:rPr>
        <w:t>have been referred</w:t>
      </w:r>
      <w:proofErr w:type="gramEnd"/>
      <w:r w:rsidRPr="00355173">
        <w:rPr>
          <w:rFonts w:ascii="Arial" w:eastAsia="Calibri" w:hAnsi="Arial" w:cs="Arial"/>
          <w:szCs w:val="24"/>
          <w:lang w:eastAsia="en-ZA"/>
        </w:rPr>
        <w:t xml:space="preserve"> to the (</w:t>
      </w:r>
      <w:proofErr w:type="spellStart"/>
      <w:r w:rsidRPr="00355173">
        <w:rPr>
          <w:rFonts w:ascii="Arial" w:eastAsia="Calibri" w:hAnsi="Arial" w:cs="Arial"/>
          <w:szCs w:val="24"/>
          <w:lang w:eastAsia="en-ZA"/>
        </w:rPr>
        <w:t>i</w:t>
      </w:r>
      <w:proofErr w:type="spellEnd"/>
      <w:r w:rsidRPr="00355173">
        <w:rPr>
          <w:rFonts w:ascii="Arial" w:eastAsia="Calibri" w:hAnsi="Arial" w:cs="Arial"/>
          <w:szCs w:val="24"/>
          <w:lang w:eastAsia="en-ZA"/>
        </w:rPr>
        <w:t>) SA Police Service (SAPS) and (ii) Directorate for Priority Crime Investigation (DPCI.)</w:t>
      </w:r>
    </w:p>
    <w:p w14:paraId="6ED16A95" w14:textId="35B0E0D8" w:rsidR="005E6F15" w:rsidRPr="00355173" w:rsidRDefault="005E6F15" w:rsidP="00355173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rPr>
          <w:rFonts w:ascii="Arial" w:hAnsi="Arial" w:cs="Arial"/>
          <w:szCs w:val="24"/>
        </w:rPr>
      </w:pPr>
      <w:proofErr w:type="gramStart"/>
      <w:r w:rsidRPr="00355173">
        <w:rPr>
          <w:rFonts w:ascii="Arial" w:hAnsi="Arial" w:cs="Arial"/>
          <w:szCs w:val="24"/>
        </w:rPr>
        <w:t>sentence</w:t>
      </w:r>
      <w:proofErr w:type="gramEnd"/>
      <w:r w:rsidRPr="00355173">
        <w:rPr>
          <w:rFonts w:ascii="Arial" w:hAnsi="Arial" w:cs="Arial"/>
          <w:szCs w:val="24"/>
        </w:rPr>
        <w:t>.</w:t>
      </w:r>
    </w:p>
    <w:p w14:paraId="6538791D" w14:textId="77777777"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14:paraId="428B2C2B" w14:textId="77777777" w:rsidR="00BB434F" w:rsidRDefault="00BB434F">
      <w:pPr>
        <w:rPr>
          <w:rFonts w:ascii="Arial" w:hAnsi="Arial" w:cs="Arial"/>
        </w:rPr>
      </w:pPr>
    </w:p>
    <w:p w14:paraId="702A5744" w14:textId="77777777" w:rsidR="00BB434F" w:rsidRDefault="00BB434F">
      <w:pPr>
        <w:rPr>
          <w:rFonts w:ascii="Arial" w:hAnsi="Arial" w:cs="Arial"/>
        </w:rPr>
      </w:pPr>
    </w:p>
    <w:p w14:paraId="2362D041" w14:textId="77777777" w:rsidR="00BB434F" w:rsidRPr="008465AE" w:rsidRDefault="00BB434F">
      <w:pPr>
        <w:rPr>
          <w:rFonts w:ascii="Arial" w:hAnsi="Arial" w:cs="Arial"/>
        </w:rPr>
      </w:pPr>
    </w:p>
    <w:p w14:paraId="20DC0D88" w14:textId="77777777" w:rsidR="00710E05" w:rsidRPr="008465AE" w:rsidRDefault="00710E05">
      <w:pPr>
        <w:rPr>
          <w:rFonts w:ascii="Arial" w:hAnsi="Arial" w:cs="Arial"/>
        </w:rPr>
      </w:pPr>
    </w:p>
    <w:p w14:paraId="34FFCB8F" w14:textId="77777777" w:rsidR="001234B9" w:rsidRDefault="00936D81" w:rsidP="00C21927">
      <w:pPr>
        <w:rPr>
          <w:rFonts w:ascii="Arial" w:hAnsi="Arial" w:cs="Arial"/>
          <w:b/>
          <w:szCs w:val="24"/>
          <w:lang w:val="en-ZA"/>
        </w:rPr>
      </w:pPr>
      <w:r>
        <w:rPr>
          <w:rFonts w:ascii="Arial" w:hAnsi="Arial" w:cs="Arial"/>
          <w:b/>
          <w:szCs w:val="24"/>
          <w:lang w:val="en-ZA"/>
        </w:rPr>
        <w:t xml:space="preserve">Mr SG </w:t>
      </w:r>
      <w:proofErr w:type="spellStart"/>
      <w:r>
        <w:rPr>
          <w:rFonts w:ascii="Arial" w:hAnsi="Arial" w:cs="Arial"/>
          <w:b/>
          <w:szCs w:val="24"/>
          <w:lang w:val="en-ZA"/>
        </w:rPr>
        <w:t>Mantashe</w:t>
      </w:r>
      <w:proofErr w:type="spellEnd"/>
      <w:r w:rsidR="008465AE" w:rsidRPr="008465AE">
        <w:rPr>
          <w:rFonts w:ascii="Arial" w:hAnsi="Arial" w:cs="Arial"/>
          <w:b/>
          <w:szCs w:val="24"/>
          <w:lang w:val="en-ZA"/>
        </w:rPr>
        <w:t xml:space="preserve"> </w:t>
      </w:r>
    </w:p>
    <w:p w14:paraId="54310CC8" w14:textId="77777777"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14:paraId="78C43AB5" w14:textId="77777777"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14:paraId="1B0D1ABB" w14:textId="77777777" w:rsidR="0024652D" w:rsidRPr="008465AE" w:rsidRDefault="00C21927">
      <w:pPr>
        <w:rPr>
          <w:rFonts w:ascii="Arial" w:hAnsi="Arial" w:cs="Arial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936D81">
        <w:rPr>
          <w:rFonts w:ascii="Arial" w:hAnsi="Arial" w:cs="Arial"/>
          <w:szCs w:val="24"/>
          <w:lang w:val="en-ZA"/>
        </w:rPr>
        <w:t>18</w:t>
      </w:r>
    </w:p>
    <w:p w14:paraId="60C73DD7" w14:textId="77777777" w:rsidR="0024652D" w:rsidRDefault="0024652D"/>
    <w:p w14:paraId="569C4D00" w14:textId="77777777" w:rsidR="0024652D" w:rsidRDefault="0024652D"/>
    <w:p w14:paraId="4542E86B" w14:textId="77777777" w:rsidR="0024652D" w:rsidRDefault="0024652D"/>
    <w:p w14:paraId="32DB2E88" w14:textId="77777777" w:rsidR="0024652D" w:rsidRDefault="0024652D"/>
    <w:sectPr w:rsidR="0024652D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04272" w14:textId="77777777" w:rsidR="00E13667" w:rsidRDefault="00E13667" w:rsidP="0012321F">
      <w:r>
        <w:separator/>
      </w:r>
    </w:p>
  </w:endnote>
  <w:endnote w:type="continuationSeparator" w:id="0">
    <w:p w14:paraId="12718623" w14:textId="77777777" w:rsidR="00E13667" w:rsidRDefault="00E13667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DE483" w14:textId="77777777" w:rsidR="00E13667" w:rsidRDefault="00E13667" w:rsidP="0012321F">
      <w:r>
        <w:separator/>
      </w:r>
    </w:p>
  </w:footnote>
  <w:footnote w:type="continuationSeparator" w:id="0">
    <w:p w14:paraId="641BCEDB" w14:textId="77777777" w:rsidR="00E13667" w:rsidRDefault="00E13667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11610" w14:textId="77777777"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ZA" w:eastAsia="en-ZA"/>
      </w:rPr>
      <w:drawing>
        <wp:anchor distT="0" distB="0" distL="114300" distR="114300" simplePos="0" relativeHeight="251657728" behindDoc="0" locked="0" layoutInCell="1" allowOverlap="1" wp14:anchorId="526AED2B" wp14:editId="6B197A57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AD84FDC" w14:textId="77777777" w:rsidR="00E677C4" w:rsidRDefault="00E677C4">
    <w:pPr>
      <w:pStyle w:val="Header"/>
      <w:rPr>
        <w:rFonts w:ascii="Trebuchet MS" w:hAnsi="Trebuchet MS"/>
        <w:b/>
        <w:bCs/>
      </w:rPr>
    </w:pPr>
  </w:p>
  <w:p w14:paraId="677C8210" w14:textId="77777777" w:rsidR="00E677C4" w:rsidRDefault="00E677C4">
    <w:pPr>
      <w:pStyle w:val="Header"/>
      <w:rPr>
        <w:rFonts w:ascii="Trebuchet MS" w:hAnsi="Trebuchet MS"/>
        <w:b/>
        <w:bCs/>
      </w:rPr>
    </w:pPr>
  </w:p>
  <w:p w14:paraId="2E96832B" w14:textId="77777777"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14:paraId="5F32DCEA" w14:textId="77777777"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14:paraId="3D51E41C" w14:textId="77777777"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14:paraId="09A8DD9E" w14:textId="77777777"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9802AF"/>
    <w:multiLevelType w:val="hybridMultilevel"/>
    <w:tmpl w:val="1902DCE2"/>
    <w:lvl w:ilvl="0" w:tplc="DF044D8A">
      <w:start w:val="1"/>
      <w:numFmt w:val="lowerRoman"/>
      <w:lvlText w:val="(%1)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8391653"/>
    <w:multiLevelType w:val="hybridMultilevel"/>
    <w:tmpl w:val="970AE568"/>
    <w:lvl w:ilvl="0" w:tplc="16DA314C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1D7533"/>
    <w:multiLevelType w:val="hybridMultilevel"/>
    <w:tmpl w:val="F7980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4380E"/>
    <w:multiLevelType w:val="hybridMultilevel"/>
    <w:tmpl w:val="F52AFEEA"/>
    <w:lvl w:ilvl="0" w:tplc="FCAE293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BA40DB0"/>
    <w:multiLevelType w:val="hybridMultilevel"/>
    <w:tmpl w:val="CEA674DA"/>
    <w:lvl w:ilvl="0" w:tplc="4336F7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700E4A"/>
    <w:multiLevelType w:val="hybridMultilevel"/>
    <w:tmpl w:val="4E1E6E8E"/>
    <w:lvl w:ilvl="0" w:tplc="95AC566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94803"/>
    <w:multiLevelType w:val="hybridMultilevel"/>
    <w:tmpl w:val="E11ED766"/>
    <w:lvl w:ilvl="0" w:tplc="2A9E45B6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4675B"/>
    <w:multiLevelType w:val="hybridMultilevel"/>
    <w:tmpl w:val="F2AAEF4A"/>
    <w:lvl w:ilvl="0" w:tplc="D9DEB1E4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3"/>
  </w:num>
  <w:num w:numId="10">
    <w:abstractNumId w:val="12"/>
  </w:num>
  <w:num w:numId="11">
    <w:abstractNumId w:val="10"/>
  </w:num>
  <w:num w:numId="12">
    <w:abstractNumId w:val="3"/>
  </w:num>
  <w:num w:numId="13">
    <w:abstractNumId w:val="6"/>
  </w:num>
  <w:num w:numId="14">
    <w:abstractNumId w:val="2"/>
  </w:num>
  <w:num w:numId="15">
    <w:abstractNumId w:val="4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20D35"/>
    <w:rsid w:val="00024D66"/>
    <w:rsid w:val="000270C4"/>
    <w:rsid w:val="00033112"/>
    <w:rsid w:val="00047550"/>
    <w:rsid w:val="000530B0"/>
    <w:rsid w:val="00073630"/>
    <w:rsid w:val="00080FDA"/>
    <w:rsid w:val="00092BBD"/>
    <w:rsid w:val="0012321F"/>
    <w:rsid w:val="001234B9"/>
    <w:rsid w:val="00140786"/>
    <w:rsid w:val="00142115"/>
    <w:rsid w:val="00153858"/>
    <w:rsid w:val="00161355"/>
    <w:rsid w:val="001C29FE"/>
    <w:rsid w:val="001D4A99"/>
    <w:rsid w:val="001F4B6F"/>
    <w:rsid w:val="002312A6"/>
    <w:rsid w:val="00242027"/>
    <w:rsid w:val="00245861"/>
    <w:rsid w:val="0024652D"/>
    <w:rsid w:val="00250E00"/>
    <w:rsid w:val="002552C6"/>
    <w:rsid w:val="002555DE"/>
    <w:rsid w:val="00255638"/>
    <w:rsid w:val="00271A0D"/>
    <w:rsid w:val="002803CB"/>
    <w:rsid w:val="002838E1"/>
    <w:rsid w:val="00294F5D"/>
    <w:rsid w:val="002C4587"/>
    <w:rsid w:val="002D378D"/>
    <w:rsid w:val="002F32B6"/>
    <w:rsid w:val="003067FE"/>
    <w:rsid w:val="00311A6F"/>
    <w:rsid w:val="0031331C"/>
    <w:rsid w:val="00322C6A"/>
    <w:rsid w:val="00342AA4"/>
    <w:rsid w:val="00343991"/>
    <w:rsid w:val="00355173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F1003"/>
    <w:rsid w:val="0040369E"/>
    <w:rsid w:val="00413030"/>
    <w:rsid w:val="00415C66"/>
    <w:rsid w:val="00420BEB"/>
    <w:rsid w:val="004219C1"/>
    <w:rsid w:val="00431CA3"/>
    <w:rsid w:val="004330CC"/>
    <w:rsid w:val="00434280"/>
    <w:rsid w:val="00453E03"/>
    <w:rsid w:val="004568DE"/>
    <w:rsid w:val="0047214E"/>
    <w:rsid w:val="00481E65"/>
    <w:rsid w:val="004859C3"/>
    <w:rsid w:val="004A090B"/>
    <w:rsid w:val="004A1D94"/>
    <w:rsid w:val="004D7CCF"/>
    <w:rsid w:val="004F0568"/>
    <w:rsid w:val="004F4DFF"/>
    <w:rsid w:val="005229A3"/>
    <w:rsid w:val="00552B58"/>
    <w:rsid w:val="005557F6"/>
    <w:rsid w:val="005625C5"/>
    <w:rsid w:val="005630FC"/>
    <w:rsid w:val="005700EF"/>
    <w:rsid w:val="005739B1"/>
    <w:rsid w:val="005745B0"/>
    <w:rsid w:val="00577CB1"/>
    <w:rsid w:val="005926A4"/>
    <w:rsid w:val="00592FE8"/>
    <w:rsid w:val="005C10C6"/>
    <w:rsid w:val="005C3913"/>
    <w:rsid w:val="005D199F"/>
    <w:rsid w:val="005D7A8A"/>
    <w:rsid w:val="005E6F15"/>
    <w:rsid w:val="005F2AB8"/>
    <w:rsid w:val="005F42C7"/>
    <w:rsid w:val="00637660"/>
    <w:rsid w:val="00650D3B"/>
    <w:rsid w:val="006779F0"/>
    <w:rsid w:val="006813C3"/>
    <w:rsid w:val="00683EA0"/>
    <w:rsid w:val="006C1B76"/>
    <w:rsid w:val="006E0049"/>
    <w:rsid w:val="007009AE"/>
    <w:rsid w:val="00710E05"/>
    <w:rsid w:val="007129F7"/>
    <w:rsid w:val="00724221"/>
    <w:rsid w:val="007248BE"/>
    <w:rsid w:val="00735993"/>
    <w:rsid w:val="00740702"/>
    <w:rsid w:val="007658F5"/>
    <w:rsid w:val="0077053C"/>
    <w:rsid w:val="0077306F"/>
    <w:rsid w:val="00773208"/>
    <w:rsid w:val="00776383"/>
    <w:rsid w:val="00784604"/>
    <w:rsid w:val="00785489"/>
    <w:rsid w:val="007A0F40"/>
    <w:rsid w:val="007B3608"/>
    <w:rsid w:val="007B73E5"/>
    <w:rsid w:val="007D2AA0"/>
    <w:rsid w:val="007D5D3D"/>
    <w:rsid w:val="007E6206"/>
    <w:rsid w:val="007F708D"/>
    <w:rsid w:val="0083753D"/>
    <w:rsid w:val="008465AE"/>
    <w:rsid w:val="008469F4"/>
    <w:rsid w:val="00853CA4"/>
    <w:rsid w:val="00872C97"/>
    <w:rsid w:val="008838EC"/>
    <w:rsid w:val="008A0458"/>
    <w:rsid w:val="008B33A5"/>
    <w:rsid w:val="008B51C1"/>
    <w:rsid w:val="008C7E76"/>
    <w:rsid w:val="008E3BE8"/>
    <w:rsid w:val="00902564"/>
    <w:rsid w:val="00904C28"/>
    <w:rsid w:val="00920FDB"/>
    <w:rsid w:val="00926281"/>
    <w:rsid w:val="009326CD"/>
    <w:rsid w:val="009328E4"/>
    <w:rsid w:val="00936D81"/>
    <w:rsid w:val="0094670D"/>
    <w:rsid w:val="00955899"/>
    <w:rsid w:val="00973E26"/>
    <w:rsid w:val="00985A6F"/>
    <w:rsid w:val="009A2D48"/>
    <w:rsid w:val="009C2715"/>
    <w:rsid w:val="009C7542"/>
    <w:rsid w:val="009D035E"/>
    <w:rsid w:val="009E7F84"/>
    <w:rsid w:val="009F5FF1"/>
    <w:rsid w:val="00A040D1"/>
    <w:rsid w:val="00A12417"/>
    <w:rsid w:val="00A431EB"/>
    <w:rsid w:val="00A46751"/>
    <w:rsid w:val="00A55C7D"/>
    <w:rsid w:val="00A63FAF"/>
    <w:rsid w:val="00A73738"/>
    <w:rsid w:val="00A744FF"/>
    <w:rsid w:val="00A80A12"/>
    <w:rsid w:val="00A81B0B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23333"/>
    <w:rsid w:val="00B27BBA"/>
    <w:rsid w:val="00B30A74"/>
    <w:rsid w:val="00B56E60"/>
    <w:rsid w:val="00B81428"/>
    <w:rsid w:val="00B91B5B"/>
    <w:rsid w:val="00B95B9A"/>
    <w:rsid w:val="00BB434F"/>
    <w:rsid w:val="00BC1876"/>
    <w:rsid w:val="00BD43C4"/>
    <w:rsid w:val="00BD55E4"/>
    <w:rsid w:val="00BD58C0"/>
    <w:rsid w:val="00C01C23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B7801"/>
    <w:rsid w:val="00CC3376"/>
    <w:rsid w:val="00CD28D9"/>
    <w:rsid w:val="00CD3CB5"/>
    <w:rsid w:val="00CF0E84"/>
    <w:rsid w:val="00D3682A"/>
    <w:rsid w:val="00D43912"/>
    <w:rsid w:val="00D4506E"/>
    <w:rsid w:val="00D469AD"/>
    <w:rsid w:val="00D67958"/>
    <w:rsid w:val="00D755A4"/>
    <w:rsid w:val="00D966A1"/>
    <w:rsid w:val="00DA459F"/>
    <w:rsid w:val="00DB54AC"/>
    <w:rsid w:val="00DB68B3"/>
    <w:rsid w:val="00DD5354"/>
    <w:rsid w:val="00DF10B3"/>
    <w:rsid w:val="00E13667"/>
    <w:rsid w:val="00E17037"/>
    <w:rsid w:val="00E47E63"/>
    <w:rsid w:val="00E54818"/>
    <w:rsid w:val="00E677C4"/>
    <w:rsid w:val="00E71F77"/>
    <w:rsid w:val="00E86441"/>
    <w:rsid w:val="00EB6435"/>
    <w:rsid w:val="00ED2E43"/>
    <w:rsid w:val="00ED737B"/>
    <w:rsid w:val="00EE0A89"/>
    <w:rsid w:val="00EE24E4"/>
    <w:rsid w:val="00EF232F"/>
    <w:rsid w:val="00F04314"/>
    <w:rsid w:val="00F2065C"/>
    <w:rsid w:val="00F51A35"/>
    <w:rsid w:val="00F7145F"/>
    <w:rsid w:val="00F9259E"/>
    <w:rsid w:val="00FA2291"/>
    <w:rsid w:val="00FC0DF4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38021FE3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4</Pages>
  <Words>420</Words>
  <Characters>2396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Michael  Plaatjies</cp:lastModifiedBy>
  <cp:revision>2</cp:revision>
  <cp:lastPrinted>2018-06-20T06:11:00Z</cp:lastPrinted>
  <dcterms:created xsi:type="dcterms:W3CDTF">2018-08-24T17:19:00Z</dcterms:created>
  <dcterms:modified xsi:type="dcterms:W3CDTF">2018-08-24T17:19:00Z</dcterms:modified>
</cp:coreProperties>
</file>