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0A" w:rsidRPr="001B0917" w:rsidRDefault="0065230A" w:rsidP="0065230A">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65230A" w:rsidRPr="00063E28" w:rsidRDefault="0065230A" w:rsidP="0065230A">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65230A" w:rsidRPr="00063E28" w:rsidRDefault="0065230A" w:rsidP="0065230A">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QUESTION NUMBER: </w:t>
      </w:r>
      <w:r>
        <w:rPr>
          <w:rFonts w:ascii="Arial" w:hAnsi="Arial" w:cs="Arial"/>
          <w:b/>
          <w:sz w:val="22"/>
          <w:szCs w:val="22"/>
        </w:rPr>
        <w:t>1649</w:t>
      </w:r>
      <w:r w:rsidRPr="00063E28">
        <w:rPr>
          <w:rFonts w:ascii="Arial" w:hAnsi="Arial" w:cs="Arial"/>
          <w:b/>
          <w:sz w:val="22"/>
          <w:szCs w:val="22"/>
        </w:rPr>
        <w:t xml:space="preserve"> [NW</w:t>
      </w:r>
      <w:r>
        <w:rPr>
          <w:rFonts w:ascii="Arial" w:hAnsi="Arial" w:cs="Arial"/>
          <w:b/>
          <w:sz w:val="22"/>
          <w:szCs w:val="22"/>
        </w:rPr>
        <w:t>1799</w:t>
      </w:r>
      <w:r w:rsidRPr="00063E28">
        <w:rPr>
          <w:rFonts w:ascii="Arial" w:hAnsi="Arial" w:cs="Arial"/>
          <w:b/>
          <w:sz w:val="22"/>
          <w:szCs w:val="22"/>
        </w:rPr>
        <w:t>E]</w:t>
      </w:r>
    </w:p>
    <w:p w:rsidR="0065230A" w:rsidRPr="00063E28" w:rsidRDefault="0065230A" w:rsidP="0065230A">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Pr>
          <w:rFonts w:ascii="Arial" w:hAnsi="Arial" w:cs="Arial"/>
          <w:b/>
          <w:sz w:val="22"/>
          <w:szCs w:val="22"/>
        </w:rPr>
        <w:t xml:space="preserve"> 25 MAY</w:t>
      </w:r>
      <w:r w:rsidRPr="00063E28">
        <w:rPr>
          <w:rFonts w:ascii="Arial" w:hAnsi="Arial" w:cs="Arial"/>
          <w:b/>
          <w:sz w:val="22"/>
          <w:szCs w:val="22"/>
        </w:rPr>
        <w:t xml:space="preserve"> 2018</w:t>
      </w:r>
    </w:p>
    <w:p w:rsidR="0065230A" w:rsidRPr="00624919" w:rsidRDefault="0065230A" w:rsidP="0065230A">
      <w:pPr>
        <w:pStyle w:val="BodyTextIndent"/>
        <w:spacing w:line="276" w:lineRule="auto"/>
        <w:ind w:left="0" w:firstLine="0"/>
        <w:rPr>
          <w:rFonts w:ascii="Arial" w:hAnsi="Arial" w:cs="Arial"/>
          <w:b/>
          <w:sz w:val="22"/>
          <w:szCs w:val="22"/>
        </w:rPr>
      </w:pPr>
    </w:p>
    <w:p w:rsidR="0065230A" w:rsidRPr="00EB4E7F" w:rsidRDefault="0065230A" w:rsidP="0065230A">
      <w:pPr>
        <w:spacing w:before="100" w:beforeAutospacing="1" w:after="100" w:afterAutospacing="1" w:line="276" w:lineRule="auto"/>
        <w:ind w:left="720" w:hanging="720"/>
        <w:jc w:val="both"/>
        <w:outlineLvl w:val="0"/>
        <w:rPr>
          <w:rFonts w:ascii="Arial" w:hAnsi="Arial" w:cs="Arial"/>
          <w:sz w:val="22"/>
          <w:szCs w:val="22"/>
        </w:rPr>
      </w:pPr>
      <w:r w:rsidRPr="00EB4E7F">
        <w:rPr>
          <w:rFonts w:ascii="Arial" w:hAnsi="Arial" w:cs="Arial"/>
          <w:b/>
          <w:sz w:val="22"/>
          <w:szCs w:val="22"/>
        </w:rPr>
        <w:t>1649.</w:t>
      </w:r>
      <w:r w:rsidRPr="00EB4E7F">
        <w:rPr>
          <w:rFonts w:ascii="Arial" w:hAnsi="Arial" w:cs="Arial"/>
          <w:b/>
          <w:sz w:val="22"/>
          <w:szCs w:val="22"/>
        </w:rPr>
        <w:tab/>
        <w:t xml:space="preserve">Mr P </w:t>
      </w:r>
      <w:bookmarkStart w:id="0" w:name="_GoBack"/>
      <w:r w:rsidRPr="00EB4E7F">
        <w:rPr>
          <w:rFonts w:ascii="Arial" w:hAnsi="Arial" w:cs="Arial"/>
          <w:b/>
          <w:sz w:val="22"/>
          <w:szCs w:val="22"/>
        </w:rPr>
        <w:t xml:space="preserve">van Dalen </w:t>
      </w:r>
      <w:bookmarkEnd w:id="0"/>
      <w:r w:rsidRPr="00EB4E7F">
        <w:rPr>
          <w:rFonts w:ascii="Arial" w:hAnsi="Arial" w:cs="Arial"/>
          <w:b/>
          <w:sz w:val="22"/>
          <w:szCs w:val="22"/>
        </w:rPr>
        <w:t>(DA) to ask the Minister of Finance:</w:t>
      </w:r>
    </w:p>
    <w:p w:rsidR="0065230A" w:rsidRPr="00EB4E7F" w:rsidRDefault="0065230A" w:rsidP="0065230A">
      <w:pPr>
        <w:spacing w:before="100" w:beforeAutospacing="1" w:after="100" w:afterAutospacing="1" w:line="276" w:lineRule="auto"/>
        <w:ind w:left="720"/>
        <w:jc w:val="both"/>
        <w:rPr>
          <w:rFonts w:ascii="Arial" w:eastAsia="Calibri" w:hAnsi="Arial" w:cs="Arial"/>
          <w:sz w:val="22"/>
          <w:szCs w:val="22"/>
          <w:lang w:val="en-ZA"/>
        </w:rPr>
      </w:pPr>
      <w:r w:rsidRPr="00EB4E7F">
        <w:rPr>
          <w:rFonts w:ascii="Arial" w:eastAsia="Calibri" w:hAnsi="Arial" w:cs="Arial"/>
          <w:color w:val="000000"/>
          <w:sz w:val="22"/>
          <w:szCs w:val="22"/>
          <w:lang w:val="en-ZA" w:eastAsia="en-ZA"/>
        </w:rPr>
        <w:t xml:space="preserve">(a) What number of cases relating to the Prevention and Combating of Corrupt Activities Act, Act 12 of 2004, as amended, have been referred to the </w:t>
      </w:r>
      <w:r w:rsidRPr="00EB4E7F">
        <w:rPr>
          <w:rFonts w:ascii="Arial" w:eastAsia="Calibri" w:hAnsi="Arial" w:cs="Arial"/>
          <w:color w:val="000000"/>
          <w:sz w:val="22"/>
          <w:szCs w:val="22"/>
          <w:lang w:eastAsia="en-ZA"/>
        </w:rPr>
        <w:t xml:space="preserve">(i) </w:t>
      </w:r>
      <w:r w:rsidRPr="00EB4E7F">
        <w:rPr>
          <w:rFonts w:ascii="Arial" w:eastAsia="Calibri" w:hAnsi="Arial" w:cs="Arial"/>
          <w:color w:val="000000"/>
          <w:sz w:val="22"/>
          <w:szCs w:val="22"/>
          <w:lang w:val="en-ZA" w:eastAsia="en-ZA"/>
        </w:rPr>
        <w:t xml:space="preserve">SA </w:t>
      </w:r>
      <w:r w:rsidRPr="00EB4E7F">
        <w:rPr>
          <w:rFonts w:ascii="Arial" w:eastAsia="Calibri" w:hAnsi="Arial" w:cs="Arial"/>
          <w:noProof/>
          <w:color w:val="000000"/>
          <w:sz w:val="22"/>
          <w:szCs w:val="22"/>
          <w:lang w:val="af-ZA" w:eastAsia="en-ZA"/>
        </w:rPr>
        <w:t>Police</w:t>
      </w:r>
      <w:r w:rsidRPr="00EB4E7F">
        <w:rPr>
          <w:rFonts w:ascii="Arial" w:eastAsia="Calibri" w:hAnsi="Arial" w:cs="Arial"/>
          <w:color w:val="000000"/>
          <w:sz w:val="22"/>
          <w:szCs w:val="22"/>
          <w:lang w:val="en-ZA" w:eastAsia="en-ZA"/>
        </w:rPr>
        <w:t xml:space="preserve"> Service</w:t>
      </w:r>
      <w:r w:rsidRPr="00EB4E7F">
        <w:rPr>
          <w:rFonts w:ascii="Arial" w:eastAsia="Calibri" w:hAnsi="Arial" w:cs="Arial"/>
          <w:color w:val="000000"/>
          <w:sz w:val="22"/>
          <w:szCs w:val="22"/>
          <w:lang w:eastAsia="en-ZA"/>
        </w:rPr>
        <w:t xml:space="preserve"> (SAPS) and (</w:t>
      </w:r>
      <w:r w:rsidRPr="0065230A">
        <w:rPr>
          <w:rFonts w:ascii="Arial" w:eastAsia="Calibri" w:hAnsi="Arial" w:cs="Arial"/>
          <w:color w:val="000000"/>
          <w:sz w:val="22"/>
          <w:szCs w:val="22"/>
          <w:lang w:eastAsia="en-ZA"/>
        </w:rPr>
        <w:t>ii) Directorate for Priority Crime Investigation</w:t>
      </w:r>
      <w:r w:rsidRPr="0065230A">
        <w:rPr>
          <w:rFonts w:ascii="Arial" w:eastAsia="Calibri" w:hAnsi="Arial" w:cs="Arial"/>
          <w:color w:val="000000"/>
          <w:sz w:val="22"/>
          <w:szCs w:val="22"/>
          <w:lang w:val="en-ZA" w:eastAsia="en-ZA"/>
        </w:rPr>
        <w:t xml:space="preserve"> (DPCI) by </w:t>
      </w:r>
      <w:r w:rsidRPr="0065230A">
        <w:rPr>
          <w:rFonts w:ascii="Arial" w:eastAsia="Calibri" w:hAnsi="Arial" w:cs="Arial"/>
          <w:color w:val="000000"/>
          <w:sz w:val="22"/>
          <w:szCs w:val="22"/>
          <w:lang w:eastAsia="en-ZA"/>
        </w:rPr>
        <w:t xml:space="preserve">(aa) The National Treasury and (bb) each entity reporting to him </w:t>
      </w:r>
      <w:r w:rsidRPr="0065230A">
        <w:rPr>
          <w:rFonts w:ascii="Arial" w:eastAsia="Calibri" w:hAnsi="Arial" w:cs="Arial"/>
          <w:color w:val="000000"/>
          <w:sz w:val="22"/>
          <w:szCs w:val="22"/>
          <w:lang w:val="en-ZA" w:eastAsia="en-ZA"/>
        </w:rPr>
        <w:t>for further</w:t>
      </w:r>
      <w:r w:rsidRPr="00EB4E7F">
        <w:rPr>
          <w:rFonts w:ascii="Arial" w:eastAsia="Calibri" w:hAnsi="Arial" w:cs="Arial"/>
          <w:color w:val="000000"/>
          <w:sz w:val="22"/>
          <w:szCs w:val="22"/>
          <w:lang w:val="en-ZA" w:eastAsia="en-ZA"/>
        </w:rPr>
        <w:t xml:space="preserve"> investigation since the Act was assented to and (b) what number of the specified cases have (i) been investigated by SAPS and DPCI, (ii) been followed up by the respective accounting officers and (iii) resulted in a conviction in each specified financial year since 2004</w:t>
      </w:r>
      <w:r w:rsidRPr="00EB4E7F">
        <w:rPr>
          <w:rFonts w:ascii="Arial" w:eastAsia="Calibri" w:hAnsi="Arial" w:cs="Arial"/>
          <w:sz w:val="22"/>
          <w:szCs w:val="22"/>
          <w:lang w:val="en-ZA"/>
        </w:rPr>
        <w:t>?</w:t>
      </w:r>
      <w:r w:rsidRPr="00EB4E7F">
        <w:rPr>
          <w:rFonts w:ascii="Arial" w:eastAsia="Calibri" w:hAnsi="Arial" w:cs="Arial"/>
          <w:sz w:val="22"/>
          <w:szCs w:val="22"/>
          <w:lang w:val="en-ZA"/>
        </w:rPr>
        <w:tab/>
      </w:r>
      <w:r w:rsidRPr="00EB4E7F">
        <w:rPr>
          <w:rFonts w:ascii="Arial" w:eastAsia="Calibri" w:hAnsi="Arial" w:cs="Arial"/>
          <w:sz w:val="22"/>
          <w:szCs w:val="22"/>
          <w:lang w:val="en-ZA"/>
        </w:rPr>
        <w:tab/>
      </w:r>
      <w:r w:rsidRPr="00EB4E7F">
        <w:rPr>
          <w:rFonts w:ascii="Arial" w:eastAsia="Calibri" w:hAnsi="Arial" w:cs="Arial"/>
          <w:sz w:val="22"/>
          <w:szCs w:val="22"/>
          <w:lang w:val="en-ZA"/>
        </w:rPr>
        <w:tab/>
      </w:r>
      <w:r w:rsidRPr="00EB4E7F">
        <w:rPr>
          <w:rFonts w:ascii="Arial" w:eastAsia="Calibri" w:hAnsi="Arial" w:cs="Arial"/>
          <w:sz w:val="22"/>
          <w:szCs w:val="22"/>
          <w:lang w:val="en-ZA"/>
        </w:rPr>
        <w:tab/>
      </w:r>
      <w:r w:rsidRPr="00EB4E7F">
        <w:rPr>
          <w:rFonts w:ascii="Arial" w:eastAsia="Calibri" w:hAnsi="Arial" w:cs="Arial"/>
          <w:sz w:val="22"/>
          <w:szCs w:val="22"/>
          <w:lang w:val="en-ZA"/>
        </w:rPr>
        <w:tab/>
      </w:r>
      <w:r w:rsidRPr="00EB4E7F">
        <w:rPr>
          <w:rFonts w:ascii="Arial" w:eastAsia="Calibri" w:hAnsi="Arial" w:cs="Arial"/>
          <w:sz w:val="22"/>
          <w:szCs w:val="22"/>
          <w:lang w:val="en-ZA"/>
        </w:rPr>
        <w:tab/>
      </w:r>
      <w:r w:rsidRPr="00EB4E7F">
        <w:rPr>
          <w:rFonts w:ascii="Arial" w:eastAsia="Calibri" w:hAnsi="Arial" w:cs="Arial"/>
          <w:sz w:val="22"/>
          <w:szCs w:val="22"/>
          <w:lang w:val="en-ZA"/>
        </w:rPr>
        <w:tab/>
      </w:r>
      <w:r w:rsidRPr="00EB4E7F">
        <w:rPr>
          <w:rFonts w:ascii="Arial" w:eastAsia="Calibri" w:hAnsi="Arial" w:cs="Arial"/>
          <w:sz w:val="22"/>
          <w:szCs w:val="22"/>
          <w:lang w:val="en-ZA"/>
        </w:rPr>
        <w:tab/>
      </w:r>
      <w:r w:rsidRPr="00EB4E7F">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EB4E7F">
        <w:rPr>
          <w:rFonts w:ascii="Arial" w:eastAsia="Calibri" w:hAnsi="Arial" w:cs="Arial"/>
          <w:sz w:val="22"/>
          <w:szCs w:val="22"/>
          <w:lang w:val="en-ZA"/>
        </w:rPr>
        <w:tab/>
        <w:t>NW1799E</w:t>
      </w:r>
    </w:p>
    <w:p w:rsidR="000B1C23" w:rsidRPr="00617EEE" w:rsidRDefault="000B1C23" w:rsidP="000B1C23">
      <w:pPr>
        <w:pStyle w:val="BodyTextIndent"/>
        <w:spacing w:line="276" w:lineRule="auto"/>
        <w:ind w:left="0" w:firstLine="0"/>
        <w:rPr>
          <w:rFonts w:ascii="Arial" w:hAnsi="Arial" w:cs="Arial"/>
          <w:b/>
        </w:rPr>
      </w:pPr>
      <w:r w:rsidRPr="00617EEE">
        <w:rPr>
          <w:rFonts w:ascii="Arial" w:hAnsi="Arial" w:cs="Arial"/>
          <w:b/>
        </w:rPr>
        <w:t>REPLY:</w:t>
      </w:r>
    </w:p>
    <w:p w:rsidR="000B1C23" w:rsidRDefault="000B1C23" w:rsidP="000B1C23">
      <w:pPr>
        <w:pStyle w:val="BodyTextIndent"/>
        <w:spacing w:line="276" w:lineRule="auto"/>
        <w:ind w:left="0" w:firstLine="0"/>
        <w:rPr>
          <w:rFonts w:ascii="Arial" w:hAnsi="Arial" w:cs="Arial"/>
          <w:b/>
        </w:rPr>
      </w:pPr>
    </w:p>
    <w:p w:rsidR="000B1C23" w:rsidRPr="000B47E4" w:rsidRDefault="000B1C23" w:rsidP="000B1C23">
      <w:pPr>
        <w:pStyle w:val="BodyTextIndent"/>
        <w:spacing w:line="276" w:lineRule="auto"/>
        <w:ind w:left="0" w:firstLine="0"/>
        <w:rPr>
          <w:rFonts w:ascii="Arial" w:hAnsi="Arial" w:cs="Arial"/>
          <w:b/>
        </w:rPr>
      </w:pPr>
      <w:r w:rsidRPr="000B47E4">
        <w:rPr>
          <w:rFonts w:ascii="Arial" w:hAnsi="Arial" w:cs="Arial"/>
          <w:b/>
        </w:rPr>
        <w:t>NATIONAL TREASURY</w:t>
      </w:r>
    </w:p>
    <w:p w:rsidR="005F2A87" w:rsidRPr="00624919" w:rsidRDefault="005F2A87" w:rsidP="005F2A87">
      <w:pPr>
        <w:pStyle w:val="BodyTextIndent"/>
        <w:tabs>
          <w:tab w:val="clear" w:pos="432"/>
          <w:tab w:val="clear" w:pos="864"/>
        </w:tabs>
        <w:spacing w:line="276" w:lineRule="auto"/>
        <w:ind w:left="432" w:firstLine="0"/>
        <w:rPr>
          <w:rFonts w:ascii="Arial" w:hAnsi="Arial" w:cs="Arial"/>
          <w:b/>
          <w:sz w:val="22"/>
          <w:szCs w:val="22"/>
        </w:rPr>
      </w:pPr>
    </w:p>
    <w:p w:rsidR="005F2A87" w:rsidRDefault="005F2A87" w:rsidP="005F2A87">
      <w:pPr>
        <w:pStyle w:val="ListParagraph"/>
        <w:numPr>
          <w:ilvl w:val="0"/>
          <w:numId w:val="9"/>
        </w:numPr>
        <w:tabs>
          <w:tab w:val="left" w:pos="432"/>
          <w:tab w:val="left" w:pos="864"/>
        </w:tabs>
        <w:spacing w:line="276" w:lineRule="auto"/>
        <w:jc w:val="both"/>
        <w:rPr>
          <w:rFonts w:ascii="Arial" w:hAnsi="Arial" w:cs="Arial"/>
          <w:sz w:val="22"/>
          <w:szCs w:val="22"/>
        </w:rPr>
      </w:pPr>
      <w:r>
        <w:rPr>
          <w:rFonts w:ascii="Arial" w:hAnsi="Arial" w:cs="Arial"/>
          <w:sz w:val="22"/>
          <w:szCs w:val="22"/>
        </w:rPr>
        <w:t>(i) (ii) (aa)</w:t>
      </w:r>
      <w:r>
        <w:rPr>
          <w:rFonts w:ascii="Arial" w:hAnsi="Arial" w:cs="Arial"/>
          <w:sz w:val="22"/>
          <w:szCs w:val="22"/>
        </w:rPr>
        <w:tab/>
        <w:t>Nil</w:t>
      </w:r>
    </w:p>
    <w:p w:rsidR="005F2A87" w:rsidRDefault="005F2A87" w:rsidP="005F2A87">
      <w:pPr>
        <w:pStyle w:val="ListParagraph"/>
        <w:numPr>
          <w:ilvl w:val="0"/>
          <w:numId w:val="9"/>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(i) (ii) (iii) </w:t>
      </w:r>
      <w:r>
        <w:rPr>
          <w:rFonts w:ascii="Arial" w:hAnsi="Arial" w:cs="Arial"/>
          <w:sz w:val="22"/>
          <w:szCs w:val="22"/>
        </w:rPr>
        <w:tab/>
        <w:t>Nil</w:t>
      </w:r>
    </w:p>
    <w:p w:rsidR="0065230A" w:rsidRDefault="0065230A" w:rsidP="000B1C23">
      <w:pPr>
        <w:pStyle w:val="BodyTextIndent"/>
        <w:pBdr>
          <w:bottom w:val="single" w:sz="6" w:space="1" w:color="auto"/>
        </w:pBdr>
        <w:tabs>
          <w:tab w:val="clear" w:pos="432"/>
          <w:tab w:val="clear" w:pos="864"/>
          <w:tab w:val="left" w:pos="709"/>
        </w:tabs>
        <w:spacing w:line="276" w:lineRule="auto"/>
        <w:ind w:left="0" w:firstLine="0"/>
        <w:rPr>
          <w:rFonts w:ascii="Arial" w:hAnsi="Arial" w:cs="Arial"/>
        </w:rPr>
      </w:pPr>
    </w:p>
    <w:p w:rsidR="0065230A" w:rsidRPr="00617EEE" w:rsidRDefault="0065230A" w:rsidP="000B1C23">
      <w:pPr>
        <w:pStyle w:val="BodyTextIndent"/>
        <w:pBdr>
          <w:bottom w:val="single" w:sz="6" w:space="1" w:color="auto"/>
        </w:pBdr>
        <w:tabs>
          <w:tab w:val="clear" w:pos="432"/>
          <w:tab w:val="clear" w:pos="864"/>
          <w:tab w:val="left" w:pos="709"/>
        </w:tabs>
        <w:spacing w:line="276" w:lineRule="auto"/>
        <w:ind w:left="0" w:firstLine="0"/>
        <w:rPr>
          <w:rFonts w:ascii="Arial" w:hAnsi="Arial" w:cs="Arial"/>
        </w:rPr>
      </w:pPr>
    </w:p>
    <w:p w:rsidR="000B1C23" w:rsidRPr="00617EEE" w:rsidRDefault="000B1C23" w:rsidP="000B1C23">
      <w:pPr>
        <w:tabs>
          <w:tab w:val="left" w:pos="432"/>
          <w:tab w:val="left" w:pos="864"/>
        </w:tabs>
        <w:spacing w:line="276" w:lineRule="auto"/>
        <w:rPr>
          <w:rFonts w:ascii="Arial" w:hAnsi="Arial" w:cs="Arial"/>
          <w:b/>
        </w:rPr>
      </w:pPr>
    </w:p>
    <w:p w:rsidR="000B1C23" w:rsidRDefault="000B1C23" w:rsidP="000B1C23">
      <w:pPr>
        <w:rPr>
          <w:rFonts w:ascii="Arial" w:hAnsi="Arial" w:cs="Arial"/>
          <w:b/>
          <w:sz w:val="22"/>
          <w:szCs w:val="22"/>
        </w:rPr>
      </w:pPr>
      <w:r>
        <w:rPr>
          <w:rFonts w:ascii="Arial" w:hAnsi="Arial" w:cs="Arial"/>
          <w:b/>
          <w:sz w:val="22"/>
          <w:szCs w:val="22"/>
        </w:rPr>
        <w:t>ASB</w:t>
      </w:r>
    </w:p>
    <w:p w:rsidR="000B1C23" w:rsidRDefault="000B1C23" w:rsidP="000B1C23">
      <w:pPr>
        <w:rPr>
          <w:rFonts w:ascii="Arial" w:hAnsi="Arial" w:cs="Arial"/>
          <w:b/>
          <w:sz w:val="22"/>
          <w:szCs w:val="22"/>
        </w:rPr>
      </w:pPr>
    </w:p>
    <w:p w:rsidR="005F2A87" w:rsidRPr="00A154F7" w:rsidRDefault="005F2A87" w:rsidP="005F2A87">
      <w:pPr>
        <w:spacing w:line="276" w:lineRule="auto"/>
        <w:ind w:left="709"/>
        <w:rPr>
          <w:rFonts w:ascii="Arial" w:hAnsi="Arial" w:cs="Arial"/>
          <w:sz w:val="22"/>
          <w:szCs w:val="22"/>
        </w:rPr>
      </w:pPr>
      <w:r>
        <w:rPr>
          <w:rFonts w:ascii="Arial" w:hAnsi="Arial" w:cs="Arial"/>
          <w:sz w:val="22"/>
          <w:szCs w:val="22"/>
        </w:rPr>
        <w:t xml:space="preserve">The Accounting Standards Board has had no cases relating to the </w:t>
      </w:r>
      <w:r w:rsidRPr="00EB4E7F">
        <w:rPr>
          <w:rFonts w:ascii="Arial" w:eastAsia="Calibri" w:hAnsi="Arial" w:cs="Arial"/>
          <w:color w:val="000000"/>
          <w:sz w:val="22"/>
          <w:szCs w:val="22"/>
          <w:lang w:val="en-ZA" w:eastAsia="en-ZA"/>
        </w:rPr>
        <w:t>Prevention and Combating of Corrupt Activities Act, Act 12 of 2004, as amended,</w:t>
      </w:r>
      <w:r>
        <w:rPr>
          <w:rFonts w:ascii="Arial" w:eastAsia="Calibri" w:hAnsi="Arial" w:cs="Arial"/>
          <w:color w:val="000000"/>
          <w:sz w:val="22"/>
          <w:szCs w:val="22"/>
          <w:lang w:val="en-ZA" w:eastAsia="en-ZA"/>
        </w:rPr>
        <w:t xml:space="preserve"> since date of establishment in October 2002, and as a result have had no need to report any cases to </w:t>
      </w:r>
      <w:r w:rsidRPr="00EB4E7F">
        <w:rPr>
          <w:rFonts w:ascii="Arial" w:eastAsia="Calibri" w:hAnsi="Arial" w:cs="Arial"/>
          <w:color w:val="000000"/>
          <w:sz w:val="22"/>
          <w:szCs w:val="22"/>
          <w:lang w:val="en-ZA" w:eastAsia="en-ZA"/>
        </w:rPr>
        <w:t xml:space="preserve">the </w:t>
      </w:r>
      <w:r w:rsidRPr="00EB4E7F">
        <w:rPr>
          <w:rFonts w:ascii="Arial" w:eastAsia="Calibri" w:hAnsi="Arial" w:cs="Arial"/>
          <w:color w:val="000000"/>
          <w:sz w:val="22"/>
          <w:szCs w:val="22"/>
          <w:lang w:eastAsia="en-ZA"/>
        </w:rPr>
        <w:t xml:space="preserve">(i) </w:t>
      </w:r>
      <w:r w:rsidRPr="00EB4E7F">
        <w:rPr>
          <w:rFonts w:ascii="Arial" w:eastAsia="Calibri" w:hAnsi="Arial" w:cs="Arial"/>
          <w:color w:val="000000"/>
          <w:sz w:val="22"/>
          <w:szCs w:val="22"/>
          <w:lang w:val="en-ZA" w:eastAsia="en-ZA"/>
        </w:rPr>
        <w:t xml:space="preserve">SA </w:t>
      </w:r>
      <w:r w:rsidRPr="00EB4E7F">
        <w:rPr>
          <w:rFonts w:ascii="Arial" w:eastAsia="Calibri" w:hAnsi="Arial" w:cs="Arial"/>
          <w:noProof/>
          <w:color w:val="000000"/>
          <w:sz w:val="22"/>
          <w:szCs w:val="22"/>
          <w:lang w:val="af-ZA" w:eastAsia="en-ZA"/>
        </w:rPr>
        <w:t>Police</w:t>
      </w:r>
      <w:r w:rsidRPr="00EB4E7F">
        <w:rPr>
          <w:rFonts w:ascii="Arial" w:eastAsia="Calibri" w:hAnsi="Arial" w:cs="Arial"/>
          <w:color w:val="000000"/>
          <w:sz w:val="22"/>
          <w:szCs w:val="22"/>
          <w:lang w:val="en-ZA" w:eastAsia="en-ZA"/>
        </w:rPr>
        <w:t xml:space="preserve"> Service</w:t>
      </w:r>
      <w:r w:rsidRPr="00EB4E7F">
        <w:rPr>
          <w:rFonts w:ascii="Arial" w:eastAsia="Calibri" w:hAnsi="Arial" w:cs="Arial"/>
          <w:color w:val="000000"/>
          <w:sz w:val="22"/>
          <w:szCs w:val="22"/>
          <w:lang w:eastAsia="en-ZA"/>
        </w:rPr>
        <w:t xml:space="preserve"> (SAPS) and (ii) Directorate for Priority Crime Investigation</w:t>
      </w:r>
      <w:r w:rsidRPr="00EB4E7F">
        <w:rPr>
          <w:rFonts w:ascii="Arial" w:eastAsia="Calibri" w:hAnsi="Arial" w:cs="Arial"/>
          <w:color w:val="000000"/>
          <w:sz w:val="22"/>
          <w:szCs w:val="22"/>
          <w:lang w:val="en-ZA" w:eastAsia="en-ZA"/>
        </w:rPr>
        <w:t xml:space="preserve"> (DPCI</w:t>
      </w:r>
      <w:r>
        <w:rPr>
          <w:rFonts w:ascii="Arial" w:eastAsia="Calibri" w:hAnsi="Arial" w:cs="Arial"/>
          <w:color w:val="000000"/>
          <w:sz w:val="22"/>
          <w:szCs w:val="22"/>
          <w:lang w:val="en-ZA" w:eastAsia="en-ZA"/>
        </w:rPr>
        <w:t>).</w:t>
      </w:r>
    </w:p>
    <w:p w:rsidR="0065230A" w:rsidRDefault="0065230A"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CBDA</w:t>
      </w:r>
    </w:p>
    <w:p w:rsidR="000B1C23" w:rsidRDefault="000B1C23" w:rsidP="000B1C23">
      <w:pPr>
        <w:pBdr>
          <w:bottom w:val="single" w:sz="6" w:space="1" w:color="auto"/>
        </w:pBdr>
        <w:rPr>
          <w:rFonts w:ascii="Arial" w:hAnsi="Arial" w:cs="Arial"/>
          <w:b/>
          <w:sz w:val="22"/>
          <w:szCs w:val="22"/>
        </w:rPr>
      </w:pPr>
    </w:p>
    <w:p w:rsidR="0065230A" w:rsidRPr="005F2A87" w:rsidRDefault="005F2A87" w:rsidP="000B1C23">
      <w:pPr>
        <w:pBdr>
          <w:bottom w:val="single" w:sz="6" w:space="1" w:color="auto"/>
        </w:pBdr>
        <w:rPr>
          <w:rFonts w:ascii="Arial" w:hAnsi="Arial" w:cs="Arial"/>
          <w:sz w:val="22"/>
          <w:szCs w:val="22"/>
        </w:rPr>
      </w:pPr>
      <w:r w:rsidRPr="005F2A87">
        <w:rPr>
          <w:rFonts w:ascii="Arial" w:hAnsi="Arial" w:cs="Arial"/>
          <w:sz w:val="22"/>
          <w:szCs w:val="22"/>
        </w:rPr>
        <w:t>The Co-operative Banks Development Agency has not had any cases relating to the Prevention of Combating of Corrupt Activities Act, Act 12 of 2004.</w:t>
      </w:r>
    </w:p>
    <w:p w:rsidR="0065230A" w:rsidRPr="005F2A87" w:rsidRDefault="0065230A" w:rsidP="000B1C23">
      <w:pPr>
        <w:pBdr>
          <w:bottom w:val="single" w:sz="6" w:space="1" w:color="auto"/>
        </w:pBdr>
        <w:rPr>
          <w:rFonts w:ascii="Arial" w:hAnsi="Arial" w:cs="Arial"/>
          <w:sz w:val="22"/>
          <w:szCs w:val="22"/>
        </w:rPr>
      </w:pPr>
    </w:p>
    <w:p w:rsidR="000B1C23" w:rsidRDefault="000B1C23" w:rsidP="000B1C23">
      <w:pPr>
        <w:rPr>
          <w:rFonts w:ascii="Arial" w:hAnsi="Arial" w:cs="Arial"/>
          <w:b/>
          <w:sz w:val="22"/>
          <w:szCs w:val="22"/>
        </w:rPr>
      </w:pPr>
    </w:p>
    <w:p w:rsidR="005F2A87" w:rsidRDefault="005F2A87" w:rsidP="000B1C23">
      <w:pPr>
        <w:rPr>
          <w:rFonts w:ascii="Arial" w:hAnsi="Arial" w:cs="Arial"/>
          <w:b/>
          <w:sz w:val="22"/>
          <w:szCs w:val="22"/>
        </w:rPr>
      </w:pPr>
    </w:p>
    <w:p w:rsidR="005F2A87" w:rsidRDefault="005F2A87" w:rsidP="000B1C23">
      <w:pPr>
        <w:rPr>
          <w:rFonts w:ascii="Arial" w:hAnsi="Arial" w:cs="Arial"/>
          <w:b/>
          <w:sz w:val="22"/>
          <w:szCs w:val="22"/>
        </w:rPr>
      </w:pPr>
    </w:p>
    <w:p w:rsidR="00382E3F" w:rsidRDefault="00382E3F" w:rsidP="000B1C23">
      <w:pPr>
        <w:rPr>
          <w:rFonts w:ascii="Arial" w:hAnsi="Arial" w:cs="Arial"/>
          <w:b/>
          <w:sz w:val="22"/>
          <w:szCs w:val="22"/>
        </w:rPr>
      </w:pPr>
    </w:p>
    <w:p w:rsidR="00382E3F" w:rsidRDefault="00382E3F"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lastRenderedPageBreak/>
        <w:t>DBSA</w:t>
      </w:r>
    </w:p>
    <w:p w:rsidR="005F2A87" w:rsidRDefault="005F2A87" w:rsidP="000B1C23">
      <w:pPr>
        <w:rPr>
          <w:rFonts w:ascii="Arial" w:hAnsi="Arial" w:cs="Arial"/>
          <w:b/>
          <w:sz w:val="22"/>
          <w:szCs w:val="22"/>
        </w:rPr>
      </w:pPr>
    </w:p>
    <w:p w:rsidR="005F2A87" w:rsidRDefault="005F2A87" w:rsidP="005F2A87">
      <w:pPr>
        <w:pStyle w:val="BodyTextIndent"/>
        <w:spacing w:line="276" w:lineRule="auto"/>
        <w:ind w:left="432" w:firstLine="0"/>
        <w:rPr>
          <w:rFonts w:ascii="Arial" w:hAnsi="Arial" w:cs="Arial"/>
          <w:sz w:val="22"/>
          <w:szCs w:val="22"/>
        </w:rPr>
      </w:pPr>
      <w:r w:rsidRPr="000817D6">
        <w:rPr>
          <w:rFonts w:ascii="Arial" w:hAnsi="Arial" w:cs="Arial"/>
          <w:b/>
          <w:sz w:val="22"/>
          <w:szCs w:val="22"/>
        </w:rPr>
        <w:t>(a)(i)</w:t>
      </w:r>
      <w:r>
        <w:rPr>
          <w:rFonts w:ascii="Arial" w:hAnsi="Arial" w:cs="Arial"/>
          <w:sz w:val="22"/>
          <w:szCs w:val="22"/>
        </w:rPr>
        <w:t xml:space="preserve"> Two (2) Cases reported to SAPS for further investigation. One (1) case in FY13/14 and one (1) case in FY 17/18. </w:t>
      </w:r>
      <w:r w:rsidRPr="000817D6">
        <w:rPr>
          <w:rFonts w:ascii="Arial" w:hAnsi="Arial" w:cs="Arial"/>
          <w:b/>
          <w:sz w:val="22"/>
          <w:szCs w:val="22"/>
        </w:rPr>
        <w:t>(a)(ii)</w:t>
      </w:r>
      <w:r>
        <w:rPr>
          <w:rFonts w:ascii="Arial" w:hAnsi="Arial" w:cs="Arial"/>
          <w:sz w:val="22"/>
          <w:szCs w:val="22"/>
        </w:rPr>
        <w:t xml:space="preserve"> No reports referred directly to DPCI.</w:t>
      </w:r>
    </w:p>
    <w:p w:rsidR="005F2A87" w:rsidRDefault="005F2A87" w:rsidP="005F2A87">
      <w:pPr>
        <w:pStyle w:val="BodyTextIndent"/>
        <w:spacing w:line="276" w:lineRule="auto"/>
        <w:ind w:left="432" w:firstLine="0"/>
        <w:rPr>
          <w:rFonts w:ascii="Arial" w:hAnsi="Arial" w:cs="Arial"/>
          <w:sz w:val="22"/>
          <w:szCs w:val="22"/>
        </w:rPr>
      </w:pPr>
    </w:p>
    <w:p w:rsidR="005F2A87" w:rsidRDefault="005F2A87" w:rsidP="005F2A87">
      <w:pPr>
        <w:pStyle w:val="BodyTextIndent"/>
        <w:spacing w:line="276" w:lineRule="auto"/>
        <w:ind w:left="432" w:firstLine="0"/>
        <w:rPr>
          <w:rFonts w:ascii="Arial" w:hAnsi="Arial" w:cs="Arial"/>
          <w:sz w:val="22"/>
          <w:szCs w:val="22"/>
        </w:rPr>
      </w:pPr>
      <w:r w:rsidRPr="000817D6">
        <w:rPr>
          <w:rFonts w:ascii="Arial" w:hAnsi="Arial" w:cs="Arial"/>
          <w:b/>
          <w:sz w:val="22"/>
          <w:szCs w:val="22"/>
        </w:rPr>
        <w:t>(b)(i)</w:t>
      </w:r>
      <w:r>
        <w:rPr>
          <w:rFonts w:ascii="Arial" w:hAnsi="Arial" w:cs="Arial"/>
          <w:sz w:val="22"/>
          <w:szCs w:val="22"/>
        </w:rPr>
        <w:t xml:space="preserve"> Two (2) cases under investigation by SAPS. </w:t>
      </w:r>
      <w:r w:rsidRPr="000817D6">
        <w:rPr>
          <w:rFonts w:ascii="Arial" w:hAnsi="Arial" w:cs="Arial"/>
          <w:b/>
          <w:sz w:val="22"/>
          <w:szCs w:val="22"/>
        </w:rPr>
        <w:t>(ii)</w:t>
      </w:r>
      <w:r>
        <w:rPr>
          <w:rFonts w:ascii="Arial" w:hAnsi="Arial" w:cs="Arial"/>
          <w:sz w:val="22"/>
          <w:szCs w:val="22"/>
        </w:rPr>
        <w:t xml:space="preserve"> Two (2) cases followed up with SAPS and still under investigation. </w:t>
      </w:r>
      <w:r w:rsidRPr="000817D6">
        <w:rPr>
          <w:rFonts w:ascii="Arial" w:hAnsi="Arial" w:cs="Arial"/>
          <w:b/>
          <w:sz w:val="22"/>
          <w:szCs w:val="22"/>
        </w:rPr>
        <w:t>(iii)</w:t>
      </w:r>
      <w:r>
        <w:rPr>
          <w:rFonts w:ascii="Arial" w:hAnsi="Arial" w:cs="Arial"/>
          <w:sz w:val="22"/>
          <w:szCs w:val="22"/>
        </w:rPr>
        <w:t xml:space="preserve"> No convictions to date. </w:t>
      </w:r>
    </w:p>
    <w:p w:rsidR="0065230A" w:rsidRDefault="005F2A87" w:rsidP="00382E3F">
      <w:pPr>
        <w:pStyle w:val="BodyTextIndent"/>
        <w:spacing w:line="276" w:lineRule="auto"/>
        <w:ind w:left="432" w:firstLine="0"/>
        <w:rPr>
          <w:rFonts w:ascii="Arial" w:hAnsi="Arial" w:cs="Arial"/>
          <w:b/>
          <w:sz w:val="22"/>
          <w:szCs w:val="22"/>
        </w:rPr>
      </w:pPr>
      <w:r>
        <w:rPr>
          <w:rFonts w:ascii="Arial" w:hAnsi="Arial" w:cs="Arial"/>
          <w:b/>
          <w:sz w:val="22"/>
          <w:szCs w:val="22"/>
        </w:rPr>
        <w:t xml:space="preserve"> </w:t>
      </w:r>
    </w:p>
    <w:p w:rsidR="0065230A" w:rsidRDefault="0065230A" w:rsidP="000B1C23">
      <w:pPr>
        <w:pBdr>
          <w:bottom w:val="single" w:sz="6" w:space="1" w:color="auto"/>
        </w:pBdr>
        <w:rPr>
          <w:rFonts w:ascii="Arial" w:hAnsi="Arial" w:cs="Arial"/>
          <w:b/>
          <w:sz w:val="22"/>
          <w:szCs w:val="22"/>
        </w:rPr>
      </w:pPr>
    </w:p>
    <w:p w:rsidR="0065230A" w:rsidRDefault="0065230A" w:rsidP="000B1C23">
      <w:pPr>
        <w:rPr>
          <w:rFonts w:ascii="Arial" w:hAnsi="Arial" w:cs="Arial"/>
          <w:sz w:val="22"/>
          <w:szCs w:val="22"/>
        </w:rPr>
      </w:pPr>
    </w:p>
    <w:p w:rsidR="0065230A" w:rsidRDefault="0065230A" w:rsidP="000B1C23">
      <w:pPr>
        <w:rPr>
          <w:rFonts w:ascii="Arial" w:hAnsi="Arial" w:cs="Arial"/>
          <w:sz w:val="22"/>
          <w:szCs w:val="22"/>
        </w:rPr>
      </w:pPr>
    </w:p>
    <w:p w:rsidR="000B1C23" w:rsidRDefault="000B1C23" w:rsidP="000B1C23">
      <w:pPr>
        <w:rPr>
          <w:rFonts w:ascii="Arial" w:hAnsi="Arial" w:cs="Arial"/>
          <w:b/>
          <w:sz w:val="22"/>
          <w:szCs w:val="22"/>
        </w:rPr>
      </w:pPr>
      <w:r>
        <w:rPr>
          <w:rFonts w:ascii="Arial" w:hAnsi="Arial" w:cs="Arial"/>
          <w:b/>
          <w:sz w:val="22"/>
          <w:szCs w:val="22"/>
        </w:rPr>
        <w:t>FIC</w:t>
      </w:r>
    </w:p>
    <w:p w:rsidR="005A7170" w:rsidRPr="00624919" w:rsidRDefault="005A7170" w:rsidP="005A7170">
      <w:pPr>
        <w:pStyle w:val="BodyTextIndent"/>
        <w:spacing w:line="276" w:lineRule="auto"/>
        <w:ind w:left="0" w:firstLine="0"/>
        <w:rPr>
          <w:rFonts w:ascii="Arial" w:hAnsi="Arial" w:cs="Arial"/>
          <w:b/>
          <w:sz w:val="22"/>
          <w:szCs w:val="22"/>
        </w:rPr>
      </w:pPr>
    </w:p>
    <w:p w:rsidR="005A7170" w:rsidRPr="004C09E5" w:rsidRDefault="005A7170" w:rsidP="005A7170">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(a) </w:t>
      </w:r>
      <w:r w:rsidRPr="004C09E5">
        <w:rPr>
          <w:rFonts w:ascii="Arial" w:hAnsi="Arial" w:cs="Arial"/>
          <w:sz w:val="22"/>
          <w:szCs w:val="22"/>
        </w:rPr>
        <w:t xml:space="preserve">The Financial Intelligence Centre </w:t>
      </w:r>
      <w:r>
        <w:rPr>
          <w:rFonts w:ascii="Arial" w:hAnsi="Arial" w:cs="Arial"/>
          <w:sz w:val="22"/>
          <w:szCs w:val="22"/>
        </w:rPr>
        <w:t xml:space="preserve">(FIC) </w:t>
      </w:r>
      <w:r w:rsidRPr="004C09E5">
        <w:rPr>
          <w:rFonts w:ascii="Arial" w:hAnsi="Arial" w:cs="Arial"/>
          <w:sz w:val="22"/>
          <w:szCs w:val="22"/>
        </w:rPr>
        <w:t xml:space="preserve">refers information (financial intelligence) for investigation to law enforcement </w:t>
      </w:r>
      <w:r>
        <w:rPr>
          <w:rFonts w:ascii="Arial" w:hAnsi="Arial" w:cs="Arial"/>
          <w:sz w:val="22"/>
          <w:szCs w:val="22"/>
        </w:rPr>
        <w:t xml:space="preserve">authorities </w:t>
      </w:r>
      <w:r w:rsidRPr="004C09E5">
        <w:rPr>
          <w:rFonts w:ascii="Arial" w:hAnsi="Arial" w:cs="Arial"/>
          <w:sz w:val="22"/>
          <w:szCs w:val="22"/>
        </w:rPr>
        <w:t>(</w:t>
      </w:r>
      <w:r>
        <w:rPr>
          <w:rFonts w:ascii="Arial" w:hAnsi="Arial" w:cs="Arial"/>
          <w:sz w:val="22"/>
          <w:szCs w:val="22"/>
        </w:rPr>
        <w:t xml:space="preserve">such as the </w:t>
      </w:r>
      <w:r w:rsidRPr="004C09E5">
        <w:rPr>
          <w:rFonts w:ascii="Arial" w:hAnsi="Arial" w:cs="Arial"/>
          <w:sz w:val="22"/>
          <w:szCs w:val="22"/>
        </w:rPr>
        <w:t xml:space="preserve">SAPS), the </w:t>
      </w:r>
      <w:r>
        <w:rPr>
          <w:rFonts w:ascii="Arial" w:hAnsi="Arial" w:cs="Arial"/>
          <w:sz w:val="22"/>
          <w:szCs w:val="22"/>
        </w:rPr>
        <w:t>South African Revenue Service</w:t>
      </w:r>
      <w:r w:rsidRPr="004C09E5">
        <w:rPr>
          <w:rFonts w:ascii="Arial" w:hAnsi="Arial" w:cs="Arial"/>
          <w:sz w:val="22"/>
          <w:szCs w:val="22"/>
        </w:rPr>
        <w:t xml:space="preserve">, security services and </w:t>
      </w:r>
      <w:r>
        <w:rPr>
          <w:rFonts w:ascii="Arial" w:hAnsi="Arial" w:cs="Arial"/>
          <w:sz w:val="22"/>
          <w:szCs w:val="22"/>
        </w:rPr>
        <w:t xml:space="preserve">supervisors </w:t>
      </w:r>
      <w:r w:rsidRPr="004C09E5">
        <w:rPr>
          <w:rFonts w:ascii="Arial" w:hAnsi="Arial" w:cs="Arial"/>
          <w:sz w:val="22"/>
          <w:szCs w:val="22"/>
        </w:rPr>
        <w:t xml:space="preserve">on an ongoing basis as part of the </w:t>
      </w:r>
      <w:r>
        <w:rPr>
          <w:rFonts w:ascii="Arial" w:hAnsi="Arial" w:cs="Arial"/>
          <w:sz w:val="22"/>
          <w:szCs w:val="22"/>
        </w:rPr>
        <w:t>it</w:t>
      </w:r>
      <w:r w:rsidRPr="004C09E5">
        <w:rPr>
          <w:rFonts w:ascii="Arial" w:hAnsi="Arial" w:cs="Arial"/>
          <w:sz w:val="22"/>
          <w:szCs w:val="22"/>
        </w:rPr>
        <w:t>s regular function as envisaged in section 40 of the Financial Intelligence Centre Act</w:t>
      </w:r>
      <w:r>
        <w:rPr>
          <w:rFonts w:ascii="Arial" w:hAnsi="Arial" w:cs="Arial"/>
          <w:sz w:val="22"/>
          <w:szCs w:val="22"/>
        </w:rPr>
        <w:t>,</w:t>
      </w:r>
      <w:r w:rsidRPr="004C09E5">
        <w:rPr>
          <w:rFonts w:ascii="Arial" w:hAnsi="Arial" w:cs="Arial"/>
          <w:sz w:val="22"/>
          <w:szCs w:val="22"/>
        </w:rPr>
        <w:t xml:space="preserve"> 2001</w:t>
      </w:r>
      <w:r>
        <w:rPr>
          <w:rFonts w:ascii="Arial" w:hAnsi="Arial" w:cs="Arial"/>
          <w:sz w:val="22"/>
          <w:szCs w:val="22"/>
        </w:rPr>
        <w:t xml:space="preserve"> (Act No38 of 2001, the FIC Act)</w:t>
      </w:r>
      <w:r w:rsidRPr="004C09E5">
        <w:rPr>
          <w:rFonts w:ascii="Arial" w:hAnsi="Arial" w:cs="Arial"/>
          <w:sz w:val="22"/>
          <w:szCs w:val="22"/>
        </w:rPr>
        <w:t>.</w:t>
      </w:r>
    </w:p>
    <w:p w:rsidR="005A7170" w:rsidRPr="004C09E5" w:rsidRDefault="005A7170" w:rsidP="005A7170">
      <w:pPr>
        <w:tabs>
          <w:tab w:val="left" w:pos="432"/>
          <w:tab w:val="left" w:pos="864"/>
        </w:tabs>
        <w:spacing w:line="276" w:lineRule="auto"/>
        <w:rPr>
          <w:rFonts w:ascii="Arial" w:hAnsi="Arial" w:cs="Arial"/>
          <w:sz w:val="22"/>
          <w:szCs w:val="22"/>
        </w:rPr>
      </w:pPr>
    </w:p>
    <w:p w:rsidR="005A7170" w:rsidRPr="004C09E5" w:rsidRDefault="005A7170" w:rsidP="005A7170">
      <w:pPr>
        <w:tabs>
          <w:tab w:val="left" w:pos="432"/>
          <w:tab w:val="left" w:pos="864"/>
        </w:tabs>
        <w:spacing w:line="276" w:lineRule="auto"/>
        <w:jc w:val="both"/>
        <w:rPr>
          <w:rFonts w:ascii="Arial" w:hAnsi="Arial" w:cs="Arial"/>
          <w:sz w:val="22"/>
          <w:szCs w:val="22"/>
        </w:rPr>
      </w:pPr>
      <w:r w:rsidRPr="004C09E5">
        <w:rPr>
          <w:rFonts w:ascii="Arial" w:hAnsi="Arial" w:cs="Arial"/>
          <w:sz w:val="22"/>
          <w:szCs w:val="22"/>
        </w:rPr>
        <w:t>The FIC provides statistical information about its referrals in each of its Annual Reports.</w:t>
      </w:r>
    </w:p>
    <w:p w:rsidR="005A7170" w:rsidRPr="004C09E5" w:rsidRDefault="005A7170" w:rsidP="005A7170">
      <w:pPr>
        <w:tabs>
          <w:tab w:val="left" w:pos="432"/>
          <w:tab w:val="left" w:pos="864"/>
        </w:tabs>
        <w:spacing w:line="276" w:lineRule="auto"/>
        <w:jc w:val="both"/>
        <w:rPr>
          <w:rFonts w:ascii="Arial" w:hAnsi="Arial" w:cs="Arial"/>
          <w:sz w:val="22"/>
          <w:szCs w:val="22"/>
        </w:rPr>
      </w:pPr>
    </w:p>
    <w:p w:rsidR="005A7170" w:rsidRDefault="005A7170" w:rsidP="005A7170">
      <w:pPr>
        <w:tabs>
          <w:tab w:val="left" w:pos="432"/>
          <w:tab w:val="left" w:pos="864"/>
        </w:tabs>
        <w:spacing w:line="276" w:lineRule="auto"/>
        <w:jc w:val="both"/>
        <w:rPr>
          <w:rFonts w:ascii="Arial" w:hAnsi="Arial" w:cs="Arial"/>
          <w:sz w:val="22"/>
          <w:szCs w:val="22"/>
        </w:rPr>
      </w:pPr>
      <w:r w:rsidRPr="004C09E5">
        <w:rPr>
          <w:rFonts w:ascii="Arial" w:hAnsi="Arial" w:cs="Arial"/>
          <w:sz w:val="22"/>
          <w:szCs w:val="22"/>
        </w:rPr>
        <w:t xml:space="preserve">The following number of matters </w:t>
      </w:r>
      <w:r>
        <w:rPr>
          <w:rFonts w:ascii="Arial" w:hAnsi="Arial" w:cs="Arial"/>
          <w:sz w:val="22"/>
          <w:szCs w:val="22"/>
        </w:rPr>
        <w:t xml:space="preserve">have been identified as having possible links with criminal activity </w:t>
      </w:r>
      <w:r w:rsidRPr="00EB4E7F">
        <w:rPr>
          <w:rFonts w:ascii="Arial" w:eastAsia="Calibri" w:hAnsi="Arial" w:cs="Arial"/>
          <w:color w:val="000000"/>
          <w:sz w:val="22"/>
          <w:szCs w:val="22"/>
          <w:lang w:val="en-ZA" w:eastAsia="en-ZA"/>
        </w:rPr>
        <w:t>relating to the Prevention and Combating of Corrupt Activities Act, 2004</w:t>
      </w:r>
      <w:r>
        <w:rPr>
          <w:rFonts w:ascii="Arial" w:eastAsia="Calibri" w:hAnsi="Arial" w:cs="Arial"/>
          <w:color w:val="000000"/>
          <w:sz w:val="22"/>
          <w:szCs w:val="22"/>
          <w:lang w:val="en-ZA" w:eastAsia="en-ZA"/>
        </w:rPr>
        <w:t xml:space="preserve"> (</w:t>
      </w:r>
      <w:r w:rsidRPr="00EB4E7F">
        <w:rPr>
          <w:rFonts w:ascii="Arial" w:eastAsia="Calibri" w:hAnsi="Arial" w:cs="Arial"/>
          <w:color w:val="000000"/>
          <w:sz w:val="22"/>
          <w:szCs w:val="22"/>
          <w:lang w:val="en-ZA" w:eastAsia="en-ZA"/>
        </w:rPr>
        <w:t xml:space="preserve">Act </w:t>
      </w:r>
      <w:r>
        <w:rPr>
          <w:rFonts w:ascii="Arial" w:eastAsia="Calibri" w:hAnsi="Arial" w:cs="Arial"/>
          <w:color w:val="000000"/>
          <w:sz w:val="22"/>
          <w:szCs w:val="22"/>
          <w:lang w:val="en-ZA" w:eastAsia="en-ZA"/>
        </w:rPr>
        <w:t>No</w:t>
      </w:r>
      <w:r w:rsidRPr="00EB4E7F">
        <w:rPr>
          <w:rFonts w:ascii="Arial" w:eastAsia="Calibri" w:hAnsi="Arial" w:cs="Arial"/>
          <w:color w:val="000000"/>
          <w:sz w:val="22"/>
          <w:szCs w:val="22"/>
          <w:lang w:val="en-ZA" w:eastAsia="en-ZA"/>
        </w:rPr>
        <w:t>12 of</w:t>
      </w:r>
      <w:r>
        <w:rPr>
          <w:rFonts w:ascii="Arial" w:eastAsia="Calibri" w:hAnsi="Arial" w:cs="Arial"/>
          <w:color w:val="000000"/>
          <w:sz w:val="22"/>
          <w:szCs w:val="22"/>
          <w:lang w:val="en-ZA" w:eastAsia="en-ZA"/>
        </w:rPr>
        <w:t xml:space="preserve"> 2004, the PRECC Act) and</w:t>
      </w:r>
      <w:r w:rsidRPr="00EB4E7F">
        <w:rPr>
          <w:rFonts w:ascii="Arial" w:eastAsia="Calibri" w:hAnsi="Arial" w:cs="Arial"/>
          <w:color w:val="000000"/>
          <w:sz w:val="22"/>
          <w:szCs w:val="22"/>
          <w:lang w:val="en-ZA" w:eastAsia="en-ZA"/>
        </w:rPr>
        <w:t xml:space="preserve"> </w:t>
      </w:r>
      <w:r w:rsidRPr="004C09E5">
        <w:rPr>
          <w:rFonts w:ascii="Arial" w:hAnsi="Arial" w:cs="Arial"/>
          <w:sz w:val="22"/>
          <w:szCs w:val="22"/>
        </w:rPr>
        <w:t>were referred</w:t>
      </w:r>
      <w:r>
        <w:rPr>
          <w:rFonts w:ascii="Arial" w:hAnsi="Arial" w:cs="Arial"/>
          <w:sz w:val="22"/>
          <w:szCs w:val="22"/>
        </w:rPr>
        <w:t xml:space="preserve"> to the respective agencies indicated below: </w:t>
      </w:r>
    </w:p>
    <w:p w:rsidR="005A7170" w:rsidRDefault="005A7170" w:rsidP="005A7170">
      <w:pPr>
        <w:tabs>
          <w:tab w:val="left" w:pos="432"/>
          <w:tab w:val="left" w:pos="864"/>
        </w:tabs>
        <w:spacing w:line="276" w:lineRule="auto"/>
        <w:jc w:val="both"/>
        <w:rPr>
          <w:sz w:val="20"/>
          <w:szCs w:val="20"/>
          <w:lang w:val="en-ZA" w:eastAsia="en-ZA"/>
        </w:rPr>
      </w:pPr>
      <w:r>
        <w:rPr>
          <w:rFonts w:ascii="Arial" w:hAnsi="Arial" w:cs="Arial"/>
          <w:sz w:val="22"/>
          <w:szCs w:val="22"/>
        </w:rPr>
        <w:fldChar w:fldCharType="begin"/>
      </w:r>
      <w:r>
        <w:rPr>
          <w:rFonts w:ascii="Arial" w:hAnsi="Arial" w:cs="Arial"/>
          <w:sz w:val="22"/>
          <w:szCs w:val="22"/>
        </w:rPr>
        <w:instrText xml:space="preserve"> LINK Excel.Sheet.12 "Book1" "Sheet1!R3C1:R10C3" \a \f 5 \h  \* MERGEFORMAT </w:instrText>
      </w:r>
      <w:r>
        <w:rPr>
          <w:rFonts w:ascii="Arial" w:hAnsi="Arial" w:cs="Arial"/>
          <w:sz w:val="22"/>
          <w:szCs w:val="22"/>
        </w:rPr>
        <w:fldChar w:fldCharType="separate"/>
      </w:r>
    </w:p>
    <w:tbl>
      <w:tblPr>
        <w:tblStyle w:val="TableGrid"/>
        <w:tblW w:w="5340" w:type="dxa"/>
        <w:tblLook w:val="04A0" w:firstRow="1" w:lastRow="0" w:firstColumn="1" w:lastColumn="0" w:noHBand="0" w:noVBand="1"/>
      </w:tblPr>
      <w:tblGrid>
        <w:gridCol w:w="3060"/>
        <w:gridCol w:w="1100"/>
        <w:gridCol w:w="1180"/>
      </w:tblGrid>
      <w:tr w:rsidR="005A7170" w:rsidRPr="0053583F" w:rsidTr="0016190B">
        <w:trPr>
          <w:trHeight w:val="390"/>
        </w:trPr>
        <w:tc>
          <w:tcPr>
            <w:tcW w:w="306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 </w:t>
            </w:r>
          </w:p>
        </w:tc>
        <w:tc>
          <w:tcPr>
            <w:tcW w:w="1100" w:type="dxa"/>
            <w:noWrap/>
            <w:hideMark/>
          </w:tcPr>
          <w:p w:rsidR="005A7170" w:rsidRPr="0053583F" w:rsidRDefault="005A7170" w:rsidP="0016190B">
            <w:pPr>
              <w:tabs>
                <w:tab w:val="left" w:pos="432"/>
                <w:tab w:val="left" w:pos="864"/>
              </w:tabs>
              <w:spacing w:line="276" w:lineRule="auto"/>
              <w:jc w:val="both"/>
              <w:rPr>
                <w:rFonts w:ascii="Arial" w:hAnsi="Arial" w:cs="Arial"/>
                <w:b/>
                <w:bCs/>
                <w:sz w:val="22"/>
                <w:szCs w:val="22"/>
              </w:rPr>
            </w:pPr>
            <w:r w:rsidRPr="0053583F">
              <w:rPr>
                <w:rFonts w:ascii="Arial" w:hAnsi="Arial" w:cs="Arial"/>
                <w:b/>
                <w:bCs/>
                <w:sz w:val="22"/>
                <w:szCs w:val="22"/>
              </w:rPr>
              <w:t>(i) SAPS</w:t>
            </w:r>
          </w:p>
        </w:tc>
        <w:tc>
          <w:tcPr>
            <w:tcW w:w="1180" w:type="dxa"/>
            <w:noWrap/>
            <w:hideMark/>
          </w:tcPr>
          <w:p w:rsidR="005A7170" w:rsidRPr="0053583F" w:rsidRDefault="005A7170" w:rsidP="0016190B">
            <w:pPr>
              <w:tabs>
                <w:tab w:val="left" w:pos="432"/>
                <w:tab w:val="left" w:pos="864"/>
              </w:tabs>
              <w:spacing w:line="276" w:lineRule="auto"/>
              <w:jc w:val="both"/>
              <w:rPr>
                <w:rFonts w:ascii="Arial" w:hAnsi="Arial" w:cs="Arial"/>
                <w:b/>
                <w:bCs/>
                <w:sz w:val="22"/>
                <w:szCs w:val="22"/>
              </w:rPr>
            </w:pPr>
            <w:r w:rsidRPr="0053583F">
              <w:rPr>
                <w:rFonts w:ascii="Arial" w:hAnsi="Arial" w:cs="Arial"/>
                <w:b/>
                <w:bCs/>
                <w:sz w:val="22"/>
                <w:szCs w:val="22"/>
              </w:rPr>
              <w:t>(ii) DPCI</w:t>
            </w:r>
          </w:p>
        </w:tc>
      </w:tr>
      <w:tr w:rsidR="005A7170" w:rsidRPr="0053583F" w:rsidTr="0016190B">
        <w:trPr>
          <w:trHeight w:val="300"/>
        </w:trPr>
        <w:tc>
          <w:tcPr>
            <w:tcW w:w="3060" w:type="dxa"/>
            <w:noWrap/>
            <w:hideMark/>
          </w:tcPr>
          <w:p w:rsidR="005A7170" w:rsidRPr="0053583F" w:rsidRDefault="005A7170" w:rsidP="0016190B">
            <w:pPr>
              <w:tabs>
                <w:tab w:val="left" w:pos="432"/>
                <w:tab w:val="left" w:pos="864"/>
              </w:tabs>
              <w:spacing w:line="276" w:lineRule="auto"/>
              <w:jc w:val="both"/>
              <w:rPr>
                <w:rFonts w:ascii="Arial" w:hAnsi="Arial" w:cs="Arial"/>
                <w:b/>
                <w:bCs/>
                <w:sz w:val="22"/>
                <w:szCs w:val="22"/>
              </w:rPr>
            </w:pPr>
            <w:r w:rsidRPr="0053583F">
              <w:rPr>
                <w:rFonts w:ascii="Arial" w:hAnsi="Arial" w:cs="Arial"/>
                <w:b/>
                <w:bCs/>
                <w:sz w:val="22"/>
                <w:szCs w:val="22"/>
              </w:rPr>
              <w:t>2012/13</w:t>
            </w:r>
          </w:p>
        </w:tc>
        <w:tc>
          <w:tcPr>
            <w:tcW w:w="110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2</w:t>
            </w:r>
          </w:p>
        </w:tc>
        <w:tc>
          <w:tcPr>
            <w:tcW w:w="118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11</w:t>
            </w:r>
          </w:p>
        </w:tc>
      </w:tr>
      <w:tr w:rsidR="005A7170" w:rsidRPr="0053583F" w:rsidTr="0016190B">
        <w:trPr>
          <w:trHeight w:val="300"/>
        </w:trPr>
        <w:tc>
          <w:tcPr>
            <w:tcW w:w="3060" w:type="dxa"/>
            <w:noWrap/>
            <w:hideMark/>
          </w:tcPr>
          <w:p w:rsidR="005A7170" w:rsidRPr="0053583F" w:rsidRDefault="005A7170" w:rsidP="0016190B">
            <w:pPr>
              <w:tabs>
                <w:tab w:val="left" w:pos="432"/>
                <w:tab w:val="left" w:pos="864"/>
              </w:tabs>
              <w:spacing w:line="276" w:lineRule="auto"/>
              <w:jc w:val="both"/>
              <w:rPr>
                <w:rFonts w:ascii="Arial" w:hAnsi="Arial" w:cs="Arial"/>
                <w:b/>
                <w:bCs/>
                <w:sz w:val="22"/>
                <w:szCs w:val="22"/>
              </w:rPr>
            </w:pPr>
            <w:r w:rsidRPr="0053583F">
              <w:rPr>
                <w:rFonts w:ascii="Arial" w:hAnsi="Arial" w:cs="Arial"/>
                <w:b/>
                <w:bCs/>
                <w:sz w:val="22"/>
                <w:szCs w:val="22"/>
              </w:rPr>
              <w:t>2013/14</w:t>
            </w:r>
          </w:p>
        </w:tc>
        <w:tc>
          <w:tcPr>
            <w:tcW w:w="110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3</w:t>
            </w:r>
          </w:p>
        </w:tc>
        <w:tc>
          <w:tcPr>
            <w:tcW w:w="118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13</w:t>
            </w:r>
          </w:p>
        </w:tc>
      </w:tr>
      <w:tr w:rsidR="005A7170" w:rsidRPr="0053583F" w:rsidTr="0016190B">
        <w:trPr>
          <w:trHeight w:val="300"/>
        </w:trPr>
        <w:tc>
          <w:tcPr>
            <w:tcW w:w="3060" w:type="dxa"/>
            <w:noWrap/>
            <w:hideMark/>
          </w:tcPr>
          <w:p w:rsidR="005A7170" w:rsidRPr="0053583F" w:rsidRDefault="005A7170" w:rsidP="0016190B">
            <w:pPr>
              <w:tabs>
                <w:tab w:val="left" w:pos="432"/>
                <w:tab w:val="left" w:pos="864"/>
              </w:tabs>
              <w:spacing w:line="276" w:lineRule="auto"/>
              <w:jc w:val="both"/>
              <w:rPr>
                <w:rFonts w:ascii="Arial" w:hAnsi="Arial" w:cs="Arial"/>
                <w:b/>
                <w:bCs/>
                <w:sz w:val="22"/>
                <w:szCs w:val="22"/>
              </w:rPr>
            </w:pPr>
            <w:r w:rsidRPr="0053583F">
              <w:rPr>
                <w:rFonts w:ascii="Arial" w:hAnsi="Arial" w:cs="Arial"/>
                <w:b/>
                <w:bCs/>
                <w:sz w:val="22"/>
                <w:szCs w:val="22"/>
              </w:rPr>
              <w:t>2014/15</w:t>
            </w:r>
          </w:p>
        </w:tc>
        <w:tc>
          <w:tcPr>
            <w:tcW w:w="110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0</w:t>
            </w:r>
          </w:p>
        </w:tc>
        <w:tc>
          <w:tcPr>
            <w:tcW w:w="118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71</w:t>
            </w:r>
          </w:p>
        </w:tc>
      </w:tr>
      <w:tr w:rsidR="005A7170" w:rsidRPr="0053583F" w:rsidTr="0016190B">
        <w:trPr>
          <w:trHeight w:val="300"/>
        </w:trPr>
        <w:tc>
          <w:tcPr>
            <w:tcW w:w="3060" w:type="dxa"/>
            <w:noWrap/>
            <w:hideMark/>
          </w:tcPr>
          <w:p w:rsidR="005A7170" w:rsidRPr="0053583F" w:rsidRDefault="005A7170" w:rsidP="0016190B">
            <w:pPr>
              <w:tabs>
                <w:tab w:val="left" w:pos="432"/>
                <w:tab w:val="left" w:pos="864"/>
              </w:tabs>
              <w:spacing w:line="276" w:lineRule="auto"/>
              <w:jc w:val="both"/>
              <w:rPr>
                <w:rFonts w:ascii="Arial" w:hAnsi="Arial" w:cs="Arial"/>
                <w:b/>
                <w:bCs/>
                <w:sz w:val="22"/>
                <w:szCs w:val="22"/>
              </w:rPr>
            </w:pPr>
            <w:r w:rsidRPr="0053583F">
              <w:rPr>
                <w:rFonts w:ascii="Arial" w:hAnsi="Arial" w:cs="Arial"/>
                <w:b/>
                <w:bCs/>
                <w:sz w:val="22"/>
                <w:szCs w:val="22"/>
              </w:rPr>
              <w:t>2015/16</w:t>
            </w:r>
          </w:p>
        </w:tc>
        <w:tc>
          <w:tcPr>
            <w:tcW w:w="110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1</w:t>
            </w:r>
          </w:p>
        </w:tc>
        <w:tc>
          <w:tcPr>
            <w:tcW w:w="118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9</w:t>
            </w:r>
          </w:p>
        </w:tc>
      </w:tr>
      <w:tr w:rsidR="005A7170" w:rsidRPr="0053583F" w:rsidTr="0016190B">
        <w:trPr>
          <w:trHeight w:val="300"/>
        </w:trPr>
        <w:tc>
          <w:tcPr>
            <w:tcW w:w="3060" w:type="dxa"/>
            <w:noWrap/>
            <w:hideMark/>
          </w:tcPr>
          <w:p w:rsidR="005A7170" w:rsidRPr="0053583F" w:rsidRDefault="005A7170" w:rsidP="0016190B">
            <w:pPr>
              <w:tabs>
                <w:tab w:val="left" w:pos="432"/>
                <w:tab w:val="left" w:pos="864"/>
              </w:tabs>
              <w:spacing w:line="276" w:lineRule="auto"/>
              <w:jc w:val="both"/>
              <w:rPr>
                <w:rFonts w:ascii="Arial" w:hAnsi="Arial" w:cs="Arial"/>
                <w:b/>
                <w:bCs/>
                <w:sz w:val="22"/>
                <w:szCs w:val="22"/>
              </w:rPr>
            </w:pPr>
            <w:r w:rsidRPr="0053583F">
              <w:rPr>
                <w:rFonts w:ascii="Arial" w:hAnsi="Arial" w:cs="Arial"/>
                <w:b/>
                <w:bCs/>
                <w:sz w:val="22"/>
                <w:szCs w:val="22"/>
              </w:rPr>
              <w:t>2016/17</w:t>
            </w:r>
          </w:p>
        </w:tc>
        <w:tc>
          <w:tcPr>
            <w:tcW w:w="110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3</w:t>
            </w:r>
          </w:p>
        </w:tc>
        <w:tc>
          <w:tcPr>
            <w:tcW w:w="118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18</w:t>
            </w:r>
          </w:p>
        </w:tc>
      </w:tr>
      <w:tr w:rsidR="005A7170" w:rsidRPr="0053583F" w:rsidTr="0016190B">
        <w:trPr>
          <w:trHeight w:val="300"/>
        </w:trPr>
        <w:tc>
          <w:tcPr>
            <w:tcW w:w="3060" w:type="dxa"/>
            <w:noWrap/>
            <w:hideMark/>
          </w:tcPr>
          <w:p w:rsidR="005A7170" w:rsidRPr="0053583F" w:rsidRDefault="005A7170" w:rsidP="0016190B">
            <w:pPr>
              <w:tabs>
                <w:tab w:val="left" w:pos="432"/>
                <w:tab w:val="left" w:pos="864"/>
              </w:tabs>
              <w:spacing w:line="276" w:lineRule="auto"/>
              <w:jc w:val="both"/>
              <w:rPr>
                <w:rFonts w:ascii="Arial" w:hAnsi="Arial" w:cs="Arial"/>
                <w:b/>
                <w:bCs/>
                <w:sz w:val="22"/>
                <w:szCs w:val="22"/>
              </w:rPr>
            </w:pPr>
            <w:r w:rsidRPr="0053583F">
              <w:rPr>
                <w:rFonts w:ascii="Arial" w:hAnsi="Arial" w:cs="Arial"/>
                <w:b/>
                <w:bCs/>
                <w:sz w:val="22"/>
                <w:szCs w:val="22"/>
              </w:rPr>
              <w:t>2017/18</w:t>
            </w:r>
          </w:p>
        </w:tc>
        <w:tc>
          <w:tcPr>
            <w:tcW w:w="110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6</w:t>
            </w:r>
          </w:p>
        </w:tc>
        <w:tc>
          <w:tcPr>
            <w:tcW w:w="1180" w:type="dxa"/>
            <w:noWrap/>
            <w:hideMark/>
          </w:tcPr>
          <w:p w:rsidR="005A7170" w:rsidRPr="0053583F" w:rsidRDefault="005A7170" w:rsidP="0016190B">
            <w:pPr>
              <w:tabs>
                <w:tab w:val="left" w:pos="432"/>
                <w:tab w:val="left" w:pos="864"/>
              </w:tabs>
              <w:spacing w:line="276" w:lineRule="auto"/>
              <w:jc w:val="both"/>
              <w:rPr>
                <w:rFonts w:ascii="Arial" w:hAnsi="Arial" w:cs="Arial"/>
                <w:sz w:val="22"/>
                <w:szCs w:val="22"/>
              </w:rPr>
            </w:pPr>
            <w:r w:rsidRPr="0053583F">
              <w:rPr>
                <w:rFonts w:ascii="Arial" w:hAnsi="Arial" w:cs="Arial"/>
                <w:sz w:val="22"/>
                <w:szCs w:val="22"/>
              </w:rPr>
              <w:t>7</w:t>
            </w:r>
          </w:p>
        </w:tc>
      </w:tr>
    </w:tbl>
    <w:p w:rsidR="005A7170" w:rsidRDefault="005A7170" w:rsidP="005A7170">
      <w:pPr>
        <w:tabs>
          <w:tab w:val="left" w:pos="432"/>
          <w:tab w:val="left" w:pos="864"/>
        </w:tabs>
        <w:spacing w:line="276" w:lineRule="auto"/>
        <w:jc w:val="both"/>
        <w:rPr>
          <w:rFonts w:ascii="Arial" w:hAnsi="Arial" w:cs="Arial"/>
          <w:sz w:val="22"/>
          <w:szCs w:val="22"/>
        </w:rPr>
      </w:pPr>
      <w:r>
        <w:rPr>
          <w:rFonts w:ascii="Arial" w:hAnsi="Arial" w:cs="Arial"/>
          <w:sz w:val="22"/>
          <w:szCs w:val="22"/>
        </w:rPr>
        <w:fldChar w:fldCharType="end"/>
      </w:r>
    </w:p>
    <w:p w:rsidR="005A7170" w:rsidRDefault="005A7170" w:rsidP="005A7170">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Notes: i)  The information referred to the SAPS and the DPCI in the matters referred to above relate to the FIC’s analysis of reports that financial and other institutions had made to the FIC on the transaction activities of their customers under the various reporting obligations contained in the FIC Act.  None of these matters relate to suspected contraventions of the PRECC Act by staff members of the FIC. </w:t>
      </w:r>
    </w:p>
    <w:p w:rsidR="005A7170" w:rsidRDefault="005A7170" w:rsidP="005A7170">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ii)  Prior to the financial year 2012-2013, the FIC did not keep detailed statistics of the possible underlying crime types relating to matters referred to law enforcement authorities.   </w:t>
      </w:r>
    </w:p>
    <w:p w:rsidR="005A7170" w:rsidRDefault="005A7170" w:rsidP="005A7170">
      <w:pPr>
        <w:tabs>
          <w:tab w:val="left" w:pos="432"/>
          <w:tab w:val="left" w:pos="864"/>
        </w:tabs>
        <w:spacing w:line="276" w:lineRule="auto"/>
        <w:jc w:val="both"/>
        <w:rPr>
          <w:rFonts w:ascii="Arial" w:hAnsi="Arial" w:cs="Arial"/>
          <w:sz w:val="22"/>
          <w:szCs w:val="22"/>
        </w:rPr>
      </w:pPr>
    </w:p>
    <w:p w:rsidR="005A7170" w:rsidRDefault="005A7170" w:rsidP="005A7170">
      <w:pPr>
        <w:tabs>
          <w:tab w:val="left" w:pos="432"/>
          <w:tab w:val="left" w:pos="864"/>
        </w:tabs>
        <w:spacing w:line="276" w:lineRule="auto"/>
        <w:jc w:val="both"/>
        <w:rPr>
          <w:rFonts w:ascii="Arial" w:hAnsi="Arial" w:cs="Arial"/>
          <w:sz w:val="22"/>
          <w:szCs w:val="22"/>
        </w:rPr>
      </w:pPr>
      <w:r>
        <w:rPr>
          <w:rFonts w:ascii="Arial" w:hAnsi="Arial" w:cs="Arial"/>
          <w:sz w:val="22"/>
          <w:szCs w:val="22"/>
        </w:rPr>
        <w:t>(b) (i) and (ii) This information is not available to the FIC as the records of investigations</w:t>
      </w:r>
      <w:r w:rsidRPr="004C09E5">
        <w:rPr>
          <w:rFonts w:ascii="Arial" w:hAnsi="Arial" w:cs="Arial"/>
          <w:sz w:val="22"/>
          <w:szCs w:val="22"/>
        </w:rPr>
        <w:t xml:space="preserve"> </w:t>
      </w:r>
      <w:r w:rsidRPr="00EB4E7F">
        <w:rPr>
          <w:rFonts w:ascii="Arial" w:eastAsia="Calibri" w:hAnsi="Arial" w:cs="Arial"/>
          <w:color w:val="000000"/>
          <w:sz w:val="22"/>
          <w:szCs w:val="22"/>
          <w:lang w:val="en-ZA" w:eastAsia="en-ZA"/>
        </w:rPr>
        <w:t xml:space="preserve">relating to the </w:t>
      </w:r>
      <w:r>
        <w:rPr>
          <w:rFonts w:ascii="Arial" w:eastAsia="Calibri" w:hAnsi="Arial" w:cs="Arial"/>
          <w:color w:val="000000"/>
          <w:sz w:val="22"/>
          <w:szCs w:val="22"/>
          <w:lang w:val="en-ZA" w:eastAsia="en-ZA"/>
        </w:rPr>
        <w:t>PRECC Act</w:t>
      </w:r>
      <w:r>
        <w:rPr>
          <w:rFonts w:ascii="Arial" w:hAnsi="Arial" w:cs="Arial"/>
          <w:sz w:val="22"/>
          <w:szCs w:val="22"/>
        </w:rPr>
        <w:t xml:space="preserve"> are kept by the agencies conducting the relevant investigations, i.e. the SAPS and the DPCI respectively.</w:t>
      </w:r>
    </w:p>
    <w:p w:rsidR="005A7170" w:rsidRDefault="005A7170" w:rsidP="005A7170">
      <w:pPr>
        <w:tabs>
          <w:tab w:val="left" w:pos="432"/>
          <w:tab w:val="left" w:pos="864"/>
        </w:tabs>
        <w:spacing w:line="276" w:lineRule="auto"/>
        <w:jc w:val="both"/>
        <w:rPr>
          <w:rFonts w:ascii="Arial" w:hAnsi="Arial" w:cs="Arial"/>
          <w:sz w:val="22"/>
          <w:szCs w:val="22"/>
        </w:rPr>
      </w:pPr>
    </w:p>
    <w:p w:rsidR="005A7170" w:rsidRPr="004C09E5" w:rsidRDefault="005A7170" w:rsidP="005A7170">
      <w:pPr>
        <w:tabs>
          <w:tab w:val="left" w:pos="432"/>
          <w:tab w:val="left" w:pos="864"/>
        </w:tabs>
        <w:spacing w:line="276" w:lineRule="auto"/>
        <w:jc w:val="both"/>
        <w:rPr>
          <w:rFonts w:ascii="Arial" w:hAnsi="Arial" w:cs="Arial"/>
          <w:sz w:val="22"/>
          <w:szCs w:val="22"/>
        </w:rPr>
      </w:pPr>
      <w:r>
        <w:rPr>
          <w:rFonts w:ascii="Arial" w:hAnsi="Arial" w:cs="Arial"/>
          <w:sz w:val="22"/>
          <w:szCs w:val="22"/>
        </w:rPr>
        <w:t>(iii) This information is not available to the FIC as the records of prosecutions and convictions</w:t>
      </w:r>
      <w:r w:rsidRPr="004C09E5">
        <w:rPr>
          <w:rFonts w:ascii="Arial" w:hAnsi="Arial" w:cs="Arial"/>
          <w:sz w:val="22"/>
          <w:szCs w:val="22"/>
        </w:rPr>
        <w:t xml:space="preserve"> </w:t>
      </w:r>
      <w:r w:rsidRPr="00EB4E7F">
        <w:rPr>
          <w:rFonts w:ascii="Arial" w:eastAsia="Calibri" w:hAnsi="Arial" w:cs="Arial"/>
          <w:color w:val="000000"/>
          <w:sz w:val="22"/>
          <w:szCs w:val="22"/>
          <w:lang w:val="en-ZA" w:eastAsia="en-ZA"/>
        </w:rPr>
        <w:t xml:space="preserve">relating to the </w:t>
      </w:r>
      <w:r>
        <w:rPr>
          <w:rFonts w:ascii="Arial" w:eastAsia="Calibri" w:hAnsi="Arial" w:cs="Arial"/>
          <w:color w:val="000000"/>
          <w:sz w:val="22"/>
          <w:szCs w:val="22"/>
          <w:lang w:val="en-ZA" w:eastAsia="en-ZA"/>
        </w:rPr>
        <w:t>PRECC Act</w:t>
      </w:r>
      <w:r>
        <w:rPr>
          <w:rFonts w:ascii="Arial" w:hAnsi="Arial" w:cs="Arial"/>
          <w:sz w:val="22"/>
          <w:szCs w:val="22"/>
        </w:rPr>
        <w:t xml:space="preserve"> are kept by the National Prosecuting Authority.</w:t>
      </w:r>
    </w:p>
    <w:p w:rsidR="000B1C23" w:rsidRPr="00695EEB" w:rsidRDefault="000B1C23" w:rsidP="000B1C23">
      <w:pPr>
        <w:pBdr>
          <w:bottom w:val="single" w:sz="6" w:space="1" w:color="auto"/>
        </w:pBdr>
        <w:rPr>
          <w:rFonts w:ascii="Arial" w:hAnsi="Arial" w:cs="Arial"/>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FSB</w:t>
      </w:r>
    </w:p>
    <w:p w:rsidR="005A7170" w:rsidRDefault="005A7170" w:rsidP="005A7170">
      <w:pPr>
        <w:pStyle w:val="BodyTextIndent"/>
        <w:spacing w:line="276" w:lineRule="auto"/>
        <w:ind w:left="547" w:firstLine="0"/>
        <w:rPr>
          <w:rFonts w:ascii="Arial" w:hAnsi="Arial" w:cs="Arial"/>
          <w:sz w:val="22"/>
          <w:szCs w:val="22"/>
        </w:rPr>
      </w:pPr>
    </w:p>
    <w:p w:rsidR="005A7170" w:rsidRPr="006F790E" w:rsidRDefault="005A7170" w:rsidP="005A7170">
      <w:pPr>
        <w:pStyle w:val="BodyTextIndent"/>
        <w:spacing w:line="276" w:lineRule="auto"/>
        <w:ind w:left="547" w:firstLine="0"/>
        <w:rPr>
          <w:rFonts w:ascii="Arial" w:hAnsi="Arial" w:cs="Arial"/>
          <w:sz w:val="22"/>
          <w:szCs w:val="22"/>
        </w:rPr>
      </w:pPr>
      <w:r w:rsidRPr="006F790E">
        <w:rPr>
          <w:rFonts w:ascii="Arial" w:hAnsi="Arial" w:cs="Arial"/>
          <w:sz w:val="22"/>
          <w:szCs w:val="22"/>
        </w:rPr>
        <w:t xml:space="preserve">The Financial Services Board (the </w:t>
      </w:r>
      <w:r>
        <w:rPr>
          <w:rFonts w:ascii="Arial" w:hAnsi="Arial" w:cs="Arial"/>
          <w:sz w:val="22"/>
          <w:szCs w:val="22"/>
        </w:rPr>
        <w:t xml:space="preserve">predecessor of the </w:t>
      </w:r>
      <w:r w:rsidRPr="006F790E">
        <w:rPr>
          <w:rFonts w:ascii="Arial" w:hAnsi="Arial" w:cs="Arial"/>
          <w:sz w:val="22"/>
          <w:szCs w:val="22"/>
        </w:rPr>
        <w:t>Financial Sector Conduct Authority)</w:t>
      </w:r>
      <w:r>
        <w:rPr>
          <w:rFonts w:ascii="Arial" w:hAnsi="Arial" w:cs="Arial"/>
          <w:sz w:val="22"/>
          <w:szCs w:val="22"/>
        </w:rPr>
        <w:t xml:space="preserve"> referred 86 cases to the Directorate for Priority Crime Investigation since 2012. We are aware of 8 convictions of these cases. 73 of the cases have been investigated or are currently part of an ongoing investigation. It should be noted that these 86 cases do not necessarily relate to corrupt activities. They were cases that the FSB investigated as part of their ongoing supervision of the entities that it regulates. It also often included investigations into unregistered business. </w:t>
      </w:r>
    </w:p>
    <w:p w:rsidR="000B1C23" w:rsidRDefault="000B1C23"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Pr="0082383E" w:rsidRDefault="000B1C23" w:rsidP="000B1C23">
      <w:pPr>
        <w:pBdr>
          <w:bottom w:val="single" w:sz="6" w:space="1" w:color="auto"/>
        </w:pBdr>
        <w:rPr>
          <w:rFonts w:ascii="Arial" w:hAnsi="Arial" w:cs="Arial"/>
          <w:b/>
          <w:sz w:val="22"/>
          <w:szCs w:val="22"/>
        </w:rPr>
      </w:pPr>
      <w:r w:rsidRPr="0082383E">
        <w:rPr>
          <w:rFonts w:ascii="Arial" w:hAnsi="Arial" w:cs="Arial"/>
          <w:b/>
          <w:sz w:val="22"/>
          <w:szCs w:val="22"/>
        </w:rPr>
        <w:t>GEPF</w:t>
      </w:r>
    </w:p>
    <w:p w:rsidR="000B1C23" w:rsidRDefault="000B1C23" w:rsidP="000B1C23">
      <w:pPr>
        <w:pBdr>
          <w:bottom w:val="single" w:sz="6" w:space="1" w:color="auto"/>
        </w:pBdr>
        <w:rPr>
          <w:rFonts w:ascii="Arial" w:hAnsi="Arial" w:cs="Arial"/>
          <w:sz w:val="22"/>
          <w:szCs w:val="22"/>
        </w:rPr>
      </w:pPr>
    </w:p>
    <w:p w:rsidR="0082383E" w:rsidRPr="0082383E" w:rsidRDefault="0082383E" w:rsidP="0082383E">
      <w:pPr>
        <w:pBdr>
          <w:bottom w:val="single" w:sz="6" w:space="1" w:color="auto"/>
        </w:pBdr>
        <w:rPr>
          <w:rFonts w:ascii="Arial" w:hAnsi="Arial" w:cs="Arial"/>
          <w:sz w:val="22"/>
          <w:szCs w:val="22"/>
        </w:rPr>
      </w:pPr>
      <w:r w:rsidRPr="0082383E">
        <w:rPr>
          <w:rFonts w:ascii="Arial" w:hAnsi="Arial" w:cs="Arial"/>
          <w:sz w:val="22"/>
          <w:szCs w:val="22"/>
        </w:rPr>
        <w:t xml:space="preserve">There has been no cases relating to the Prevention and Combating of Corrupt Activities Act that were referred to the SAPS or the DPCI. </w:t>
      </w:r>
    </w:p>
    <w:p w:rsidR="0065230A" w:rsidRDefault="0065230A"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GPAA</w:t>
      </w:r>
    </w:p>
    <w:p w:rsidR="005A7170" w:rsidRDefault="005A7170" w:rsidP="005A7170">
      <w:pPr>
        <w:jc w:val="both"/>
        <w:rPr>
          <w:rFonts w:ascii="Arial" w:eastAsia="Calibri" w:hAnsi="Arial" w:cs="Arial"/>
          <w:color w:val="000000"/>
          <w:sz w:val="22"/>
          <w:szCs w:val="22"/>
          <w:lang w:eastAsia="en-ZA"/>
        </w:rPr>
      </w:pPr>
    </w:p>
    <w:p w:rsidR="005A7170" w:rsidRDefault="005A7170" w:rsidP="005A7170">
      <w:pPr>
        <w:jc w:val="both"/>
        <w:rPr>
          <w:rFonts w:ascii="Arial" w:eastAsia="Calibri" w:hAnsi="Arial" w:cs="Arial"/>
          <w:color w:val="000000"/>
          <w:sz w:val="22"/>
          <w:szCs w:val="22"/>
          <w:lang w:eastAsia="en-ZA"/>
        </w:rPr>
      </w:pPr>
      <w:r w:rsidRPr="000A72FE">
        <w:rPr>
          <w:rFonts w:ascii="Arial" w:eastAsia="Calibri" w:hAnsi="Arial" w:cs="Arial"/>
          <w:color w:val="000000"/>
          <w:sz w:val="22"/>
          <w:szCs w:val="22"/>
          <w:lang w:eastAsia="en-ZA"/>
        </w:rPr>
        <w:t>“The Government Pensions Administration Agency (GPAA) was established with effect from 1 April 2010 as promulgated by the President, as a government component in terms of Schedule 3 of the Public Service Act. Since the formation of the GPAA, the following cases</w:t>
      </w:r>
      <w:r>
        <w:rPr>
          <w:rFonts w:ascii="Arial" w:eastAsia="Calibri" w:hAnsi="Arial" w:cs="Arial"/>
          <w:color w:val="000000"/>
          <w:sz w:val="22"/>
          <w:szCs w:val="22"/>
          <w:lang w:eastAsia="en-ZA"/>
        </w:rPr>
        <w:t xml:space="preserve"> were reported </w:t>
      </w:r>
    </w:p>
    <w:p w:rsidR="005A7170" w:rsidRDefault="005A7170" w:rsidP="005A7170">
      <w:pPr>
        <w:jc w:val="both"/>
        <w:rPr>
          <w:rFonts w:ascii="Arial" w:eastAsia="Calibri" w:hAnsi="Arial" w:cs="Arial"/>
          <w:color w:val="000000"/>
          <w:sz w:val="22"/>
          <w:szCs w:val="22"/>
          <w:lang w:eastAsia="en-ZA"/>
        </w:rPr>
      </w:pPr>
    </w:p>
    <w:p w:rsidR="005A7170" w:rsidRDefault="005A7170" w:rsidP="005A7170">
      <w:pPr>
        <w:pStyle w:val="ListParagraph"/>
        <w:numPr>
          <w:ilvl w:val="0"/>
          <w:numId w:val="10"/>
        </w:numPr>
        <w:jc w:val="both"/>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193 cases reported to SA Policy service/DPCI</w:t>
      </w:r>
    </w:p>
    <w:p w:rsidR="005A7170" w:rsidRDefault="005A7170" w:rsidP="005A7170">
      <w:pPr>
        <w:pStyle w:val="ListParagraph"/>
        <w:jc w:val="both"/>
        <w:rPr>
          <w:rFonts w:ascii="Arial" w:eastAsia="Calibri" w:hAnsi="Arial" w:cs="Arial"/>
          <w:color w:val="000000"/>
          <w:sz w:val="22"/>
          <w:szCs w:val="22"/>
          <w:lang w:val="en-ZA" w:eastAsia="en-ZA"/>
        </w:rPr>
      </w:pPr>
    </w:p>
    <w:p w:rsidR="005A7170" w:rsidRPr="000A72FE" w:rsidRDefault="005A7170" w:rsidP="005A7170">
      <w:pPr>
        <w:pStyle w:val="ListParagraph"/>
        <w:numPr>
          <w:ilvl w:val="0"/>
          <w:numId w:val="10"/>
        </w:numPr>
        <w:jc w:val="both"/>
        <w:rPr>
          <w:rFonts w:ascii="Arial" w:eastAsia="Calibri" w:hAnsi="Arial" w:cs="Arial"/>
          <w:color w:val="000000"/>
          <w:sz w:val="22"/>
          <w:szCs w:val="22"/>
          <w:lang w:eastAsia="en-ZA"/>
        </w:rPr>
      </w:pPr>
    </w:p>
    <w:p w:rsidR="005A7170" w:rsidRDefault="005A7170" w:rsidP="005A7170">
      <w:pPr>
        <w:pStyle w:val="ListParagraph"/>
        <w:numPr>
          <w:ilvl w:val="0"/>
          <w:numId w:val="11"/>
        </w:numPr>
        <w:jc w:val="both"/>
        <w:rPr>
          <w:rFonts w:ascii="Arial" w:eastAsia="Calibri" w:hAnsi="Arial" w:cs="Arial"/>
          <w:color w:val="000000"/>
          <w:sz w:val="22"/>
          <w:szCs w:val="22"/>
          <w:lang w:val="en-ZA" w:eastAsia="en-ZA"/>
        </w:rPr>
      </w:pPr>
      <w:r>
        <w:rPr>
          <w:rFonts w:ascii="Arial" w:eastAsia="Calibri" w:hAnsi="Arial" w:cs="Arial"/>
          <w:color w:val="000000"/>
          <w:sz w:val="22"/>
          <w:szCs w:val="22"/>
          <w:lang w:val="en-ZA" w:eastAsia="en-ZA"/>
        </w:rPr>
        <w:t>140 cases investigated by SA Policy service/DPCI</w:t>
      </w:r>
    </w:p>
    <w:p w:rsidR="005A7170" w:rsidRPr="000A72FE" w:rsidRDefault="005A7170" w:rsidP="005A7170">
      <w:pPr>
        <w:pStyle w:val="ListParagraph"/>
        <w:numPr>
          <w:ilvl w:val="0"/>
          <w:numId w:val="11"/>
        </w:numPr>
        <w:jc w:val="both"/>
        <w:rPr>
          <w:rFonts w:ascii="Arial" w:eastAsia="Calibri" w:hAnsi="Arial" w:cs="Arial"/>
          <w:color w:val="000000"/>
          <w:sz w:val="22"/>
          <w:szCs w:val="22"/>
          <w:lang w:eastAsia="en-ZA"/>
        </w:rPr>
      </w:pPr>
      <w:r>
        <w:rPr>
          <w:rFonts w:ascii="Arial" w:eastAsia="Calibri" w:hAnsi="Arial" w:cs="Arial"/>
          <w:color w:val="000000"/>
          <w:sz w:val="22"/>
          <w:szCs w:val="22"/>
          <w:lang w:val="en-ZA" w:eastAsia="en-ZA"/>
        </w:rPr>
        <w:t xml:space="preserve">All cases have been followed up by the GPAA with regular engagement with the SA Police Services/DPCI. </w:t>
      </w:r>
    </w:p>
    <w:p w:rsidR="005A7170" w:rsidRDefault="005A7170" w:rsidP="005A7170">
      <w:pPr>
        <w:pStyle w:val="ListParagraph"/>
        <w:numPr>
          <w:ilvl w:val="0"/>
          <w:numId w:val="11"/>
        </w:numPr>
        <w:jc w:val="both"/>
        <w:rPr>
          <w:rFonts w:ascii="Arial" w:eastAsia="Calibri" w:hAnsi="Arial" w:cs="Arial"/>
          <w:color w:val="000000"/>
          <w:sz w:val="22"/>
          <w:szCs w:val="22"/>
          <w:lang w:eastAsia="en-ZA"/>
        </w:rPr>
      </w:pPr>
      <w:r>
        <w:rPr>
          <w:rFonts w:ascii="Arial" w:eastAsia="Calibri" w:hAnsi="Arial" w:cs="Arial"/>
          <w:color w:val="000000"/>
          <w:sz w:val="22"/>
          <w:szCs w:val="22"/>
          <w:lang w:val="en-ZA" w:eastAsia="en-ZA"/>
        </w:rPr>
        <w:t>8 cases resulted in convictions.</w:t>
      </w:r>
      <w:r w:rsidRPr="000A72FE">
        <w:rPr>
          <w:rFonts w:ascii="Arial" w:eastAsia="Calibri" w:hAnsi="Arial" w:cs="Arial"/>
          <w:color w:val="000000"/>
          <w:sz w:val="22"/>
          <w:szCs w:val="22"/>
          <w:lang w:val="en-ZA" w:eastAsia="en-ZA"/>
        </w:rPr>
        <w:tab/>
      </w:r>
      <w:r w:rsidRPr="000A72FE">
        <w:rPr>
          <w:rFonts w:ascii="Arial" w:eastAsia="Calibri" w:hAnsi="Arial" w:cs="Arial"/>
          <w:color w:val="000000"/>
          <w:sz w:val="22"/>
          <w:szCs w:val="22"/>
          <w:lang w:val="en-ZA" w:eastAsia="en-ZA"/>
        </w:rPr>
        <w:tab/>
      </w:r>
      <w:r w:rsidRPr="000A72FE">
        <w:rPr>
          <w:rFonts w:ascii="Arial" w:eastAsia="Calibri" w:hAnsi="Arial" w:cs="Arial"/>
          <w:color w:val="000000"/>
          <w:sz w:val="22"/>
          <w:szCs w:val="22"/>
          <w:lang w:val="en-ZA" w:eastAsia="en-ZA"/>
        </w:rPr>
        <w:tab/>
      </w:r>
    </w:p>
    <w:p w:rsidR="005A7170" w:rsidRDefault="005A7170" w:rsidP="005A7170">
      <w:pPr>
        <w:jc w:val="both"/>
        <w:rPr>
          <w:rFonts w:ascii="Arial" w:eastAsia="Calibri" w:hAnsi="Arial" w:cs="Arial"/>
          <w:color w:val="000000"/>
          <w:sz w:val="22"/>
          <w:szCs w:val="22"/>
          <w:lang w:eastAsia="en-ZA"/>
        </w:rPr>
      </w:pPr>
    </w:p>
    <w:p w:rsidR="0065230A" w:rsidRDefault="0065230A"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IRBA</w:t>
      </w:r>
    </w:p>
    <w:p w:rsidR="00382E3F" w:rsidRDefault="00382E3F" w:rsidP="000B1C23">
      <w:pPr>
        <w:rPr>
          <w:rFonts w:ascii="Arial" w:hAnsi="Arial" w:cs="Arial"/>
          <w:sz w:val="22"/>
          <w:szCs w:val="22"/>
        </w:rPr>
      </w:pPr>
    </w:p>
    <w:p w:rsidR="000B1C23" w:rsidRDefault="00E74171" w:rsidP="000B1C23">
      <w:pPr>
        <w:rPr>
          <w:rFonts w:ascii="Arial" w:hAnsi="Arial" w:cs="Arial"/>
          <w:sz w:val="22"/>
          <w:szCs w:val="22"/>
        </w:rPr>
      </w:pPr>
      <w:r>
        <w:rPr>
          <w:rFonts w:ascii="Arial" w:hAnsi="Arial" w:cs="Arial"/>
          <w:sz w:val="22"/>
          <w:szCs w:val="22"/>
        </w:rPr>
        <w:t xml:space="preserve">The IRBA hold a position of authority over staff members that are employed by the IRBA as well as over Registered Auditors who are dully registered with the IRBA on its Register. </w:t>
      </w:r>
    </w:p>
    <w:p w:rsidR="00E74171" w:rsidRDefault="00E74171" w:rsidP="000B1C23">
      <w:pPr>
        <w:rPr>
          <w:rFonts w:ascii="Arial" w:hAnsi="Arial" w:cs="Arial"/>
          <w:sz w:val="22"/>
          <w:szCs w:val="22"/>
        </w:rPr>
      </w:pPr>
    </w:p>
    <w:p w:rsidR="00E74171" w:rsidRPr="00695EEB" w:rsidRDefault="00E74171" w:rsidP="000B1C23">
      <w:pPr>
        <w:rPr>
          <w:rFonts w:ascii="Arial" w:hAnsi="Arial" w:cs="Arial"/>
          <w:sz w:val="22"/>
          <w:szCs w:val="22"/>
        </w:rPr>
      </w:pPr>
      <w:r>
        <w:rPr>
          <w:rFonts w:ascii="Arial" w:hAnsi="Arial" w:cs="Arial"/>
          <w:sz w:val="22"/>
          <w:szCs w:val="22"/>
        </w:rPr>
        <w:t xml:space="preserve">The IRBA has, from 2004 to date, not referred any cases or reported any of its employees or any Registered Auditors to a police official in accordance with the requirements of Section 34 of the Prevention and Combatting of Corrupt Activities Act 12 of 2004. </w:t>
      </w:r>
    </w:p>
    <w:p w:rsidR="0065230A" w:rsidRDefault="0065230A"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LAND BANK</w:t>
      </w:r>
    </w:p>
    <w:p w:rsidR="00E74171" w:rsidRDefault="00E74171" w:rsidP="00E74171">
      <w:pPr>
        <w:pStyle w:val="BodyTextIndent"/>
        <w:spacing w:line="276" w:lineRule="auto"/>
        <w:ind w:left="432" w:firstLine="0"/>
        <w:rPr>
          <w:rFonts w:ascii="Arial" w:hAnsi="Arial" w:cs="Arial"/>
          <w:b/>
          <w:sz w:val="22"/>
          <w:szCs w:val="22"/>
        </w:rPr>
      </w:pPr>
    </w:p>
    <w:p w:rsidR="00E74171" w:rsidRPr="00624919" w:rsidRDefault="00E74171" w:rsidP="00E74171">
      <w:pPr>
        <w:pStyle w:val="BodyTextIndent"/>
        <w:numPr>
          <w:ilvl w:val="0"/>
          <w:numId w:val="12"/>
        </w:numPr>
        <w:spacing w:line="276" w:lineRule="auto"/>
        <w:rPr>
          <w:rFonts w:ascii="Arial" w:hAnsi="Arial" w:cs="Arial"/>
          <w:b/>
          <w:sz w:val="22"/>
          <w:szCs w:val="22"/>
        </w:rPr>
      </w:pPr>
      <w:r w:rsidRPr="00843E1B">
        <w:rPr>
          <w:rFonts w:ascii="Arial" w:hAnsi="Arial" w:cs="Arial"/>
          <w:sz w:val="22"/>
          <w:szCs w:val="22"/>
        </w:rPr>
        <w:t>(i) 11 cases have been referred to date. (ii) As below (b) (i) As below (ii) The follow-up on cases by Land Bank accounting officers is continuous until cases are resolved (iii) The case (Brooklyn CAS 544/09/2012) of 2012 have been resolved, with the Accused found guilty</w:t>
      </w:r>
      <w:r>
        <w:rPr>
          <w:rFonts w:ascii="Arial" w:hAnsi="Arial" w:cs="Arial"/>
          <w:b/>
          <w:sz w:val="22"/>
          <w:szCs w:val="22"/>
        </w:rPr>
        <w:t>.</w:t>
      </w:r>
    </w:p>
    <w:p w:rsidR="00E74171" w:rsidRPr="00A36611" w:rsidRDefault="00E74171" w:rsidP="00E74171">
      <w:pPr>
        <w:rPr>
          <w:rFonts w:ascii="Arial" w:hAnsi="Arial" w:cs="Arial"/>
          <w:b/>
          <w:sz w:val="22"/>
          <w:szCs w:val="22"/>
        </w:rPr>
      </w:pPr>
    </w:p>
    <w:tbl>
      <w:tblPr>
        <w:tblW w:w="10201" w:type="dxa"/>
        <w:tblCellMar>
          <w:left w:w="0" w:type="dxa"/>
          <w:right w:w="0" w:type="dxa"/>
        </w:tblCellMar>
        <w:tblLook w:val="04A0" w:firstRow="1" w:lastRow="0" w:firstColumn="1" w:lastColumn="0" w:noHBand="0" w:noVBand="1"/>
      </w:tblPr>
      <w:tblGrid>
        <w:gridCol w:w="441"/>
        <w:gridCol w:w="1681"/>
        <w:gridCol w:w="1071"/>
        <w:gridCol w:w="1905"/>
        <w:gridCol w:w="5103"/>
      </w:tblGrid>
      <w:tr w:rsidR="00E74171" w:rsidRPr="00602E7A" w:rsidTr="0016190B">
        <w:tc>
          <w:tcPr>
            <w:tcW w:w="441"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hideMark/>
          </w:tcPr>
          <w:p w:rsidR="00E74171" w:rsidRPr="00602E7A" w:rsidRDefault="00E74171" w:rsidP="0016190B">
            <w:pPr>
              <w:rPr>
                <w:rFonts w:ascii="Calibri" w:eastAsia="Calibri" w:hAnsi="Calibri" w:cs="Calibri"/>
                <w:b/>
                <w:bCs/>
                <w:color w:val="FFFFFF"/>
                <w:sz w:val="22"/>
                <w:szCs w:val="22"/>
                <w:lang w:val="en-ZA"/>
              </w:rPr>
            </w:pPr>
            <w:r w:rsidRPr="00602E7A">
              <w:rPr>
                <w:rFonts w:ascii="Calibri" w:eastAsia="Calibri" w:hAnsi="Calibri" w:cs="Calibri"/>
                <w:b/>
                <w:bCs/>
                <w:color w:val="FFFFFF"/>
                <w:sz w:val="22"/>
                <w:szCs w:val="22"/>
                <w:lang w:val="en-ZA"/>
              </w:rPr>
              <w:t>#</w:t>
            </w:r>
          </w:p>
        </w:tc>
        <w:tc>
          <w:tcPr>
            <w:tcW w:w="1681"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rsidR="00E74171" w:rsidRPr="00602E7A" w:rsidRDefault="00E74171" w:rsidP="0016190B">
            <w:pPr>
              <w:rPr>
                <w:rFonts w:ascii="Calibri" w:eastAsia="Calibri" w:hAnsi="Calibri" w:cs="Calibri"/>
                <w:b/>
                <w:bCs/>
                <w:color w:val="FFFFFF"/>
                <w:sz w:val="22"/>
                <w:szCs w:val="22"/>
                <w:lang w:val="en-ZA"/>
              </w:rPr>
            </w:pPr>
            <w:r w:rsidRPr="00602E7A">
              <w:rPr>
                <w:rFonts w:ascii="Calibri" w:eastAsia="Calibri" w:hAnsi="Calibri" w:cs="Calibri"/>
                <w:b/>
                <w:bCs/>
                <w:color w:val="FFFFFF"/>
                <w:sz w:val="22"/>
                <w:szCs w:val="22"/>
                <w:lang w:val="en-ZA"/>
              </w:rPr>
              <w:t>Case Number</w:t>
            </w:r>
          </w:p>
        </w:tc>
        <w:tc>
          <w:tcPr>
            <w:tcW w:w="1071"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rsidR="00E74171" w:rsidRPr="00602E7A" w:rsidRDefault="00E74171" w:rsidP="0016190B">
            <w:pPr>
              <w:rPr>
                <w:rFonts w:ascii="Calibri" w:eastAsia="Calibri" w:hAnsi="Calibri" w:cs="Calibri"/>
                <w:b/>
                <w:bCs/>
                <w:color w:val="FFFFFF"/>
                <w:sz w:val="22"/>
                <w:szCs w:val="22"/>
                <w:lang w:val="en-ZA"/>
              </w:rPr>
            </w:pPr>
            <w:r w:rsidRPr="00602E7A">
              <w:rPr>
                <w:rFonts w:ascii="Calibri" w:eastAsia="Calibri" w:hAnsi="Calibri" w:cs="Calibri"/>
                <w:b/>
                <w:bCs/>
                <w:color w:val="FFFFFF"/>
                <w:sz w:val="22"/>
                <w:szCs w:val="22"/>
                <w:lang w:val="en-ZA"/>
              </w:rPr>
              <w:t>Year Reported</w:t>
            </w:r>
          </w:p>
        </w:tc>
        <w:tc>
          <w:tcPr>
            <w:tcW w:w="1905"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rsidR="00E74171" w:rsidRPr="00602E7A" w:rsidRDefault="00E74171" w:rsidP="0016190B">
            <w:pPr>
              <w:rPr>
                <w:rFonts w:ascii="Calibri" w:eastAsia="Calibri" w:hAnsi="Calibri" w:cs="Calibri"/>
                <w:b/>
                <w:bCs/>
                <w:color w:val="FFFFFF"/>
                <w:sz w:val="22"/>
                <w:szCs w:val="22"/>
                <w:lang w:val="en-ZA"/>
              </w:rPr>
            </w:pPr>
            <w:r w:rsidRPr="00602E7A">
              <w:rPr>
                <w:rFonts w:ascii="Calibri" w:eastAsia="Calibri" w:hAnsi="Calibri" w:cs="Calibri"/>
                <w:b/>
                <w:bCs/>
                <w:color w:val="FFFFFF"/>
                <w:sz w:val="22"/>
                <w:szCs w:val="22"/>
                <w:lang w:val="en-ZA"/>
              </w:rPr>
              <w:t>Result</w:t>
            </w:r>
          </w:p>
        </w:tc>
        <w:tc>
          <w:tcPr>
            <w:tcW w:w="5103" w:type="dxa"/>
            <w:tcBorders>
              <w:top w:val="single" w:sz="8" w:space="0" w:color="ED7D31"/>
              <w:left w:val="nil"/>
              <w:bottom w:val="single" w:sz="8" w:space="0" w:color="ED7D31"/>
              <w:right w:val="single" w:sz="8" w:space="0" w:color="ED7D31"/>
            </w:tcBorders>
            <w:shd w:val="clear" w:color="auto" w:fill="ED7D31"/>
            <w:tcMar>
              <w:top w:w="0" w:type="dxa"/>
              <w:left w:w="108" w:type="dxa"/>
              <w:bottom w:w="0" w:type="dxa"/>
              <w:right w:w="108" w:type="dxa"/>
            </w:tcMar>
            <w:hideMark/>
          </w:tcPr>
          <w:p w:rsidR="00E74171" w:rsidRPr="00602E7A" w:rsidRDefault="00E74171" w:rsidP="0016190B">
            <w:pPr>
              <w:jc w:val="both"/>
              <w:rPr>
                <w:rFonts w:ascii="Calibri" w:eastAsia="Calibri" w:hAnsi="Calibri" w:cs="Calibri"/>
                <w:b/>
                <w:bCs/>
                <w:color w:val="FFFFFF"/>
                <w:sz w:val="22"/>
                <w:szCs w:val="22"/>
                <w:lang w:val="en-ZA"/>
              </w:rPr>
            </w:pPr>
            <w:r w:rsidRPr="00602E7A">
              <w:rPr>
                <w:rFonts w:ascii="Calibri" w:eastAsia="Calibri" w:hAnsi="Calibri" w:cs="Calibri"/>
                <w:b/>
                <w:bCs/>
                <w:color w:val="FFFFFF"/>
                <w:sz w:val="22"/>
                <w:szCs w:val="22"/>
                <w:lang w:val="en-ZA"/>
              </w:rPr>
              <w:t>Brief description of matter</w:t>
            </w:r>
          </w:p>
        </w:tc>
      </w:tr>
      <w:tr w:rsidR="00E74171" w:rsidRPr="00602E7A" w:rsidTr="0016190B">
        <w:tc>
          <w:tcPr>
            <w:tcW w:w="44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1</w:t>
            </w:r>
          </w:p>
        </w:tc>
        <w:tc>
          <w:tcPr>
            <w:tcW w:w="168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0"/>
                <w:szCs w:val="20"/>
                <w:lang w:val="en-ZA"/>
              </w:rPr>
            </w:pPr>
            <w:r w:rsidRPr="00602E7A">
              <w:rPr>
                <w:rFonts w:ascii="Calibri" w:eastAsia="Calibri" w:hAnsi="Calibri" w:cs="Calibri"/>
                <w:sz w:val="22"/>
                <w:szCs w:val="22"/>
                <w:lang w:val="en-ZA"/>
              </w:rPr>
              <w:t>Piet Plessis CAS 04/09/2004</w:t>
            </w:r>
          </w:p>
        </w:tc>
        <w:tc>
          <w:tcPr>
            <w:tcW w:w="107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2004</w:t>
            </w:r>
          </w:p>
        </w:tc>
        <w:tc>
          <w:tcPr>
            <w:tcW w:w="1905"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To follow up with SAPS and NPA</w:t>
            </w:r>
          </w:p>
        </w:tc>
        <w:tc>
          <w:tcPr>
            <w:tcW w:w="510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The client created and submitted fictitious invoices to Land Bank for a production loan to the value of R100,000</w:t>
            </w:r>
          </w:p>
        </w:tc>
      </w:tr>
      <w:tr w:rsidR="00E74171" w:rsidRPr="00602E7A" w:rsidTr="0016190B">
        <w:tc>
          <w:tcPr>
            <w:tcW w:w="44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2</w:t>
            </w:r>
          </w:p>
        </w:tc>
        <w:tc>
          <w:tcPr>
            <w:tcW w:w="1681"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0"/>
                <w:szCs w:val="20"/>
                <w:lang w:val="en-ZA"/>
              </w:rPr>
            </w:pPr>
            <w:r w:rsidRPr="00602E7A">
              <w:rPr>
                <w:rFonts w:ascii="Calibri" w:eastAsia="Calibri" w:hAnsi="Calibri" w:cs="Calibri"/>
                <w:sz w:val="22"/>
                <w:szCs w:val="22"/>
                <w:lang w:val="en-ZA"/>
              </w:rPr>
              <w:t>Brooklyn Cas 451/10/2007</w:t>
            </w:r>
          </w:p>
        </w:tc>
        <w:tc>
          <w:tcPr>
            <w:tcW w:w="1071"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2007</w:t>
            </w:r>
          </w:p>
        </w:tc>
        <w:tc>
          <w:tcPr>
            <w:tcW w:w="1905"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To follow up with SAPS and NPA</w:t>
            </w:r>
          </w:p>
        </w:tc>
        <w:tc>
          <w:tcPr>
            <w:tcW w:w="5103"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Theft of Land Bank company assets by an employee. Value of assets unknown.</w:t>
            </w:r>
          </w:p>
        </w:tc>
      </w:tr>
      <w:tr w:rsidR="00E74171" w:rsidRPr="00602E7A" w:rsidTr="0016190B">
        <w:tc>
          <w:tcPr>
            <w:tcW w:w="44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3</w:t>
            </w:r>
          </w:p>
        </w:tc>
        <w:tc>
          <w:tcPr>
            <w:tcW w:w="168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0"/>
                <w:szCs w:val="20"/>
                <w:lang w:val="en-ZA"/>
              </w:rPr>
            </w:pPr>
            <w:r w:rsidRPr="00602E7A">
              <w:rPr>
                <w:rFonts w:ascii="Calibri" w:eastAsia="Calibri" w:hAnsi="Calibri" w:cs="Calibri"/>
                <w:sz w:val="20"/>
                <w:szCs w:val="20"/>
                <w:lang w:val="en-ZA"/>
              </w:rPr>
              <w:t>Brooklyn CAS 300/11/2008</w:t>
            </w:r>
          </w:p>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0"/>
                <w:szCs w:val="20"/>
                <w:lang w:val="en-ZA"/>
              </w:rPr>
              <w:t>(AgriBEE Fund)</w:t>
            </w:r>
          </w:p>
        </w:tc>
        <w:tc>
          <w:tcPr>
            <w:tcW w:w="107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2008</w:t>
            </w:r>
          </w:p>
        </w:tc>
        <w:tc>
          <w:tcPr>
            <w:tcW w:w="1905"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Currently in Court</w:t>
            </w:r>
          </w:p>
        </w:tc>
        <w:tc>
          <w:tcPr>
            <w:tcW w:w="510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Various grants were approved without following the correct procedures and on verbal instruction from the CEO of the Land</w:t>
            </w:r>
            <w:r>
              <w:rPr>
                <w:rFonts w:ascii="Calibri" w:eastAsia="Calibri" w:hAnsi="Calibri" w:cs="Calibri"/>
                <w:sz w:val="22"/>
                <w:szCs w:val="22"/>
                <w:lang w:val="en-ZA"/>
              </w:rPr>
              <w:t xml:space="preserve"> B</w:t>
            </w:r>
            <w:r w:rsidRPr="00602E7A">
              <w:rPr>
                <w:rFonts w:ascii="Calibri" w:eastAsia="Calibri" w:hAnsi="Calibri" w:cs="Calibri"/>
                <w:sz w:val="22"/>
                <w:szCs w:val="22"/>
                <w:lang w:val="en-ZA"/>
              </w:rPr>
              <w:t>ank. Total value approximately R26.5 million.</w:t>
            </w:r>
          </w:p>
        </w:tc>
      </w:tr>
      <w:tr w:rsidR="00E74171" w:rsidRPr="00602E7A" w:rsidTr="0016190B">
        <w:tc>
          <w:tcPr>
            <w:tcW w:w="44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4</w:t>
            </w:r>
          </w:p>
        </w:tc>
        <w:tc>
          <w:tcPr>
            <w:tcW w:w="1681"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Brooklyn CAS 84/06/2009</w:t>
            </w:r>
          </w:p>
        </w:tc>
        <w:tc>
          <w:tcPr>
            <w:tcW w:w="1071"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2009</w:t>
            </w:r>
          </w:p>
        </w:tc>
        <w:tc>
          <w:tcPr>
            <w:tcW w:w="1905"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To follow up with SAPS and NPA</w:t>
            </w:r>
          </w:p>
        </w:tc>
        <w:tc>
          <w:tcPr>
            <w:tcW w:w="5103"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 xml:space="preserve">Bills and Promissory notes were stolen from the Land Bank Head Officer and presented for payment at FNB Standerton to the amount of R1 million. </w:t>
            </w:r>
          </w:p>
        </w:tc>
      </w:tr>
      <w:tr w:rsidR="00E74171" w:rsidRPr="00602E7A" w:rsidTr="0016190B">
        <w:tc>
          <w:tcPr>
            <w:tcW w:w="441" w:type="dxa"/>
            <w:tcBorders>
              <w:top w:val="nil"/>
              <w:left w:val="single" w:sz="8" w:space="0" w:color="F4B083"/>
              <w:bottom w:val="single" w:sz="4" w:space="0" w:color="auto"/>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5</w:t>
            </w:r>
          </w:p>
        </w:tc>
        <w:tc>
          <w:tcPr>
            <w:tcW w:w="1681" w:type="dxa"/>
            <w:tcBorders>
              <w:top w:val="nil"/>
              <w:left w:val="nil"/>
              <w:bottom w:val="single" w:sz="4" w:space="0" w:color="auto"/>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0"/>
                <w:szCs w:val="20"/>
                <w:lang w:val="en-ZA"/>
              </w:rPr>
            </w:pPr>
            <w:r w:rsidRPr="00602E7A">
              <w:rPr>
                <w:rFonts w:ascii="Calibri" w:eastAsia="Calibri" w:hAnsi="Calibri" w:cs="Calibri"/>
                <w:sz w:val="22"/>
                <w:szCs w:val="22"/>
                <w:lang w:val="en-ZA"/>
              </w:rPr>
              <w:t>Brooklyn CAS 985/08/2009</w:t>
            </w:r>
          </w:p>
        </w:tc>
        <w:tc>
          <w:tcPr>
            <w:tcW w:w="1071" w:type="dxa"/>
            <w:tcBorders>
              <w:top w:val="nil"/>
              <w:left w:val="nil"/>
              <w:bottom w:val="single" w:sz="4" w:space="0" w:color="auto"/>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2009</w:t>
            </w:r>
          </w:p>
        </w:tc>
        <w:tc>
          <w:tcPr>
            <w:tcW w:w="1905" w:type="dxa"/>
            <w:tcBorders>
              <w:top w:val="nil"/>
              <w:left w:val="nil"/>
              <w:bottom w:val="single" w:sz="4" w:space="0" w:color="auto"/>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To follow up with SAPS and NPA</w:t>
            </w:r>
          </w:p>
        </w:tc>
        <w:tc>
          <w:tcPr>
            <w:tcW w:w="5103" w:type="dxa"/>
            <w:tcBorders>
              <w:top w:val="nil"/>
              <w:left w:val="nil"/>
              <w:bottom w:val="single" w:sz="4" w:space="0" w:color="auto"/>
              <w:right w:val="single" w:sz="8" w:space="0" w:color="F4B083"/>
            </w:tcBorders>
            <w:shd w:val="clear" w:color="auto" w:fill="FBE4D5"/>
            <w:tcMar>
              <w:top w:w="0" w:type="dxa"/>
              <w:left w:w="108" w:type="dxa"/>
              <w:bottom w:w="0" w:type="dxa"/>
              <w:right w:w="108" w:type="dxa"/>
            </w:tcMar>
            <w:hideMark/>
          </w:tcPr>
          <w:p w:rsidR="00E74171"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A Land Bank client failed to disclose in a loan application that he had been previously sequestrated. The same client submitted fictitious invoices to Land Bank to facilitate disbursement of the loan. A loan to the value of R450,000 was granted to the client.</w:t>
            </w:r>
          </w:p>
          <w:p w:rsidR="00E74171" w:rsidRPr="00602E7A" w:rsidRDefault="00E74171" w:rsidP="0016190B">
            <w:pPr>
              <w:jc w:val="both"/>
              <w:rPr>
                <w:rFonts w:ascii="Calibri" w:eastAsia="Calibri" w:hAnsi="Calibri" w:cs="Calibri"/>
                <w:sz w:val="22"/>
                <w:szCs w:val="22"/>
                <w:lang w:val="en-ZA"/>
              </w:rPr>
            </w:pPr>
          </w:p>
        </w:tc>
      </w:tr>
      <w:tr w:rsidR="00E74171" w:rsidRPr="00602E7A" w:rsidTr="0016190B">
        <w:tc>
          <w:tcPr>
            <w:tcW w:w="441" w:type="dxa"/>
            <w:tcBorders>
              <w:top w:val="single" w:sz="4" w:space="0" w:color="auto"/>
              <w:left w:val="single" w:sz="8" w:space="0" w:color="F4B083"/>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6</w:t>
            </w:r>
          </w:p>
        </w:tc>
        <w:tc>
          <w:tcPr>
            <w:tcW w:w="1681" w:type="dxa"/>
            <w:tcBorders>
              <w:top w:val="single" w:sz="4" w:space="0" w:color="auto"/>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Brooklyn CAS 986/08/2009</w:t>
            </w:r>
          </w:p>
        </w:tc>
        <w:tc>
          <w:tcPr>
            <w:tcW w:w="1071" w:type="dxa"/>
            <w:tcBorders>
              <w:top w:val="single" w:sz="4" w:space="0" w:color="auto"/>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2009</w:t>
            </w:r>
          </w:p>
        </w:tc>
        <w:tc>
          <w:tcPr>
            <w:tcW w:w="1905" w:type="dxa"/>
            <w:tcBorders>
              <w:top w:val="single" w:sz="4" w:space="0" w:color="auto"/>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To follow up with SAPS and NPA</w:t>
            </w:r>
          </w:p>
        </w:tc>
        <w:tc>
          <w:tcPr>
            <w:tcW w:w="5103" w:type="dxa"/>
            <w:tcBorders>
              <w:top w:val="single" w:sz="4" w:space="0" w:color="auto"/>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Client provided false information and documentation in support of a loan application. Client utilised the loan to pay off existing debt and not purchase livestock as stated in the loan application. Client further submitted fictitious invoices in order to facilitate payment of the loan. Value of the loan R500,000</w:t>
            </w:r>
          </w:p>
        </w:tc>
      </w:tr>
      <w:tr w:rsidR="00E74171" w:rsidRPr="00602E7A" w:rsidTr="0016190B">
        <w:tc>
          <w:tcPr>
            <w:tcW w:w="44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7</w:t>
            </w:r>
          </w:p>
        </w:tc>
        <w:tc>
          <w:tcPr>
            <w:tcW w:w="168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Brooklyn CAS 987/08/2009</w:t>
            </w:r>
          </w:p>
        </w:tc>
        <w:tc>
          <w:tcPr>
            <w:tcW w:w="107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2009</w:t>
            </w:r>
          </w:p>
        </w:tc>
        <w:tc>
          <w:tcPr>
            <w:tcW w:w="1905"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To follow up with SAPS and NPA</w:t>
            </w:r>
          </w:p>
        </w:tc>
        <w:tc>
          <w:tcPr>
            <w:tcW w:w="510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Client disposed of assets which Land Bank held as security in the form of notarial bonds over. Furthermore, the client represented to Land Bank that he owned certain property, which resulted in a notarial bond registered over said property, whilst this was not the case.</w:t>
            </w:r>
          </w:p>
        </w:tc>
      </w:tr>
      <w:tr w:rsidR="00E74171" w:rsidRPr="00602E7A" w:rsidTr="0016190B">
        <w:tc>
          <w:tcPr>
            <w:tcW w:w="44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8</w:t>
            </w:r>
          </w:p>
        </w:tc>
        <w:tc>
          <w:tcPr>
            <w:tcW w:w="1681"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0"/>
                <w:szCs w:val="20"/>
                <w:lang w:val="en-ZA"/>
              </w:rPr>
            </w:pPr>
            <w:r w:rsidRPr="00602E7A">
              <w:rPr>
                <w:rFonts w:ascii="Calibri" w:eastAsia="Calibri" w:hAnsi="Calibri" w:cs="Calibri"/>
                <w:sz w:val="20"/>
                <w:szCs w:val="20"/>
                <w:lang w:val="en-ZA"/>
              </w:rPr>
              <w:t>Brooklyn CAS 431/08/2011</w:t>
            </w:r>
          </w:p>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0"/>
                <w:szCs w:val="20"/>
                <w:lang w:val="en-ZA"/>
              </w:rPr>
              <w:t>(AgriBEE Fund)</w:t>
            </w:r>
          </w:p>
        </w:tc>
        <w:tc>
          <w:tcPr>
            <w:tcW w:w="1071"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2011</w:t>
            </w:r>
          </w:p>
        </w:tc>
        <w:tc>
          <w:tcPr>
            <w:tcW w:w="1905"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Currently in Court</w:t>
            </w:r>
          </w:p>
        </w:tc>
        <w:tc>
          <w:tcPr>
            <w:tcW w:w="5103"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An employee of the National Department of Agriculture and the fund manager of the   AgriBEE fund approached a recipient of an AgriBEE grant and convinced him to deposit R2 million into a trust account of an attorney in Witbank, stating that the funds was for another AgriBEE project.  The attorneys received R100,000 as fees and the remainder was split between the employee of the National Department of Agriculture and the AgriBEE fund manager.</w:t>
            </w:r>
          </w:p>
        </w:tc>
      </w:tr>
      <w:tr w:rsidR="00E74171" w:rsidRPr="00602E7A" w:rsidTr="0016190B">
        <w:tc>
          <w:tcPr>
            <w:tcW w:w="44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9</w:t>
            </w:r>
          </w:p>
        </w:tc>
        <w:tc>
          <w:tcPr>
            <w:tcW w:w="168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0"/>
                <w:szCs w:val="20"/>
                <w:lang w:val="en-ZA"/>
              </w:rPr>
            </w:pPr>
            <w:r w:rsidRPr="00602E7A">
              <w:rPr>
                <w:rFonts w:ascii="Calibri" w:eastAsia="Calibri" w:hAnsi="Calibri" w:cs="Calibri"/>
                <w:sz w:val="20"/>
                <w:szCs w:val="20"/>
                <w:lang w:val="en-ZA"/>
              </w:rPr>
              <w:t>Brooklyn CAS 544/09/2012</w:t>
            </w:r>
          </w:p>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0"/>
                <w:szCs w:val="20"/>
                <w:lang w:val="en-ZA"/>
              </w:rPr>
              <w:t>(AgriBEE Fund)</w:t>
            </w:r>
          </w:p>
        </w:tc>
        <w:tc>
          <w:tcPr>
            <w:tcW w:w="107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2012</w:t>
            </w:r>
          </w:p>
        </w:tc>
        <w:tc>
          <w:tcPr>
            <w:tcW w:w="1905"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Accused found guilty</w:t>
            </w:r>
          </w:p>
        </w:tc>
        <w:tc>
          <w:tcPr>
            <w:tcW w:w="510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A grant of R6 million was paid to an entity on the verbal instruction of the CEO of the Landbank, and the correct procedures was not followed in approving this grant.  The previous Chairperson of the Portfolio Committee of Agriculture in Parliament was one of the individuals that personally benefitted from this grant.</w:t>
            </w:r>
          </w:p>
          <w:p w:rsidR="00E74171" w:rsidRPr="00602E7A" w:rsidRDefault="00E74171" w:rsidP="0016190B">
            <w:pPr>
              <w:jc w:val="both"/>
              <w:rPr>
                <w:rFonts w:ascii="Calibri" w:eastAsia="Calibri" w:hAnsi="Calibri" w:cs="Calibri"/>
                <w:sz w:val="22"/>
                <w:szCs w:val="22"/>
                <w:lang w:val="en-ZA"/>
              </w:rPr>
            </w:pPr>
          </w:p>
        </w:tc>
      </w:tr>
      <w:tr w:rsidR="00E74171" w:rsidRPr="00602E7A" w:rsidTr="0016190B">
        <w:tc>
          <w:tcPr>
            <w:tcW w:w="441"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10</w:t>
            </w:r>
          </w:p>
        </w:tc>
        <w:tc>
          <w:tcPr>
            <w:tcW w:w="1681"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0"/>
                <w:szCs w:val="20"/>
                <w:lang w:val="en-ZA"/>
              </w:rPr>
            </w:pPr>
            <w:r w:rsidRPr="00602E7A">
              <w:rPr>
                <w:rFonts w:ascii="Calibri" w:eastAsia="Calibri" w:hAnsi="Calibri" w:cs="Calibri"/>
                <w:sz w:val="20"/>
                <w:szCs w:val="20"/>
                <w:lang w:val="en-ZA"/>
              </w:rPr>
              <w:t>Brooklyn CAS 884/07/2013</w:t>
            </w:r>
          </w:p>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0"/>
                <w:szCs w:val="20"/>
                <w:lang w:val="en-ZA"/>
              </w:rPr>
              <w:t>(AgriBEE Fund)</w:t>
            </w:r>
          </w:p>
        </w:tc>
        <w:tc>
          <w:tcPr>
            <w:tcW w:w="1071"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2013</w:t>
            </w:r>
          </w:p>
        </w:tc>
        <w:tc>
          <w:tcPr>
            <w:tcW w:w="1905"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Docket with prosecutor for decision to prosecute</w:t>
            </w:r>
          </w:p>
        </w:tc>
        <w:tc>
          <w:tcPr>
            <w:tcW w:w="5103" w:type="dxa"/>
            <w:tcBorders>
              <w:top w:val="nil"/>
              <w:left w:val="nil"/>
              <w:bottom w:val="single" w:sz="8" w:space="0" w:color="F4B083"/>
              <w:right w:val="single" w:sz="8" w:space="0" w:color="F4B083"/>
            </w:tcBorders>
            <w:tcMar>
              <w:top w:w="0" w:type="dxa"/>
              <w:left w:w="108" w:type="dxa"/>
              <w:bottom w:w="0" w:type="dxa"/>
              <w:right w:w="108" w:type="dxa"/>
            </w:tcMar>
            <w:hideMark/>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Two entities received a total of R10,8 million as grants from the AgriBEE on verbal instruction from the CEO of the Landbank and the special advisor to the Minister of Agriculture.  The correct procedures were not followed in approving these grants.</w:t>
            </w:r>
            <w:r w:rsidRPr="00602E7A">
              <w:rPr>
                <w:rFonts w:ascii="Arial" w:eastAsia="Calibri" w:hAnsi="Arial" w:cs="Arial"/>
                <w:sz w:val="22"/>
                <w:szCs w:val="22"/>
                <w:lang w:val="en-ZA"/>
              </w:rPr>
              <w:t xml:space="preserve">  </w:t>
            </w:r>
          </w:p>
        </w:tc>
      </w:tr>
      <w:tr w:rsidR="00E74171" w:rsidRPr="00602E7A" w:rsidTr="0016190B">
        <w:tc>
          <w:tcPr>
            <w:tcW w:w="441"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b/>
                <w:bCs/>
                <w:sz w:val="22"/>
                <w:szCs w:val="22"/>
                <w:lang w:val="en-ZA"/>
              </w:rPr>
            </w:pPr>
            <w:r w:rsidRPr="00602E7A">
              <w:rPr>
                <w:rFonts w:ascii="Calibri" w:eastAsia="Calibri" w:hAnsi="Calibri" w:cs="Calibri"/>
                <w:b/>
                <w:bCs/>
                <w:sz w:val="22"/>
                <w:szCs w:val="22"/>
                <w:lang w:val="en-ZA"/>
              </w:rPr>
              <w:t>11</w:t>
            </w:r>
          </w:p>
        </w:tc>
        <w:tc>
          <w:tcPr>
            <w:tcW w:w="168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Durbanville Case 420/09/2017</w:t>
            </w:r>
          </w:p>
        </w:tc>
        <w:tc>
          <w:tcPr>
            <w:tcW w:w="1071"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2017</w:t>
            </w:r>
          </w:p>
        </w:tc>
        <w:tc>
          <w:tcPr>
            <w:tcW w:w="1905"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rPr>
                <w:rFonts w:ascii="Calibri" w:eastAsia="Calibri" w:hAnsi="Calibri" w:cs="Calibri"/>
                <w:sz w:val="22"/>
                <w:szCs w:val="22"/>
                <w:lang w:val="en-ZA"/>
              </w:rPr>
            </w:pPr>
            <w:r w:rsidRPr="00602E7A">
              <w:rPr>
                <w:rFonts w:ascii="Calibri" w:eastAsia="Calibri" w:hAnsi="Calibri" w:cs="Calibri"/>
                <w:sz w:val="22"/>
                <w:szCs w:val="22"/>
                <w:lang w:val="en-ZA"/>
              </w:rPr>
              <w:t>Still under investigation by SAPS</w:t>
            </w:r>
          </w:p>
        </w:tc>
        <w:tc>
          <w:tcPr>
            <w:tcW w:w="510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E74171" w:rsidRPr="00602E7A" w:rsidRDefault="00E74171" w:rsidP="0016190B">
            <w:pPr>
              <w:jc w:val="both"/>
              <w:rPr>
                <w:rFonts w:ascii="Calibri" w:eastAsia="Calibri" w:hAnsi="Calibri" w:cs="Calibri"/>
                <w:sz w:val="22"/>
                <w:szCs w:val="22"/>
                <w:lang w:val="en-ZA"/>
              </w:rPr>
            </w:pPr>
            <w:r w:rsidRPr="00602E7A">
              <w:rPr>
                <w:rFonts w:ascii="Calibri" w:eastAsia="Calibri" w:hAnsi="Calibri" w:cs="Calibri"/>
                <w:sz w:val="22"/>
                <w:szCs w:val="22"/>
                <w:lang w:val="en-ZA"/>
              </w:rPr>
              <w:t>Client submitted fraudulent documentation in support of a loan application. Value of the loan was R1.1 million.</w:t>
            </w:r>
          </w:p>
        </w:tc>
      </w:tr>
    </w:tbl>
    <w:p w:rsidR="00E74171" w:rsidRDefault="00E74171" w:rsidP="00E74171">
      <w:pPr>
        <w:rPr>
          <w:rFonts w:ascii="Arial" w:hAnsi="Arial" w:cs="Arial"/>
          <w:b/>
          <w:sz w:val="22"/>
          <w:szCs w:val="22"/>
        </w:rPr>
      </w:pPr>
    </w:p>
    <w:p w:rsidR="000B1C23" w:rsidRDefault="000B1C23"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FAIS OMBUD</w:t>
      </w:r>
    </w:p>
    <w:p w:rsidR="000B1C23" w:rsidRDefault="000B1C23" w:rsidP="000B1C23">
      <w:pPr>
        <w:rPr>
          <w:rFonts w:ascii="Arial" w:hAnsi="Arial" w:cs="Arial"/>
          <w:b/>
          <w:sz w:val="22"/>
          <w:szCs w:val="22"/>
        </w:rPr>
      </w:pPr>
    </w:p>
    <w:p w:rsidR="00D95E6F" w:rsidRPr="00D95E6F" w:rsidRDefault="00D95E6F" w:rsidP="000B1C23">
      <w:pPr>
        <w:rPr>
          <w:rFonts w:ascii="Arial" w:hAnsi="Arial" w:cs="Arial"/>
          <w:sz w:val="22"/>
          <w:szCs w:val="22"/>
        </w:rPr>
      </w:pPr>
      <w:r>
        <w:rPr>
          <w:rFonts w:ascii="Arial" w:hAnsi="Arial" w:cs="Arial"/>
          <w:sz w:val="22"/>
          <w:szCs w:val="22"/>
        </w:rPr>
        <w:t>There have been breaches of policy, including breach of the Supply Chain Management Policy on one isolated incident, but in neither of the instances where there were such policy breaches, these</w:t>
      </w:r>
      <w:r w:rsidRPr="00D95E6F">
        <w:rPr>
          <w:rFonts w:ascii="Arial" w:hAnsi="Arial" w:cs="Arial"/>
          <w:sz w:val="22"/>
          <w:szCs w:val="22"/>
        </w:rPr>
        <w:t xml:space="preserve"> </w:t>
      </w:r>
      <w:r>
        <w:rPr>
          <w:rFonts w:ascii="Arial" w:hAnsi="Arial" w:cs="Arial"/>
          <w:sz w:val="22"/>
          <w:szCs w:val="22"/>
        </w:rPr>
        <w:t xml:space="preserve">were found to fall within the parameters of the Prevention and Combating of Corrupt Activities Act, Act 12 of 2004. In this regard, </w:t>
      </w:r>
      <w:r w:rsidRPr="00D95E6F">
        <w:rPr>
          <w:rFonts w:ascii="Arial" w:hAnsi="Arial" w:cs="Arial"/>
          <w:sz w:val="22"/>
          <w:szCs w:val="22"/>
          <w:u w:val="single"/>
        </w:rPr>
        <w:t>there were no cases reported nor pending before any of the mentioned law enforcement institutions.</w:t>
      </w:r>
      <w:r>
        <w:rPr>
          <w:rFonts w:ascii="Arial" w:hAnsi="Arial" w:cs="Arial"/>
          <w:sz w:val="22"/>
          <w:szCs w:val="22"/>
        </w:rPr>
        <w:t xml:space="preserve"> </w:t>
      </w:r>
    </w:p>
    <w:p w:rsidR="0065230A" w:rsidRDefault="0065230A" w:rsidP="000B1C23">
      <w:pPr>
        <w:pBdr>
          <w:bottom w:val="single" w:sz="6" w:space="1" w:color="auto"/>
        </w:pBdr>
        <w:rPr>
          <w:rFonts w:ascii="Arial" w:hAnsi="Arial" w:cs="Arial"/>
          <w:sz w:val="22"/>
          <w:szCs w:val="22"/>
        </w:rPr>
      </w:pPr>
    </w:p>
    <w:p w:rsidR="0065230A" w:rsidRDefault="0065230A"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E74171" w:rsidP="000B1C23">
      <w:pPr>
        <w:rPr>
          <w:rFonts w:ascii="Arial" w:hAnsi="Arial" w:cs="Arial"/>
          <w:b/>
          <w:sz w:val="22"/>
          <w:szCs w:val="22"/>
        </w:rPr>
      </w:pPr>
      <w:r>
        <w:rPr>
          <w:rFonts w:ascii="Arial" w:hAnsi="Arial" w:cs="Arial"/>
          <w:b/>
          <w:sz w:val="22"/>
          <w:szCs w:val="22"/>
        </w:rPr>
        <w:t>PFA</w:t>
      </w:r>
    </w:p>
    <w:p w:rsidR="00E74171" w:rsidRDefault="00E74171" w:rsidP="000B1C23">
      <w:pPr>
        <w:rPr>
          <w:rFonts w:ascii="Arial" w:hAnsi="Arial" w:cs="Arial"/>
          <w:b/>
          <w:sz w:val="22"/>
          <w:szCs w:val="22"/>
        </w:rPr>
      </w:pPr>
    </w:p>
    <w:p w:rsidR="00E74171" w:rsidRDefault="00E74171" w:rsidP="000B1C23">
      <w:pPr>
        <w:rPr>
          <w:rFonts w:ascii="Arial" w:hAnsi="Arial" w:cs="Arial"/>
          <w:sz w:val="22"/>
          <w:szCs w:val="22"/>
        </w:rPr>
      </w:pPr>
      <w:r>
        <w:rPr>
          <w:rFonts w:ascii="Arial" w:hAnsi="Arial" w:cs="Arial"/>
          <w:sz w:val="22"/>
          <w:szCs w:val="22"/>
        </w:rPr>
        <w:t xml:space="preserve">The Office of the Pension Funds Adjudicator has not referred any cases relation to the Prevention and Combatting of Corrupt Activities Act, 12 of 2004 to the South African Police Service and / or the Directorate for Priority Crime Investigation. </w:t>
      </w:r>
    </w:p>
    <w:p w:rsidR="00E74171" w:rsidRPr="00E74171" w:rsidRDefault="00E74171" w:rsidP="000B1C23">
      <w:pPr>
        <w:rPr>
          <w:rFonts w:ascii="Arial" w:hAnsi="Arial" w:cs="Arial"/>
          <w:sz w:val="22"/>
          <w:szCs w:val="22"/>
        </w:rPr>
      </w:pPr>
    </w:p>
    <w:p w:rsidR="00E74171" w:rsidRDefault="00E74171" w:rsidP="000B1C23">
      <w:pPr>
        <w:pBdr>
          <w:bottom w:val="single" w:sz="6" w:space="1" w:color="auto"/>
        </w:pBdr>
        <w:rPr>
          <w:rFonts w:ascii="Arial" w:hAnsi="Arial" w:cs="Arial"/>
          <w:b/>
          <w:sz w:val="22"/>
          <w:szCs w:val="22"/>
        </w:rPr>
      </w:pPr>
    </w:p>
    <w:p w:rsidR="00E74171" w:rsidRDefault="00E74171" w:rsidP="000B1C23">
      <w:pPr>
        <w:rPr>
          <w:rFonts w:ascii="Arial" w:hAnsi="Arial" w:cs="Arial"/>
          <w:b/>
          <w:sz w:val="22"/>
          <w:szCs w:val="22"/>
        </w:rPr>
      </w:pPr>
    </w:p>
    <w:p w:rsidR="000B1C23" w:rsidRPr="00695CE9" w:rsidRDefault="000B1C23" w:rsidP="000B1C23">
      <w:pPr>
        <w:rPr>
          <w:rFonts w:ascii="Arial" w:hAnsi="Arial" w:cs="Arial"/>
          <w:b/>
          <w:sz w:val="22"/>
          <w:szCs w:val="22"/>
        </w:rPr>
      </w:pPr>
      <w:r w:rsidRPr="00695CE9">
        <w:rPr>
          <w:rFonts w:ascii="Arial" w:hAnsi="Arial" w:cs="Arial"/>
          <w:b/>
          <w:sz w:val="22"/>
          <w:szCs w:val="22"/>
        </w:rPr>
        <w:t>PIC</w:t>
      </w:r>
    </w:p>
    <w:p w:rsidR="00695CE9" w:rsidRDefault="00695CE9" w:rsidP="00695CE9">
      <w:pPr>
        <w:pStyle w:val="BodyTextIndent"/>
        <w:tabs>
          <w:tab w:val="clear" w:pos="864"/>
        </w:tabs>
        <w:spacing w:line="276" w:lineRule="auto"/>
        <w:ind w:left="1437" w:hanging="728"/>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No cases relating to the PIC have been referred to the South African Police Service (SAPS) or the Directorate for Priority Crime Investigation (DPCI), in terms of </w:t>
      </w:r>
      <w:r w:rsidRPr="001735E5">
        <w:rPr>
          <w:rFonts w:ascii="Arial" w:hAnsi="Arial" w:cs="Arial"/>
          <w:sz w:val="22"/>
          <w:szCs w:val="22"/>
        </w:rPr>
        <w:t>the Prevention and Combating of Corrupt Activitie</w:t>
      </w:r>
      <w:r>
        <w:rPr>
          <w:rFonts w:ascii="Arial" w:hAnsi="Arial" w:cs="Arial"/>
          <w:sz w:val="22"/>
          <w:szCs w:val="22"/>
        </w:rPr>
        <w:t xml:space="preserve">s Act, 2004 (Act No 12 of 2004). </w:t>
      </w:r>
    </w:p>
    <w:p w:rsidR="00695CE9" w:rsidRDefault="00695CE9" w:rsidP="00695CE9">
      <w:pPr>
        <w:pStyle w:val="BodyTextIndent"/>
        <w:tabs>
          <w:tab w:val="clear" w:pos="864"/>
        </w:tabs>
        <w:spacing w:line="276" w:lineRule="auto"/>
        <w:ind w:left="1437" w:hanging="728"/>
        <w:jc w:val="both"/>
        <w:rPr>
          <w:rFonts w:ascii="Arial" w:hAnsi="Arial" w:cs="Arial"/>
          <w:sz w:val="22"/>
          <w:szCs w:val="22"/>
        </w:rPr>
      </w:pPr>
    </w:p>
    <w:p w:rsidR="00695CE9" w:rsidRDefault="00695CE9" w:rsidP="00695CE9">
      <w:pPr>
        <w:pStyle w:val="BodyTextIndent"/>
        <w:tabs>
          <w:tab w:val="clear" w:pos="864"/>
        </w:tabs>
        <w:spacing w:line="276" w:lineRule="auto"/>
        <w:ind w:left="1437" w:hanging="728"/>
        <w:jc w:val="both"/>
        <w:rPr>
          <w:rFonts w:ascii="Arial" w:hAnsi="Arial" w:cs="Arial"/>
          <w:sz w:val="22"/>
          <w:szCs w:val="22"/>
        </w:rPr>
      </w:pPr>
      <w:r>
        <w:rPr>
          <w:rFonts w:ascii="Arial" w:hAnsi="Arial" w:cs="Arial"/>
          <w:sz w:val="22"/>
          <w:szCs w:val="22"/>
        </w:rPr>
        <w:tab/>
        <w:t xml:space="preserve">It should, however, be pointed out that a disgruntled employee laid charges of corruption against the Chief Executive Officer of the PIC, albeit that these charges were not specifically laid under the legislation referred to above.  These charges pertain to a matter that was investigated thoroughly by the Board of the PIC.  The Board of the PIC found these charges to be baseless and expressed its full confidence in the CEO. </w:t>
      </w:r>
    </w:p>
    <w:p w:rsidR="00695CE9" w:rsidRDefault="00695CE9" w:rsidP="00695CE9">
      <w:pPr>
        <w:pStyle w:val="BodyTextIndent"/>
        <w:tabs>
          <w:tab w:val="clear" w:pos="864"/>
        </w:tabs>
        <w:spacing w:line="276" w:lineRule="auto"/>
        <w:ind w:left="1437" w:hanging="728"/>
        <w:jc w:val="both"/>
        <w:rPr>
          <w:rFonts w:ascii="Arial" w:hAnsi="Arial" w:cs="Arial"/>
          <w:sz w:val="22"/>
          <w:szCs w:val="22"/>
        </w:rPr>
      </w:pPr>
    </w:p>
    <w:p w:rsidR="00695CE9" w:rsidRPr="00CF5D8B" w:rsidRDefault="00695CE9" w:rsidP="00695CE9">
      <w:pPr>
        <w:pStyle w:val="BodyTextIndent"/>
        <w:tabs>
          <w:tab w:val="clear" w:pos="864"/>
        </w:tabs>
        <w:spacing w:line="276" w:lineRule="auto"/>
        <w:ind w:left="1437" w:hanging="728"/>
        <w:jc w:val="both"/>
        <w:rPr>
          <w:rFonts w:ascii="Arial" w:hAnsi="Arial" w:cs="Arial"/>
          <w:sz w:val="22"/>
          <w:szCs w:val="22"/>
        </w:rPr>
      </w:pPr>
      <w:r>
        <w:rPr>
          <w:rFonts w:ascii="Arial" w:hAnsi="Arial" w:cs="Arial"/>
          <w:sz w:val="22"/>
          <w:szCs w:val="22"/>
        </w:rPr>
        <w:t>(b)</w:t>
      </w:r>
      <w:r>
        <w:rPr>
          <w:rFonts w:ascii="Arial" w:hAnsi="Arial" w:cs="Arial"/>
          <w:sz w:val="22"/>
          <w:szCs w:val="22"/>
        </w:rPr>
        <w:tab/>
        <w:t>The rest of the question falls away.</w:t>
      </w:r>
    </w:p>
    <w:p w:rsidR="0065230A" w:rsidRDefault="0065230A" w:rsidP="000B1C23">
      <w:pPr>
        <w:pBdr>
          <w:bottom w:val="single" w:sz="6" w:space="1" w:color="auto"/>
        </w:pBdr>
        <w:rPr>
          <w:rFonts w:ascii="Arial" w:hAnsi="Arial" w:cs="Arial"/>
          <w:sz w:val="22"/>
          <w:szCs w:val="22"/>
        </w:rPr>
      </w:pPr>
    </w:p>
    <w:p w:rsidR="0065230A" w:rsidRDefault="0065230A" w:rsidP="000B1C23">
      <w:pPr>
        <w:pBdr>
          <w:bottom w:val="single" w:sz="6" w:space="1" w:color="auto"/>
        </w:pBdr>
        <w:rPr>
          <w:rFonts w:ascii="Arial" w:hAnsi="Arial" w:cs="Arial"/>
          <w:b/>
          <w:sz w:val="22"/>
          <w:szCs w:val="22"/>
        </w:rPr>
      </w:pPr>
    </w:p>
    <w:p w:rsidR="000B1C23" w:rsidRDefault="000B1C23" w:rsidP="001B0917">
      <w:pPr>
        <w:tabs>
          <w:tab w:val="left" w:pos="432"/>
          <w:tab w:val="left" w:pos="864"/>
        </w:tabs>
        <w:spacing w:line="276" w:lineRule="auto"/>
        <w:rPr>
          <w:rFonts w:ascii="Arial" w:hAnsi="Arial" w:cs="Arial"/>
          <w:b/>
          <w:sz w:val="22"/>
          <w:szCs w:val="22"/>
          <w:u w:val="single"/>
        </w:rPr>
      </w:pPr>
    </w:p>
    <w:p w:rsidR="000B1C23" w:rsidRDefault="000B1C23" w:rsidP="000B1C23">
      <w:pPr>
        <w:rPr>
          <w:rFonts w:ascii="Arial" w:hAnsi="Arial" w:cs="Arial"/>
          <w:b/>
          <w:sz w:val="22"/>
          <w:szCs w:val="22"/>
        </w:rPr>
      </w:pPr>
      <w:r>
        <w:rPr>
          <w:rFonts w:ascii="Arial" w:hAnsi="Arial" w:cs="Arial"/>
          <w:b/>
          <w:sz w:val="22"/>
          <w:szCs w:val="22"/>
        </w:rPr>
        <w:t>SAA</w:t>
      </w: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p>
    <w:tbl>
      <w:tblPr>
        <w:tblStyle w:val="TableGrid"/>
        <w:tblW w:w="9486" w:type="dxa"/>
        <w:tblInd w:w="432" w:type="dxa"/>
        <w:tblLook w:val="04A0" w:firstRow="1" w:lastRow="0" w:firstColumn="1" w:lastColumn="0" w:noHBand="0" w:noVBand="1"/>
      </w:tblPr>
      <w:tblGrid>
        <w:gridCol w:w="4099"/>
        <w:gridCol w:w="2835"/>
        <w:gridCol w:w="2552"/>
      </w:tblGrid>
      <w:tr w:rsidR="00E74171" w:rsidRPr="00901C60" w:rsidTr="0016190B">
        <w:tc>
          <w:tcPr>
            <w:tcW w:w="9486" w:type="dxa"/>
            <w:gridSpan w:val="3"/>
          </w:tcPr>
          <w:p w:rsidR="00E74171" w:rsidRPr="00901C60" w:rsidRDefault="00E74171" w:rsidP="0016190B">
            <w:pPr>
              <w:pStyle w:val="BodyTextIndent"/>
              <w:tabs>
                <w:tab w:val="clear" w:pos="432"/>
                <w:tab w:val="left" w:pos="0"/>
              </w:tabs>
              <w:spacing w:line="240" w:lineRule="auto"/>
              <w:ind w:left="0" w:firstLine="0"/>
              <w:contextualSpacing/>
              <w:jc w:val="both"/>
              <w:rPr>
                <w:rFonts w:ascii="Arial" w:hAnsi="Arial" w:cs="Arial"/>
                <w:b/>
                <w:color w:val="2F5496"/>
                <w:sz w:val="22"/>
                <w:szCs w:val="22"/>
              </w:rPr>
            </w:pPr>
            <w:r w:rsidRPr="00901C60">
              <w:rPr>
                <w:rFonts w:ascii="Arial" w:eastAsia="Calibri" w:hAnsi="Arial" w:cs="Arial"/>
                <w:b/>
                <w:color w:val="000000"/>
                <w:sz w:val="22"/>
                <w:szCs w:val="22"/>
                <w:lang w:val="en-ZA" w:eastAsia="en-ZA"/>
              </w:rPr>
              <w:t>Cases relating to the Prevention and Combating of Corrupt Activities Act, Act 12 of 2004</w:t>
            </w:r>
          </w:p>
        </w:tc>
      </w:tr>
      <w:tr w:rsidR="00E74171" w:rsidTr="0016190B">
        <w:tc>
          <w:tcPr>
            <w:tcW w:w="4099" w:type="dxa"/>
          </w:tcPr>
          <w:p w:rsidR="00E74171" w:rsidRPr="00D30096" w:rsidRDefault="00E74171" w:rsidP="0016190B">
            <w:pPr>
              <w:pStyle w:val="BodyTextIndent"/>
              <w:tabs>
                <w:tab w:val="clear" w:pos="432"/>
                <w:tab w:val="left" w:pos="0"/>
              </w:tabs>
              <w:spacing w:line="240" w:lineRule="auto"/>
              <w:ind w:left="0" w:firstLine="0"/>
              <w:contextualSpacing/>
              <w:jc w:val="both"/>
              <w:rPr>
                <w:rFonts w:ascii="Arial" w:hAnsi="Arial" w:cs="Arial"/>
                <w:b/>
                <w:sz w:val="22"/>
                <w:szCs w:val="22"/>
              </w:rPr>
            </w:pPr>
          </w:p>
        </w:tc>
        <w:tc>
          <w:tcPr>
            <w:tcW w:w="2835" w:type="dxa"/>
          </w:tcPr>
          <w:p w:rsidR="00E74171" w:rsidRPr="00D30096" w:rsidRDefault="00E74171" w:rsidP="0016190B">
            <w:pPr>
              <w:pStyle w:val="BodyTextIndent"/>
              <w:tabs>
                <w:tab w:val="clear" w:pos="432"/>
                <w:tab w:val="left" w:pos="0"/>
              </w:tabs>
              <w:spacing w:line="240" w:lineRule="auto"/>
              <w:ind w:left="0" w:firstLine="0"/>
              <w:contextualSpacing/>
              <w:jc w:val="both"/>
              <w:rPr>
                <w:rFonts w:ascii="Arial" w:hAnsi="Arial" w:cs="Arial"/>
                <w:b/>
                <w:sz w:val="22"/>
                <w:szCs w:val="22"/>
              </w:rPr>
            </w:pPr>
            <w:r w:rsidRPr="00D30096">
              <w:rPr>
                <w:rFonts w:ascii="Arial" w:hAnsi="Arial" w:cs="Arial"/>
                <w:color w:val="2F5496"/>
                <w:sz w:val="22"/>
                <w:szCs w:val="22"/>
              </w:rPr>
              <w:t>SA Police Service</w:t>
            </w:r>
          </w:p>
        </w:tc>
        <w:tc>
          <w:tcPr>
            <w:tcW w:w="2552" w:type="dxa"/>
          </w:tcPr>
          <w:p w:rsidR="00E74171" w:rsidRPr="00D30096" w:rsidRDefault="00E74171" w:rsidP="0016190B">
            <w:pPr>
              <w:pStyle w:val="BodyTextIndent"/>
              <w:tabs>
                <w:tab w:val="clear" w:pos="432"/>
                <w:tab w:val="left" w:pos="0"/>
              </w:tabs>
              <w:spacing w:line="240" w:lineRule="auto"/>
              <w:ind w:left="0" w:firstLine="0"/>
              <w:contextualSpacing/>
              <w:jc w:val="both"/>
              <w:rPr>
                <w:rFonts w:ascii="Arial" w:hAnsi="Arial" w:cs="Arial"/>
                <w:b/>
                <w:sz w:val="22"/>
                <w:szCs w:val="22"/>
              </w:rPr>
            </w:pPr>
            <w:r w:rsidRPr="00D30096">
              <w:rPr>
                <w:rFonts w:ascii="Arial" w:hAnsi="Arial" w:cs="Arial"/>
                <w:color w:val="2F5496"/>
                <w:sz w:val="22"/>
                <w:szCs w:val="22"/>
              </w:rPr>
              <w:t>Directorate for Priority Crime Investigation</w:t>
            </w:r>
          </w:p>
        </w:tc>
      </w:tr>
      <w:tr w:rsidR="00E74171" w:rsidTr="0016190B">
        <w:tc>
          <w:tcPr>
            <w:tcW w:w="4099" w:type="dxa"/>
          </w:tcPr>
          <w:p w:rsidR="00E74171" w:rsidRPr="00D30096" w:rsidRDefault="00E74171" w:rsidP="00E74171">
            <w:pPr>
              <w:pStyle w:val="BodyTextIndent"/>
              <w:numPr>
                <w:ilvl w:val="0"/>
                <w:numId w:val="13"/>
              </w:numPr>
              <w:tabs>
                <w:tab w:val="clear" w:pos="432"/>
                <w:tab w:val="left" w:pos="0"/>
              </w:tabs>
              <w:spacing w:line="240" w:lineRule="auto"/>
              <w:contextualSpacing/>
              <w:jc w:val="both"/>
              <w:rPr>
                <w:rFonts w:ascii="Arial" w:hAnsi="Arial" w:cs="Arial"/>
                <w:sz w:val="22"/>
                <w:szCs w:val="22"/>
              </w:rPr>
            </w:pPr>
            <w:r w:rsidRPr="00D30096">
              <w:rPr>
                <w:rFonts w:ascii="Arial" w:hAnsi="Arial" w:cs="Arial"/>
                <w:sz w:val="22"/>
                <w:szCs w:val="22"/>
              </w:rPr>
              <w:t>(i) Number of cases</w:t>
            </w:r>
            <w:r>
              <w:rPr>
                <w:rFonts w:ascii="Arial" w:hAnsi="Arial" w:cs="Arial"/>
                <w:sz w:val="22"/>
                <w:szCs w:val="22"/>
              </w:rPr>
              <w:t xml:space="preserve"> </w:t>
            </w:r>
            <w:r w:rsidRPr="00D30096">
              <w:rPr>
                <w:rFonts w:ascii="Arial" w:hAnsi="Arial" w:cs="Arial"/>
                <w:sz w:val="22"/>
                <w:szCs w:val="22"/>
              </w:rPr>
              <w:t>referred to</w:t>
            </w:r>
          </w:p>
          <w:p w:rsidR="00E74171" w:rsidRPr="00D30096" w:rsidRDefault="00E74171" w:rsidP="0016190B">
            <w:pPr>
              <w:pStyle w:val="BodyTextIndent"/>
              <w:tabs>
                <w:tab w:val="clear" w:pos="432"/>
                <w:tab w:val="left" w:pos="0"/>
              </w:tabs>
              <w:spacing w:line="240" w:lineRule="auto"/>
              <w:ind w:left="0" w:firstLine="0"/>
              <w:contextualSpacing/>
              <w:jc w:val="both"/>
              <w:rPr>
                <w:rFonts w:ascii="Arial" w:hAnsi="Arial" w:cs="Arial"/>
                <w:sz w:val="22"/>
                <w:szCs w:val="22"/>
              </w:rPr>
            </w:pPr>
          </w:p>
        </w:tc>
        <w:tc>
          <w:tcPr>
            <w:tcW w:w="2835" w:type="dxa"/>
          </w:tcPr>
          <w:p w:rsidR="00E74171" w:rsidRPr="00E96BCB" w:rsidRDefault="00E74171" w:rsidP="0016190B">
            <w:pPr>
              <w:pStyle w:val="BodyTextIndent"/>
              <w:tabs>
                <w:tab w:val="clear" w:pos="432"/>
                <w:tab w:val="left" w:pos="0"/>
              </w:tabs>
              <w:spacing w:line="240" w:lineRule="auto"/>
              <w:ind w:left="0" w:firstLine="0"/>
              <w:contextualSpacing/>
              <w:jc w:val="both"/>
              <w:rPr>
                <w:rFonts w:ascii="Arial" w:hAnsi="Arial" w:cs="Arial"/>
                <w:sz w:val="22"/>
                <w:szCs w:val="22"/>
              </w:rPr>
            </w:pPr>
            <w:r w:rsidRPr="00E96BCB">
              <w:rPr>
                <w:rFonts w:ascii="Arial" w:hAnsi="Arial" w:cs="Arial"/>
                <w:sz w:val="22"/>
                <w:szCs w:val="22"/>
              </w:rPr>
              <w:t xml:space="preserve">89 </w:t>
            </w:r>
          </w:p>
          <w:p w:rsidR="00E74171" w:rsidRPr="00E96BCB" w:rsidRDefault="00E74171" w:rsidP="0016190B">
            <w:pPr>
              <w:pStyle w:val="BodyTextIndent"/>
              <w:tabs>
                <w:tab w:val="clear" w:pos="432"/>
                <w:tab w:val="left" w:pos="0"/>
              </w:tabs>
              <w:spacing w:line="240" w:lineRule="auto"/>
              <w:ind w:left="0" w:firstLine="0"/>
              <w:contextualSpacing/>
              <w:jc w:val="both"/>
              <w:rPr>
                <w:rFonts w:ascii="Arial" w:hAnsi="Arial" w:cs="Arial"/>
                <w:sz w:val="22"/>
                <w:szCs w:val="22"/>
              </w:rPr>
            </w:pPr>
            <w:r w:rsidRPr="00E96BCB">
              <w:rPr>
                <w:rFonts w:ascii="Arial" w:hAnsi="Arial" w:cs="Arial"/>
                <w:sz w:val="22"/>
                <w:szCs w:val="22"/>
              </w:rPr>
              <w:t>(13 referred by SAA and 76 referred by Forensic Investigations)</w:t>
            </w:r>
          </w:p>
        </w:tc>
        <w:tc>
          <w:tcPr>
            <w:tcW w:w="2552" w:type="dxa"/>
          </w:tcPr>
          <w:p w:rsidR="00E74171" w:rsidRPr="00E96BCB" w:rsidRDefault="00E74171" w:rsidP="0016190B">
            <w:pPr>
              <w:pStyle w:val="BodyTextIndent"/>
              <w:tabs>
                <w:tab w:val="clear" w:pos="432"/>
                <w:tab w:val="left" w:pos="0"/>
              </w:tabs>
              <w:spacing w:line="240" w:lineRule="auto"/>
              <w:ind w:left="0" w:firstLine="0"/>
              <w:contextualSpacing/>
              <w:jc w:val="both"/>
              <w:rPr>
                <w:rFonts w:ascii="Arial" w:hAnsi="Arial" w:cs="Arial"/>
                <w:sz w:val="22"/>
                <w:szCs w:val="22"/>
              </w:rPr>
            </w:pPr>
          </w:p>
          <w:p w:rsidR="00E74171" w:rsidRPr="00E96BCB" w:rsidRDefault="00E74171" w:rsidP="0016190B">
            <w:pPr>
              <w:pStyle w:val="BodyTextIndent"/>
              <w:tabs>
                <w:tab w:val="clear" w:pos="432"/>
                <w:tab w:val="left" w:pos="0"/>
              </w:tabs>
              <w:spacing w:line="240" w:lineRule="auto"/>
              <w:ind w:left="0" w:firstLine="0"/>
              <w:contextualSpacing/>
              <w:jc w:val="both"/>
              <w:rPr>
                <w:rFonts w:ascii="Arial" w:hAnsi="Arial" w:cs="Arial"/>
                <w:sz w:val="22"/>
                <w:szCs w:val="22"/>
              </w:rPr>
            </w:pPr>
            <w:r w:rsidRPr="00E96BCB">
              <w:rPr>
                <w:rFonts w:ascii="Arial" w:hAnsi="Arial" w:cs="Arial"/>
                <w:sz w:val="22"/>
                <w:szCs w:val="22"/>
              </w:rPr>
              <w:t>1</w:t>
            </w:r>
          </w:p>
        </w:tc>
      </w:tr>
      <w:tr w:rsidR="00E74171" w:rsidTr="0016190B">
        <w:tc>
          <w:tcPr>
            <w:tcW w:w="4099" w:type="dxa"/>
          </w:tcPr>
          <w:p w:rsidR="00E74171" w:rsidRPr="00D30096" w:rsidRDefault="00E74171" w:rsidP="00E74171">
            <w:pPr>
              <w:pStyle w:val="BodyTextIndent"/>
              <w:numPr>
                <w:ilvl w:val="0"/>
                <w:numId w:val="13"/>
              </w:numPr>
              <w:tabs>
                <w:tab w:val="clear" w:pos="432"/>
                <w:tab w:val="left" w:pos="0"/>
              </w:tabs>
              <w:spacing w:line="240" w:lineRule="auto"/>
              <w:contextualSpacing/>
              <w:rPr>
                <w:rFonts w:ascii="Arial" w:hAnsi="Arial" w:cs="Arial"/>
                <w:sz w:val="22"/>
                <w:szCs w:val="22"/>
              </w:rPr>
            </w:pPr>
            <w:r w:rsidRPr="00D30096">
              <w:rPr>
                <w:rFonts w:ascii="Arial" w:hAnsi="Arial" w:cs="Arial"/>
                <w:sz w:val="22"/>
                <w:szCs w:val="22"/>
              </w:rPr>
              <w:t xml:space="preserve">(i) Number of cases </w:t>
            </w:r>
          </w:p>
          <w:p w:rsidR="00E74171" w:rsidRPr="00D30096" w:rsidRDefault="00E74171" w:rsidP="0016190B">
            <w:pPr>
              <w:pStyle w:val="BodyTextIndent"/>
              <w:tabs>
                <w:tab w:val="clear" w:pos="432"/>
                <w:tab w:val="left" w:pos="0"/>
              </w:tabs>
              <w:spacing w:line="240" w:lineRule="auto"/>
              <w:ind w:left="360" w:firstLine="0"/>
              <w:contextualSpacing/>
              <w:rPr>
                <w:rFonts w:ascii="Arial" w:hAnsi="Arial" w:cs="Arial"/>
                <w:sz w:val="22"/>
                <w:szCs w:val="22"/>
              </w:rPr>
            </w:pPr>
            <w:r w:rsidRPr="00D30096">
              <w:rPr>
                <w:rFonts w:ascii="Arial" w:hAnsi="Arial" w:cs="Arial"/>
                <w:sz w:val="22"/>
                <w:szCs w:val="22"/>
              </w:rPr>
              <w:t xml:space="preserve">        investigated by</w:t>
            </w:r>
          </w:p>
        </w:tc>
        <w:tc>
          <w:tcPr>
            <w:tcW w:w="2835" w:type="dxa"/>
          </w:tcPr>
          <w:p w:rsidR="00E74171" w:rsidRPr="00E96BCB" w:rsidRDefault="00E74171" w:rsidP="0016190B">
            <w:pPr>
              <w:pStyle w:val="BodyTextIndent"/>
              <w:tabs>
                <w:tab w:val="clear" w:pos="432"/>
                <w:tab w:val="left" w:pos="515"/>
              </w:tabs>
              <w:spacing w:line="240" w:lineRule="auto"/>
              <w:ind w:left="0" w:firstLine="0"/>
              <w:contextualSpacing/>
              <w:jc w:val="both"/>
              <w:rPr>
                <w:rFonts w:ascii="Arial" w:hAnsi="Arial" w:cs="Arial"/>
                <w:sz w:val="22"/>
                <w:szCs w:val="22"/>
              </w:rPr>
            </w:pPr>
            <w:r w:rsidRPr="00E96BCB">
              <w:rPr>
                <w:rFonts w:ascii="Arial" w:hAnsi="Arial" w:cs="Arial"/>
                <w:sz w:val="22"/>
                <w:szCs w:val="22"/>
              </w:rPr>
              <w:t>13</w:t>
            </w:r>
          </w:p>
        </w:tc>
        <w:tc>
          <w:tcPr>
            <w:tcW w:w="2552" w:type="dxa"/>
          </w:tcPr>
          <w:p w:rsidR="00E74171" w:rsidRPr="00E96BCB" w:rsidRDefault="00E74171" w:rsidP="0016190B">
            <w:pPr>
              <w:pStyle w:val="BodyTextIndent"/>
              <w:tabs>
                <w:tab w:val="clear" w:pos="432"/>
                <w:tab w:val="left" w:pos="0"/>
              </w:tabs>
              <w:spacing w:line="240" w:lineRule="auto"/>
              <w:ind w:left="0" w:firstLine="0"/>
              <w:contextualSpacing/>
              <w:jc w:val="both"/>
              <w:rPr>
                <w:rFonts w:ascii="Arial" w:hAnsi="Arial" w:cs="Arial"/>
                <w:sz w:val="22"/>
                <w:szCs w:val="22"/>
              </w:rPr>
            </w:pPr>
            <w:r w:rsidRPr="00E96BCB">
              <w:rPr>
                <w:rFonts w:ascii="Arial" w:hAnsi="Arial" w:cs="Arial"/>
                <w:sz w:val="22"/>
                <w:szCs w:val="22"/>
              </w:rPr>
              <w:t>1</w:t>
            </w:r>
          </w:p>
        </w:tc>
      </w:tr>
      <w:tr w:rsidR="00E74171" w:rsidTr="0016190B">
        <w:tc>
          <w:tcPr>
            <w:tcW w:w="4099" w:type="dxa"/>
          </w:tcPr>
          <w:p w:rsidR="00E74171" w:rsidRPr="00D30096" w:rsidRDefault="00E74171" w:rsidP="0016190B">
            <w:pPr>
              <w:pStyle w:val="BodyTextIndent"/>
              <w:tabs>
                <w:tab w:val="clear" w:pos="432"/>
                <w:tab w:val="left" w:pos="0"/>
              </w:tabs>
              <w:spacing w:line="240" w:lineRule="auto"/>
              <w:contextualSpacing/>
              <w:rPr>
                <w:rFonts w:ascii="Arial" w:hAnsi="Arial" w:cs="Arial"/>
                <w:sz w:val="22"/>
                <w:szCs w:val="22"/>
              </w:rPr>
            </w:pPr>
            <w:r>
              <w:rPr>
                <w:rFonts w:ascii="Arial" w:hAnsi="Arial" w:cs="Arial"/>
                <w:sz w:val="22"/>
                <w:szCs w:val="22"/>
              </w:rPr>
              <w:t xml:space="preserve">   (ii) </w:t>
            </w:r>
            <w:r w:rsidRPr="00D30096">
              <w:rPr>
                <w:rFonts w:ascii="Arial" w:hAnsi="Arial" w:cs="Arial"/>
                <w:sz w:val="22"/>
                <w:szCs w:val="22"/>
              </w:rPr>
              <w:t>Being followed up by the respective accounting officers</w:t>
            </w:r>
          </w:p>
        </w:tc>
        <w:tc>
          <w:tcPr>
            <w:tcW w:w="2835" w:type="dxa"/>
          </w:tcPr>
          <w:p w:rsidR="00E74171" w:rsidRPr="00E96BCB" w:rsidRDefault="00E74171" w:rsidP="0016190B">
            <w:pPr>
              <w:pStyle w:val="BodyTextIndent"/>
              <w:tabs>
                <w:tab w:val="clear" w:pos="432"/>
                <w:tab w:val="left" w:pos="0"/>
              </w:tabs>
              <w:spacing w:line="240" w:lineRule="auto"/>
              <w:ind w:left="0" w:firstLine="0"/>
              <w:contextualSpacing/>
              <w:jc w:val="both"/>
              <w:rPr>
                <w:rFonts w:ascii="Arial" w:hAnsi="Arial" w:cs="Arial"/>
                <w:sz w:val="22"/>
                <w:szCs w:val="22"/>
              </w:rPr>
            </w:pPr>
            <w:r w:rsidRPr="00E96BCB">
              <w:rPr>
                <w:rFonts w:ascii="Arial" w:hAnsi="Arial" w:cs="Arial"/>
                <w:sz w:val="22"/>
                <w:szCs w:val="22"/>
              </w:rPr>
              <w:t>14</w:t>
            </w:r>
          </w:p>
        </w:tc>
        <w:tc>
          <w:tcPr>
            <w:tcW w:w="2552" w:type="dxa"/>
          </w:tcPr>
          <w:p w:rsidR="00E74171" w:rsidRPr="00E96BCB" w:rsidRDefault="00E74171" w:rsidP="0016190B">
            <w:pPr>
              <w:pStyle w:val="BodyTextIndent"/>
              <w:tabs>
                <w:tab w:val="clear" w:pos="432"/>
                <w:tab w:val="left" w:pos="0"/>
              </w:tabs>
              <w:spacing w:line="240" w:lineRule="auto"/>
              <w:ind w:left="0" w:firstLine="0"/>
              <w:contextualSpacing/>
              <w:jc w:val="both"/>
              <w:rPr>
                <w:rFonts w:ascii="Arial" w:hAnsi="Arial" w:cs="Arial"/>
                <w:sz w:val="22"/>
                <w:szCs w:val="22"/>
              </w:rPr>
            </w:pPr>
          </w:p>
        </w:tc>
      </w:tr>
      <w:tr w:rsidR="00E74171" w:rsidTr="0016190B">
        <w:tc>
          <w:tcPr>
            <w:tcW w:w="4099" w:type="dxa"/>
          </w:tcPr>
          <w:p w:rsidR="00E74171" w:rsidRPr="00D30096" w:rsidRDefault="00E74171" w:rsidP="0016190B">
            <w:pPr>
              <w:pStyle w:val="BodyTextIndent"/>
              <w:tabs>
                <w:tab w:val="clear" w:pos="432"/>
                <w:tab w:val="left" w:pos="0"/>
              </w:tabs>
              <w:spacing w:line="240" w:lineRule="auto"/>
              <w:contextualSpacing/>
              <w:rPr>
                <w:rFonts w:ascii="Arial" w:hAnsi="Arial" w:cs="Arial"/>
                <w:sz w:val="22"/>
                <w:szCs w:val="22"/>
              </w:rPr>
            </w:pPr>
            <w:r>
              <w:rPr>
                <w:rFonts w:ascii="Arial" w:eastAsia="Calibri" w:hAnsi="Arial" w:cs="Arial"/>
                <w:sz w:val="22"/>
                <w:szCs w:val="22"/>
                <w:lang w:val="en-ZA" w:eastAsia="en-ZA"/>
              </w:rPr>
              <w:t xml:space="preserve">   (iii) R</w:t>
            </w:r>
            <w:r w:rsidRPr="00D30096">
              <w:rPr>
                <w:rFonts w:ascii="Arial" w:eastAsia="Calibri" w:hAnsi="Arial" w:cs="Arial"/>
                <w:sz w:val="22"/>
                <w:szCs w:val="22"/>
                <w:lang w:val="en-ZA" w:eastAsia="en-ZA"/>
              </w:rPr>
              <w:t>esulted in a conviction in each specified financial year since 2004</w:t>
            </w:r>
            <w:r w:rsidRPr="00D30096">
              <w:rPr>
                <w:rFonts w:ascii="Arial" w:eastAsia="Calibri" w:hAnsi="Arial" w:cs="Arial"/>
                <w:sz w:val="22"/>
                <w:szCs w:val="22"/>
                <w:lang w:val="en-ZA"/>
              </w:rPr>
              <w:t>?</w:t>
            </w:r>
            <w:r w:rsidRPr="00D30096">
              <w:rPr>
                <w:rFonts w:ascii="Arial" w:eastAsia="Calibri" w:hAnsi="Arial" w:cs="Arial"/>
                <w:sz w:val="22"/>
                <w:szCs w:val="22"/>
                <w:lang w:val="en-ZA"/>
              </w:rPr>
              <w:tab/>
            </w:r>
            <w:r w:rsidRPr="00D30096">
              <w:rPr>
                <w:rFonts w:ascii="Arial" w:eastAsia="Calibri" w:hAnsi="Arial" w:cs="Arial"/>
                <w:sz w:val="22"/>
                <w:szCs w:val="22"/>
                <w:lang w:val="en-ZA"/>
              </w:rPr>
              <w:tab/>
            </w:r>
          </w:p>
        </w:tc>
        <w:tc>
          <w:tcPr>
            <w:tcW w:w="2835" w:type="dxa"/>
          </w:tcPr>
          <w:p w:rsidR="00E74171" w:rsidRPr="00E96BCB" w:rsidRDefault="00E74171" w:rsidP="0016190B">
            <w:pPr>
              <w:pStyle w:val="BodyTextIndent"/>
              <w:tabs>
                <w:tab w:val="clear" w:pos="432"/>
                <w:tab w:val="left" w:pos="0"/>
              </w:tabs>
              <w:spacing w:line="240" w:lineRule="auto"/>
              <w:ind w:left="0" w:firstLine="0"/>
              <w:contextualSpacing/>
              <w:rPr>
                <w:rFonts w:ascii="Arial" w:hAnsi="Arial" w:cs="Arial"/>
                <w:sz w:val="22"/>
                <w:szCs w:val="22"/>
              </w:rPr>
            </w:pPr>
            <w:r w:rsidRPr="00E96BCB">
              <w:rPr>
                <w:rFonts w:ascii="Arial" w:hAnsi="Arial" w:cs="Arial"/>
                <w:sz w:val="22"/>
                <w:szCs w:val="22"/>
              </w:rPr>
              <w:t xml:space="preserve">Pending SAP Investigation </w:t>
            </w:r>
          </w:p>
        </w:tc>
        <w:tc>
          <w:tcPr>
            <w:tcW w:w="2552" w:type="dxa"/>
          </w:tcPr>
          <w:p w:rsidR="00E74171" w:rsidRPr="00E96BCB" w:rsidRDefault="00E74171" w:rsidP="0016190B">
            <w:pPr>
              <w:pStyle w:val="BodyTextIndent"/>
              <w:tabs>
                <w:tab w:val="clear" w:pos="432"/>
                <w:tab w:val="left" w:pos="0"/>
              </w:tabs>
              <w:spacing w:line="240" w:lineRule="auto"/>
              <w:ind w:left="0" w:firstLine="0"/>
              <w:contextualSpacing/>
              <w:rPr>
                <w:rFonts w:ascii="Arial" w:hAnsi="Arial" w:cs="Arial"/>
                <w:sz w:val="22"/>
                <w:szCs w:val="22"/>
              </w:rPr>
            </w:pPr>
            <w:r w:rsidRPr="00E96BCB">
              <w:rPr>
                <w:rFonts w:ascii="Arial" w:hAnsi="Arial" w:cs="Arial"/>
                <w:sz w:val="22"/>
                <w:szCs w:val="22"/>
              </w:rPr>
              <w:t xml:space="preserve">Pending DPCI investigation </w:t>
            </w:r>
          </w:p>
        </w:tc>
      </w:tr>
    </w:tbl>
    <w:p w:rsidR="0065230A" w:rsidRDefault="0065230A" w:rsidP="000B1C23">
      <w:pPr>
        <w:rPr>
          <w:rFonts w:ascii="Arial" w:hAnsi="Arial" w:cs="Arial"/>
          <w:b/>
          <w:sz w:val="22"/>
          <w:szCs w:val="22"/>
        </w:rPr>
      </w:pPr>
    </w:p>
    <w:p w:rsidR="000B1C23" w:rsidRDefault="000B1C23"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SARS</w:t>
      </w:r>
    </w:p>
    <w:p w:rsidR="000B1C23" w:rsidRDefault="000B1C23" w:rsidP="000B1C23">
      <w:pPr>
        <w:rPr>
          <w:rFonts w:ascii="Arial" w:hAnsi="Arial" w:cs="Arial"/>
          <w:b/>
          <w:sz w:val="22"/>
          <w:szCs w:val="22"/>
        </w:rPr>
      </w:pPr>
    </w:p>
    <w:p w:rsidR="00E74171" w:rsidRDefault="00E74171" w:rsidP="00E74171">
      <w:pPr>
        <w:pStyle w:val="BodyTextIndent"/>
        <w:spacing w:line="276" w:lineRule="auto"/>
        <w:ind w:left="432" w:firstLine="0"/>
        <w:rPr>
          <w:rFonts w:ascii="Arial" w:hAnsi="Arial" w:cs="Arial"/>
          <w:b/>
          <w:sz w:val="22"/>
          <w:szCs w:val="22"/>
        </w:rPr>
      </w:pPr>
    </w:p>
    <w:p w:rsidR="00E74171" w:rsidRDefault="00E74171" w:rsidP="00E74171">
      <w:pPr>
        <w:pStyle w:val="BodyTextIndent"/>
        <w:spacing w:line="276" w:lineRule="auto"/>
        <w:ind w:left="432" w:firstLine="0"/>
        <w:rPr>
          <w:rFonts w:ascii="Arial" w:hAnsi="Arial" w:cs="Arial"/>
          <w:b/>
          <w:sz w:val="22"/>
          <w:szCs w:val="22"/>
        </w:rPr>
      </w:pPr>
      <w:r>
        <w:rPr>
          <w:rFonts w:ascii="Arial" w:hAnsi="Arial" w:cs="Arial"/>
          <w:b/>
          <w:sz w:val="22"/>
          <w:szCs w:val="22"/>
        </w:rPr>
        <w:t>SARS Fraud Investigations reply:</w:t>
      </w:r>
    </w:p>
    <w:p w:rsidR="00E74171" w:rsidRDefault="00E74171" w:rsidP="00E74171">
      <w:pPr>
        <w:pStyle w:val="BodyTextIndent"/>
        <w:spacing w:line="276" w:lineRule="auto"/>
        <w:ind w:left="432" w:firstLine="0"/>
        <w:rPr>
          <w:rFonts w:ascii="Arial" w:hAnsi="Arial" w:cs="Arial"/>
          <w:b/>
          <w:sz w:val="22"/>
          <w:szCs w:val="22"/>
        </w:rPr>
      </w:pPr>
    </w:p>
    <w:p w:rsidR="00E74171" w:rsidRDefault="00E74171" w:rsidP="00E74171">
      <w:pPr>
        <w:pStyle w:val="BodyTextIndent"/>
        <w:numPr>
          <w:ilvl w:val="0"/>
          <w:numId w:val="14"/>
        </w:numPr>
        <w:spacing w:line="276" w:lineRule="auto"/>
        <w:rPr>
          <w:rFonts w:ascii="Arial" w:hAnsi="Arial" w:cs="Arial"/>
          <w:sz w:val="22"/>
          <w:szCs w:val="22"/>
        </w:rPr>
      </w:pPr>
      <w:r w:rsidRPr="009C0702">
        <w:rPr>
          <w:rFonts w:ascii="Arial" w:hAnsi="Arial" w:cs="Arial"/>
          <w:sz w:val="22"/>
          <w:szCs w:val="22"/>
        </w:rPr>
        <w:t xml:space="preserve">Fraud Investigations record-keeping does not distinguish between SAPS and DPCI – both are recorded as </w:t>
      </w:r>
      <w:r>
        <w:rPr>
          <w:rFonts w:ascii="Arial" w:hAnsi="Arial" w:cs="Arial"/>
          <w:sz w:val="22"/>
          <w:szCs w:val="22"/>
        </w:rPr>
        <w:t>referred to “</w:t>
      </w:r>
      <w:r w:rsidRPr="009C0702">
        <w:rPr>
          <w:rFonts w:ascii="Arial" w:hAnsi="Arial" w:cs="Arial"/>
          <w:sz w:val="22"/>
          <w:szCs w:val="22"/>
        </w:rPr>
        <w:t>SAPS</w:t>
      </w:r>
      <w:r>
        <w:rPr>
          <w:rFonts w:ascii="Arial" w:hAnsi="Arial" w:cs="Arial"/>
          <w:sz w:val="22"/>
          <w:szCs w:val="22"/>
        </w:rPr>
        <w:t>”</w:t>
      </w:r>
      <w:r w:rsidRPr="009C0702">
        <w:rPr>
          <w:rFonts w:ascii="Arial" w:hAnsi="Arial" w:cs="Arial"/>
          <w:sz w:val="22"/>
          <w:szCs w:val="22"/>
        </w:rPr>
        <w:t>.</w:t>
      </w:r>
    </w:p>
    <w:p w:rsidR="00E74171" w:rsidRDefault="00E74171" w:rsidP="00E74171">
      <w:pPr>
        <w:pStyle w:val="BodyTextIndent"/>
        <w:spacing w:line="276" w:lineRule="auto"/>
        <w:ind w:left="867" w:firstLine="0"/>
        <w:rPr>
          <w:rFonts w:ascii="Arial" w:hAnsi="Arial" w:cs="Arial"/>
          <w:sz w:val="22"/>
          <w:szCs w:val="22"/>
        </w:rPr>
      </w:pPr>
    </w:p>
    <w:p w:rsidR="00E74171" w:rsidRDefault="00E74171" w:rsidP="00E74171">
      <w:pPr>
        <w:pStyle w:val="BodyTextIndent"/>
        <w:numPr>
          <w:ilvl w:val="0"/>
          <w:numId w:val="14"/>
        </w:numPr>
        <w:spacing w:line="276" w:lineRule="auto"/>
        <w:rPr>
          <w:rFonts w:ascii="Arial" w:hAnsi="Arial" w:cs="Arial"/>
          <w:sz w:val="22"/>
          <w:szCs w:val="22"/>
        </w:rPr>
      </w:pPr>
      <w:r w:rsidRPr="00F76C31">
        <w:rPr>
          <w:rFonts w:ascii="Arial" w:hAnsi="Arial" w:cs="Arial"/>
          <w:sz w:val="22"/>
          <w:szCs w:val="22"/>
        </w:rPr>
        <w:t xml:space="preserve">Investigators of SARS Fraud Investigations constantly monitor the progress of all </w:t>
      </w:r>
      <w:r>
        <w:rPr>
          <w:rFonts w:ascii="Arial" w:hAnsi="Arial" w:cs="Arial"/>
          <w:sz w:val="22"/>
          <w:szCs w:val="22"/>
        </w:rPr>
        <w:t xml:space="preserve">criminal </w:t>
      </w:r>
      <w:r w:rsidRPr="00F76C31">
        <w:rPr>
          <w:rFonts w:ascii="Arial" w:hAnsi="Arial" w:cs="Arial"/>
          <w:sz w:val="22"/>
          <w:szCs w:val="22"/>
        </w:rPr>
        <w:t>cases referred by the unit to the SAPS</w:t>
      </w:r>
      <w:r>
        <w:rPr>
          <w:rFonts w:ascii="Arial" w:hAnsi="Arial" w:cs="Arial"/>
          <w:sz w:val="22"/>
          <w:szCs w:val="22"/>
        </w:rPr>
        <w:t>.</w:t>
      </w:r>
    </w:p>
    <w:p w:rsidR="00E74171" w:rsidRDefault="00E74171" w:rsidP="00E74171">
      <w:pPr>
        <w:pStyle w:val="BodyTextIndent"/>
        <w:spacing w:line="276" w:lineRule="auto"/>
        <w:ind w:left="867" w:firstLine="0"/>
        <w:rPr>
          <w:rFonts w:ascii="Arial" w:hAnsi="Arial" w:cs="Arial"/>
          <w:sz w:val="22"/>
          <w:szCs w:val="22"/>
        </w:rPr>
      </w:pPr>
    </w:p>
    <w:p w:rsidR="00E74171" w:rsidRDefault="00E74171" w:rsidP="00E74171">
      <w:pPr>
        <w:pStyle w:val="BodyTextIndent"/>
        <w:numPr>
          <w:ilvl w:val="0"/>
          <w:numId w:val="14"/>
        </w:numPr>
        <w:spacing w:line="276" w:lineRule="auto"/>
        <w:rPr>
          <w:rFonts w:ascii="Arial" w:hAnsi="Arial" w:cs="Arial"/>
          <w:sz w:val="22"/>
          <w:szCs w:val="22"/>
        </w:rPr>
      </w:pPr>
      <w:r w:rsidRPr="009C0702">
        <w:rPr>
          <w:rFonts w:ascii="Arial" w:hAnsi="Arial" w:cs="Arial"/>
          <w:sz w:val="22"/>
          <w:szCs w:val="22"/>
        </w:rPr>
        <w:tab/>
      </w:r>
      <w:r>
        <w:rPr>
          <w:rFonts w:ascii="Arial" w:hAnsi="Arial" w:cs="Arial"/>
          <w:sz w:val="22"/>
          <w:szCs w:val="22"/>
        </w:rPr>
        <w:t>Cases in the below table do not necessarily exceed the R100 000 provision. Corruption-related cases are referred to the SAPS based on merit - even if it doesn’t exceed R100 000.</w:t>
      </w:r>
    </w:p>
    <w:p w:rsidR="00E74171" w:rsidRDefault="00E74171" w:rsidP="00E74171">
      <w:pPr>
        <w:pStyle w:val="BodyTextIndent"/>
        <w:spacing w:line="276" w:lineRule="auto"/>
        <w:ind w:left="867" w:firstLine="0"/>
        <w:rPr>
          <w:rFonts w:ascii="Arial" w:hAnsi="Arial" w:cs="Arial"/>
          <w:sz w:val="22"/>
          <w:szCs w:val="22"/>
        </w:rPr>
      </w:pPr>
    </w:p>
    <w:p w:rsidR="00E74171" w:rsidRDefault="00E74171" w:rsidP="00E74171">
      <w:pPr>
        <w:pStyle w:val="BodyTextIndent"/>
        <w:numPr>
          <w:ilvl w:val="0"/>
          <w:numId w:val="14"/>
        </w:numPr>
        <w:spacing w:line="276" w:lineRule="auto"/>
        <w:rPr>
          <w:rFonts w:ascii="Arial" w:hAnsi="Arial" w:cs="Arial"/>
          <w:sz w:val="22"/>
          <w:szCs w:val="22"/>
        </w:rPr>
      </w:pPr>
      <w:r w:rsidRPr="009C0702">
        <w:rPr>
          <w:rFonts w:ascii="Arial" w:hAnsi="Arial" w:cs="Arial"/>
          <w:sz w:val="22"/>
          <w:szCs w:val="22"/>
        </w:rPr>
        <w:t>Data for corruption-related cases referred by SARS Fraud Investigations</w:t>
      </w:r>
      <w:r>
        <w:rPr>
          <w:rFonts w:ascii="Arial" w:hAnsi="Arial" w:cs="Arial"/>
          <w:sz w:val="22"/>
          <w:szCs w:val="22"/>
        </w:rPr>
        <w:t xml:space="preserve"> and convictions are only available from the 2012/13 Financial Year (FY):</w:t>
      </w:r>
    </w:p>
    <w:p w:rsidR="00E74171" w:rsidRDefault="00E74171" w:rsidP="00E74171">
      <w:pPr>
        <w:pStyle w:val="BodyTextIndent"/>
        <w:spacing w:line="276" w:lineRule="auto"/>
        <w:ind w:left="867" w:firstLine="0"/>
        <w:rPr>
          <w:rFonts w:ascii="Arial" w:hAnsi="Arial" w:cs="Arial"/>
          <w:sz w:val="22"/>
          <w:szCs w:val="22"/>
        </w:rPr>
      </w:pPr>
    </w:p>
    <w:tbl>
      <w:tblPr>
        <w:tblStyle w:val="TableGrid"/>
        <w:tblW w:w="5675" w:type="dxa"/>
        <w:tblInd w:w="1018" w:type="dxa"/>
        <w:tblLook w:val="04A0" w:firstRow="1" w:lastRow="0" w:firstColumn="1" w:lastColumn="0" w:noHBand="0" w:noVBand="1"/>
      </w:tblPr>
      <w:tblGrid>
        <w:gridCol w:w="1309"/>
        <w:gridCol w:w="2032"/>
        <w:gridCol w:w="2334"/>
      </w:tblGrid>
      <w:tr w:rsidR="00E74171" w:rsidTr="0016190B">
        <w:trPr>
          <w:trHeight w:val="300"/>
        </w:trPr>
        <w:tc>
          <w:tcPr>
            <w:tcW w:w="1309" w:type="dxa"/>
            <w:noWrap/>
          </w:tcPr>
          <w:p w:rsidR="00E74171" w:rsidRPr="009C0702" w:rsidRDefault="00E74171" w:rsidP="0016190B">
            <w:pPr>
              <w:rPr>
                <w:rFonts w:ascii="Calibri" w:hAnsi="Calibri"/>
                <w:b/>
                <w:color w:val="000000"/>
                <w:sz w:val="22"/>
                <w:szCs w:val="22"/>
              </w:rPr>
            </w:pPr>
            <w:r w:rsidRPr="009C0702">
              <w:rPr>
                <w:rFonts w:ascii="Calibri" w:hAnsi="Calibri"/>
                <w:b/>
                <w:color w:val="000000"/>
                <w:sz w:val="22"/>
                <w:szCs w:val="22"/>
              </w:rPr>
              <w:t>FY</w:t>
            </w:r>
          </w:p>
        </w:tc>
        <w:tc>
          <w:tcPr>
            <w:tcW w:w="2032" w:type="dxa"/>
            <w:noWrap/>
          </w:tcPr>
          <w:p w:rsidR="00E74171" w:rsidRPr="009C0702" w:rsidRDefault="00E74171" w:rsidP="0016190B">
            <w:pPr>
              <w:rPr>
                <w:rFonts w:ascii="Calibri" w:hAnsi="Calibri"/>
                <w:b/>
                <w:color w:val="000000"/>
                <w:sz w:val="22"/>
                <w:szCs w:val="22"/>
              </w:rPr>
            </w:pPr>
            <w:r w:rsidRPr="009C0702">
              <w:rPr>
                <w:rFonts w:ascii="Calibri" w:hAnsi="Calibri"/>
                <w:b/>
                <w:color w:val="000000"/>
                <w:sz w:val="22"/>
                <w:szCs w:val="22"/>
              </w:rPr>
              <w:t>Corruption-related cases referred to the SAPS</w:t>
            </w:r>
          </w:p>
        </w:tc>
        <w:tc>
          <w:tcPr>
            <w:tcW w:w="2334" w:type="dxa"/>
            <w:noWrap/>
          </w:tcPr>
          <w:p w:rsidR="00E74171" w:rsidRPr="009C0702" w:rsidRDefault="00E74171" w:rsidP="0016190B">
            <w:pPr>
              <w:rPr>
                <w:rFonts w:ascii="Calibri" w:hAnsi="Calibri"/>
                <w:b/>
                <w:color w:val="000000"/>
                <w:sz w:val="22"/>
                <w:szCs w:val="22"/>
              </w:rPr>
            </w:pPr>
            <w:r w:rsidRPr="009C0702">
              <w:rPr>
                <w:rFonts w:ascii="Calibri" w:hAnsi="Calibri"/>
                <w:b/>
                <w:color w:val="000000"/>
                <w:sz w:val="22"/>
                <w:szCs w:val="22"/>
              </w:rPr>
              <w:t>Corruption-related cases with convictions obtained in each FY</w:t>
            </w:r>
          </w:p>
        </w:tc>
      </w:tr>
      <w:tr w:rsidR="00E74171" w:rsidTr="0016190B">
        <w:trPr>
          <w:trHeight w:val="300"/>
        </w:trPr>
        <w:tc>
          <w:tcPr>
            <w:tcW w:w="1309" w:type="dxa"/>
            <w:noWrap/>
            <w:hideMark/>
          </w:tcPr>
          <w:p w:rsidR="00E74171" w:rsidRPr="009C0702" w:rsidRDefault="00E74171" w:rsidP="0016190B">
            <w:pPr>
              <w:rPr>
                <w:rFonts w:ascii="Calibri" w:hAnsi="Calibri"/>
                <w:b/>
                <w:color w:val="000000"/>
                <w:sz w:val="22"/>
                <w:szCs w:val="22"/>
              </w:rPr>
            </w:pPr>
            <w:r w:rsidRPr="009C0702">
              <w:rPr>
                <w:rFonts w:ascii="Calibri" w:hAnsi="Calibri"/>
                <w:b/>
                <w:color w:val="000000"/>
                <w:sz w:val="22"/>
                <w:szCs w:val="22"/>
              </w:rPr>
              <w:t>2012/13</w:t>
            </w:r>
          </w:p>
        </w:tc>
        <w:tc>
          <w:tcPr>
            <w:tcW w:w="2032"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24</w:t>
            </w:r>
          </w:p>
        </w:tc>
        <w:tc>
          <w:tcPr>
            <w:tcW w:w="2334"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5</w:t>
            </w:r>
          </w:p>
        </w:tc>
      </w:tr>
      <w:tr w:rsidR="00E74171" w:rsidTr="0016190B">
        <w:trPr>
          <w:trHeight w:val="300"/>
        </w:trPr>
        <w:tc>
          <w:tcPr>
            <w:tcW w:w="1309" w:type="dxa"/>
            <w:noWrap/>
            <w:hideMark/>
          </w:tcPr>
          <w:p w:rsidR="00E74171" w:rsidRPr="009C0702" w:rsidRDefault="00E74171" w:rsidP="0016190B">
            <w:pPr>
              <w:rPr>
                <w:rFonts w:ascii="Calibri" w:hAnsi="Calibri"/>
                <w:b/>
                <w:color w:val="000000"/>
                <w:sz w:val="22"/>
                <w:szCs w:val="22"/>
              </w:rPr>
            </w:pPr>
            <w:r w:rsidRPr="009C0702">
              <w:rPr>
                <w:rFonts w:ascii="Calibri" w:hAnsi="Calibri"/>
                <w:b/>
                <w:color w:val="000000"/>
                <w:sz w:val="22"/>
                <w:szCs w:val="22"/>
              </w:rPr>
              <w:t>2013/14</w:t>
            </w:r>
          </w:p>
        </w:tc>
        <w:tc>
          <w:tcPr>
            <w:tcW w:w="2032"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61</w:t>
            </w:r>
          </w:p>
        </w:tc>
        <w:tc>
          <w:tcPr>
            <w:tcW w:w="2334"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2</w:t>
            </w:r>
          </w:p>
        </w:tc>
      </w:tr>
      <w:tr w:rsidR="00E74171" w:rsidTr="0016190B">
        <w:trPr>
          <w:trHeight w:val="300"/>
        </w:trPr>
        <w:tc>
          <w:tcPr>
            <w:tcW w:w="1309" w:type="dxa"/>
            <w:noWrap/>
            <w:hideMark/>
          </w:tcPr>
          <w:p w:rsidR="00E74171" w:rsidRPr="009C0702" w:rsidRDefault="00E74171" w:rsidP="0016190B">
            <w:pPr>
              <w:rPr>
                <w:rFonts w:ascii="Calibri" w:hAnsi="Calibri"/>
                <w:b/>
                <w:color w:val="000000"/>
                <w:sz w:val="22"/>
                <w:szCs w:val="22"/>
              </w:rPr>
            </w:pPr>
            <w:r w:rsidRPr="009C0702">
              <w:rPr>
                <w:rFonts w:ascii="Calibri" w:hAnsi="Calibri"/>
                <w:b/>
                <w:color w:val="000000"/>
                <w:sz w:val="22"/>
                <w:szCs w:val="22"/>
              </w:rPr>
              <w:t>2014/15</w:t>
            </w:r>
          </w:p>
        </w:tc>
        <w:tc>
          <w:tcPr>
            <w:tcW w:w="2032"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9</w:t>
            </w:r>
          </w:p>
        </w:tc>
        <w:tc>
          <w:tcPr>
            <w:tcW w:w="2334"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1</w:t>
            </w:r>
          </w:p>
        </w:tc>
      </w:tr>
      <w:tr w:rsidR="00E74171" w:rsidTr="0016190B">
        <w:trPr>
          <w:trHeight w:val="300"/>
        </w:trPr>
        <w:tc>
          <w:tcPr>
            <w:tcW w:w="1309" w:type="dxa"/>
            <w:noWrap/>
            <w:hideMark/>
          </w:tcPr>
          <w:p w:rsidR="00E74171" w:rsidRPr="009C0702" w:rsidRDefault="00E74171" w:rsidP="0016190B">
            <w:pPr>
              <w:rPr>
                <w:rFonts w:ascii="Calibri" w:hAnsi="Calibri"/>
                <w:b/>
                <w:color w:val="000000"/>
                <w:sz w:val="22"/>
                <w:szCs w:val="22"/>
              </w:rPr>
            </w:pPr>
            <w:r w:rsidRPr="009C0702">
              <w:rPr>
                <w:rFonts w:ascii="Calibri" w:hAnsi="Calibri"/>
                <w:b/>
                <w:color w:val="000000"/>
                <w:sz w:val="22"/>
                <w:szCs w:val="22"/>
              </w:rPr>
              <w:t>2015/16</w:t>
            </w:r>
          </w:p>
        </w:tc>
        <w:tc>
          <w:tcPr>
            <w:tcW w:w="2032"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7</w:t>
            </w:r>
          </w:p>
        </w:tc>
        <w:tc>
          <w:tcPr>
            <w:tcW w:w="2334"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1</w:t>
            </w:r>
          </w:p>
        </w:tc>
      </w:tr>
      <w:tr w:rsidR="00E74171" w:rsidTr="0016190B">
        <w:trPr>
          <w:trHeight w:val="300"/>
        </w:trPr>
        <w:tc>
          <w:tcPr>
            <w:tcW w:w="1309" w:type="dxa"/>
            <w:noWrap/>
            <w:hideMark/>
          </w:tcPr>
          <w:p w:rsidR="00E74171" w:rsidRPr="009C0702" w:rsidRDefault="00E74171" w:rsidP="0016190B">
            <w:pPr>
              <w:rPr>
                <w:rFonts w:ascii="Calibri" w:hAnsi="Calibri"/>
                <w:b/>
                <w:color w:val="000000"/>
                <w:sz w:val="22"/>
                <w:szCs w:val="22"/>
              </w:rPr>
            </w:pPr>
            <w:r w:rsidRPr="009C0702">
              <w:rPr>
                <w:rFonts w:ascii="Calibri" w:hAnsi="Calibri"/>
                <w:b/>
                <w:color w:val="000000"/>
                <w:sz w:val="22"/>
                <w:szCs w:val="22"/>
              </w:rPr>
              <w:t>2016/17</w:t>
            </w:r>
          </w:p>
        </w:tc>
        <w:tc>
          <w:tcPr>
            <w:tcW w:w="2032"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5</w:t>
            </w:r>
          </w:p>
        </w:tc>
        <w:tc>
          <w:tcPr>
            <w:tcW w:w="2334"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1</w:t>
            </w:r>
          </w:p>
        </w:tc>
      </w:tr>
      <w:tr w:rsidR="00E74171" w:rsidTr="0016190B">
        <w:trPr>
          <w:trHeight w:val="300"/>
        </w:trPr>
        <w:tc>
          <w:tcPr>
            <w:tcW w:w="1309" w:type="dxa"/>
            <w:noWrap/>
            <w:hideMark/>
          </w:tcPr>
          <w:p w:rsidR="00E74171" w:rsidRPr="009C0702" w:rsidRDefault="00E74171" w:rsidP="0016190B">
            <w:pPr>
              <w:rPr>
                <w:rFonts w:ascii="Calibri" w:hAnsi="Calibri"/>
                <w:b/>
                <w:color w:val="000000"/>
                <w:sz w:val="22"/>
                <w:szCs w:val="22"/>
              </w:rPr>
            </w:pPr>
            <w:r w:rsidRPr="009C0702">
              <w:rPr>
                <w:rFonts w:ascii="Calibri" w:hAnsi="Calibri"/>
                <w:b/>
                <w:color w:val="000000"/>
                <w:sz w:val="22"/>
                <w:szCs w:val="22"/>
              </w:rPr>
              <w:t>2017/18</w:t>
            </w:r>
          </w:p>
        </w:tc>
        <w:tc>
          <w:tcPr>
            <w:tcW w:w="2032"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5</w:t>
            </w:r>
          </w:p>
        </w:tc>
        <w:tc>
          <w:tcPr>
            <w:tcW w:w="2334" w:type="dxa"/>
            <w:noWrap/>
            <w:hideMark/>
          </w:tcPr>
          <w:p w:rsidR="00E74171" w:rsidRDefault="00E74171" w:rsidP="0016190B">
            <w:pPr>
              <w:jc w:val="center"/>
              <w:rPr>
                <w:rFonts w:ascii="Calibri" w:hAnsi="Calibri"/>
                <w:color w:val="000000"/>
                <w:sz w:val="22"/>
                <w:szCs w:val="22"/>
              </w:rPr>
            </w:pPr>
            <w:r>
              <w:rPr>
                <w:rFonts w:ascii="Calibri" w:hAnsi="Calibri"/>
                <w:color w:val="000000"/>
                <w:sz w:val="22"/>
                <w:szCs w:val="22"/>
              </w:rPr>
              <w:t>3</w:t>
            </w:r>
          </w:p>
        </w:tc>
      </w:tr>
      <w:tr w:rsidR="00E74171" w:rsidTr="0016190B">
        <w:trPr>
          <w:trHeight w:val="300"/>
        </w:trPr>
        <w:tc>
          <w:tcPr>
            <w:tcW w:w="1309" w:type="dxa"/>
            <w:noWrap/>
            <w:hideMark/>
          </w:tcPr>
          <w:p w:rsidR="00E74171" w:rsidRPr="00830D71" w:rsidRDefault="00E74171" w:rsidP="0016190B">
            <w:pPr>
              <w:rPr>
                <w:rFonts w:ascii="Calibri" w:hAnsi="Calibri"/>
                <w:b/>
                <w:color w:val="000000"/>
                <w:sz w:val="22"/>
                <w:szCs w:val="22"/>
              </w:rPr>
            </w:pPr>
            <w:r w:rsidRPr="00830D71">
              <w:rPr>
                <w:rFonts w:ascii="Calibri" w:hAnsi="Calibri"/>
                <w:b/>
                <w:color w:val="000000"/>
                <w:sz w:val="22"/>
                <w:szCs w:val="22"/>
              </w:rPr>
              <w:t>Total cases</w:t>
            </w:r>
          </w:p>
        </w:tc>
        <w:tc>
          <w:tcPr>
            <w:tcW w:w="2032" w:type="dxa"/>
            <w:noWrap/>
            <w:hideMark/>
          </w:tcPr>
          <w:p w:rsidR="00E74171" w:rsidRPr="00830D71" w:rsidRDefault="00E74171" w:rsidP="0016190B">
            <w:pPr>
              <w:jc w:val="center"/>
              <w:rPr>
                <w:rFonts w:ascii="Calibri" w:hAnsi="Calibri"/>
                <w:b/>
                <w:color w:val="000000"/>
                <w:sz w:val="22"/>
                <w:szCs w:val="22"/>
              </w:rPr>
            </w:pPr>
            <w:r w:rsidRPr="00830D71">
              <w:rPr>
                <w:rFonts w:ascii="Calibri" w:hAnsi="Calibri"/>
                <w:b/>
                <w:color w:val="000000"/>
                <w:sz w:val="22"/>
                <w:szCs w:val="22"/>
              </w:rPr>
              <w:t>111</w:t>
            </w:r>
          </w:p>
        </w:tc>
        <w:tc>
          <w:tcPr>
            <w:tcW w:w="2334" w:type="dxa"/>
            <w:noWrap/>
            <w:hideMark/>
          </w:tcPr>
          <w:p w:rsidR="00E74171" w:rsidRPr="00830D71" w:rsidRDefault="00E74171" w:rsidP="0016190B">
            <w:pPr>
              <w:jc w:val="center"/>
              <w:rPr>
                <w:rFonts w:ascii="Calibri" w:hAnsi="Calibri"/>
                <w:b/>
                <w:color w:val="000000"/>
                <w:sz w:val="22"/>
                <w:szCs w:val="22"/>
              </w:rPr>
            </w:pPr>
            <w:r w:rsidRPr="00830D71">
              <w:rPr>
                <w:rFonts w:ascii="Calibri" w:hAnsi="Calibri"/>
                <w:b/>
                <w:color w:val="000000"/>
                <w:sz w:val="22"/>
                <w:szCs w:val="22"/>
              </w:rPr>
              <w:t>13</w:t>
            </w:r>
          </w:p>
        </w:tc>
      </w:tr>
    </w:tbl>
    <w:p w:rsidR="001D47DF" w:rsidRDefault="001D47DF" w:rsidP="001D47DF">
      <w:pPr>
        <w:rPr>
          <w:rFonts w:ascii="Arial" w:hAnsi="Arial" w:cs="Arial"/>
        </w:rPr>
      </w:pPr>
    </w:p>
    <w:p w:rsidR="000B1C23" w:rsidRDefault="000B1C23"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SASRIA</w:t>
      </w:r>
    </w:p>
    <w:p w:rsidR="00E74171" w:rsidRDefault="00E74171" w:rsidP="00E74171">
      <w:pPr>
        <w:tabs>
          <w:tab w:val="left" w:pos="432"/>
          <w:tab w:val="left" w:pos="864"/>
        </w:tabs>
        <w:spacing w:line="360" w:lineRule="auto"/>
        <w:ind w:left="432"/>
        <w:jc w:val="both"/>
        <w:rPr>
          <w:rFonts w:ascii="Arial" w:hAnsi="Arial" w:cs="Arial"/>
          <w:sz w:val="22"/>
          <w:szCs w:val="22"/>
        </w:rPr>
      </w:pPr>
    </w:p>
    <w:p w:rsidR="00E74171" w:rsidRDefault="00E74171" w:rsidP="00E74171">
      <w:pPr>
        <w:tabs>
          <w:tab w:val="left" w:pos="432"/>
          <w:tab w:val="left" w:pos="864"/>
        </w:tabs>
        <w:spacing w:line="360" w:lineRule="auto"/>
        <w:ind w:left="432"/>
        <w:jc w:val="both"/>
        <w:rPr>
          <w:rFonts w:ascii="Arial" w:hAnsi="Arial" w:cs="Arial"/>
          <w:sz w:val="22"/>
          <w:szCs w:val="22"/>
        </w:rPr>
      </w:pPr>
      <w:r w:rsidRPr="00270E1A">
        <w:rPr>
          <w:rFonts w:ascii="Arial" w:hAnsi="Arial" w:cs="Arial"/>
          <w:sz w:val="22"/>
          <w:szCs w:val="22"/>
        </w:rPr>
        <w:t>Sasria SOC Ltd has for the 2004 to 2018 financial years not referred any cases relating to the Prevention and Combating of Corrupt Activities Act, Act 12 of 2004 (as amended), to the (i) SA Police Service (SAPS) and (ii) Directorate for Priority Crime Investigation (DPCI).</w:t>
      </w:r>
    </w:p>
    <w:p w:rsidR="00E74171" w:rsidRPr="00270E1A" w:rsidRDefault="00E74171" w:rsidP="00E74171">
      <w:pPr>
        <w:tabs>
          <w:tab w:val="left" w:pos="432"/>
          <w:tab w:val="left" w:pos="864"/>
        </w:tabs>
        <w:spacing w:line="360" w:lineRule="auto"/>
        <w:ind w:left="432"/>
        <w:jc w:val="both"/>
        <w:rPr>
          <w:rFonts w:ascii="Arial" w:hAnsi="Arial" w:cs="Arial"/>
          <w:sz w:val="22"/>
          <w:szCs w:val="22"/>
        </w:rPr>
      </w:pPr>
      <w:r>
        <w:rPr>
          <w:rFonts w:ascii="Arial" w:hAnsi="Arial" w:cs="Arial"/>
          <w:sz w:val="22"/>
          <w:szCs w:val="22"/>
        </w:rPr>
        <w:t xml:space="preserve">It therefore follows, that no cases have been investigated, neither by the SAPS nor the DPCI. </w:t>
      </w:r>
    </w:p>
    <w:p w:rsidR="0065230A" w:rsidRDefault="0065230A"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TAX OMBUD</w:t>
      </w:r>
    </w:p>
    <w:p w:rsidR="000B1C23" w:rsidRDefault="000B1C23" w:rsidP="000B1C23">
      <w:pPr>
        <w:pBdr>
          <w:bottom w:val="single" w:sz="6" w:space="1" w:color="auto"/>
        </w:pBdr>
        <w:rPr>
          <w:rFonts w:ascii="Arial" w:hAnsi="Arial" w:cs="Arial"/>
          <w:sz w:val="22"/>
          <w:szCs w:val="22"/>
        </w:rPr>
      </w:pPr>
    </w:p>
    <w:p w:rsidR="0065230A" w:rsidRDefault="00567493" w:rsidP="000B1C23">
      <w:pPr>
        <w:pBdr>
          <w:bottom w:val="single" w:sz="6" w:space="1" w:color="auto"/>
        </w:pBdr>
        <w:rPr>
          <w:rFonts w:ascii="Arial" w:hAnsi="Arial" w:cs="Arial"/>
          <w:sz w:val="22"/>
          <w:szCs w:val="22"/>
        </w:rPr>
      </w:pPr>
      <w:r>
        <w:rPr>
          <w:rFonts w:ascii="Arial" w:hAnsi="Arial" w:cs="Arial"/>
          <w:sz w:val="22"/>
          <w:szCs w:val="22"/>
        </w:rPr>
        <w:t xml:space="preserve">The Office of the Tax Ombud has never referred cases relating to the Prevention and Combating of Corrupt Activities Act, Act 12 of 2004, as amended, to SA Police Service (SAPS) or Director for Priority Crime Investigation (DPCI). </w:t>
      </w:r>
    </w:p>
    <w:p w:rsidR="0065230A" w:rsidRDefault="0065230A" w:rsidP="000B1C23">
      <w:pPr>
        <w:pBdr>
          <w:bottom w:val="single" w:sz="6" w:space="1" w:color="auto"/>
        </w:pBdr>
        <w:rPr>
          <w:rFonts w:ascii="Arial" w:hAnsi="Arial" w:cs="Arial"/>
          <w:sz w:val="22"/>
          <w:szCs w:val="22"/>
        </w:rPr>
      </w:pPr>
    </w:p>
    <w:p w:rsidR="00567493" w:rsidRDefault="00567493" w:rsidP="00D95E6F">
      <w:pPr>
        <w:tabs>
          <w:tab w:val="left" w:pos="432"/>
          <w:tab w:val="left" w:pos="864"/>
        </w:tabs>
        <w:spacing w:line="276" w:lineRule="auto"/>
        <w:rPr>
          <w:rFonts w:ascii="Arial" w:hAnsi="Arial" w:cs="Arial"/>
          <w:b/>
          <w:sz w:val="22"/>
          <w:szCs w:val="22"/>
          <w:u w:val="single"/>
        </w:rPr>
      </w:pPr>
    </w:p>
    <w:p w:rsidR="00567493" w:rsidRDefault="00567493" w:rsidP="00D95E6F">
      <w:pPr>
        <w:tabs>
          <w:tab w:val="left" w:pos="432"/>
          <w:tab w:val="left" w:pos="864"/>
        </w:tabs>
        <w:spacing w:line="276" w:lineRule="auto"/>
        <w:rPr>
          <w:rFonts w:ascii="Arial" w:hAnsi="Arial" w:cs="Arial"/>
          <w:b/>
          <w:sz w:val="22"/>
          <w:szCs w:val="22"/>
          <w:u w:val="single"/>
        </w:rPr>
      </w:pPr>
    </w:p>
    <w:p w:rsidR="00567493" w:rsidRDefault="00567493" w:rsidP="00D95E6F">
      <w:pPr>
        <w:tabs>
          <w:tab w:val="left" w:pos="432"/>
          <w:tab w:val="left" w:pos="864"/>
        </w:tabs>
        <w:spacing w:line="276" w:lineRule="auto"/>
        <w:rPr>
          <w:rFonts w:ascii="Arial" w:hAnsi="Arial" w:cs="Arial"/>
          <w:b/>
          <w:sz w:val="22"/>
          <w:szCs w:val="22"/>
          <w:u w:val="single"/>
        </w:rPr>
      </w:pPr>
    </w:p>
    <w:p w:rsidR="00567493" w:rsidRDefault="00567493" w:rsidP="00D95E6F">
      <w:pPr>
        <w:tabs>
          <w:tab w:val="left" w:pos="432"/>
          <w:tab w:val="left" w:pos="864"/>
        </w:tabs>
        <w:spacing w:line="276" w:lineRule="auto"/>
        <w:rPr>
          <w:rFonts w:ascii="Arial" w:hAnsi="Arial" w:cs="Arial"/>
          <w:b/>
          <w:sz w:val="22"/>
          <w:szCs w:val="22"/>
          <w:u w:val="single"/>
        </w:rPr>
      </w:pPr>
    </w:p>
    <w:p w:rsidR="00695CE9" w:rsidRDefault="00695CE9" w:rsidP="00D95E6F">
      <w:pPr>
        <w:tabs>
          <w:tab w:val="left" w:pos="432"/>
          <w:tab w:val="left" w:pos="864"/>
        </w:tabs>
        <w:spacing w:line="276" w:lineRule="auto"/>
        <w:rPr>
          <w:rFonts w:ascii="Arial" w:hAnsi="Arial" w:cs="Arial"/>
          <w:b/>
          <w:sz w:val="22"/>
          <w:szCs w:val="22"/>
          <w:u w:val="single"/>
        </w:rPr>
      </w:pPr>
    </w:p>
    <w:p w:rsidR="00695CE9" w:rsidRDefault="00695CE9" w:rsidP="00D95E6F">
      <w:pPr>
        <w:tabs>
          <w:tab w:val="left" w:pos="432"/>
          <w:tab w:val="left" w:pos="864"/>
        </w:tabs>
        <w:spacing w:line="276" w:lineRule="auto"/>
        <w:rPr>
          <w:rFonts w:ascii="Arial" w:hAnsi="Arial" w:cs="Arial"/>
          <w:b/>
          <w:sz w:val="22"/>
          <w:szCs w:val="22"/>
          <w:u w:val="single"/>
        </w:rPr>
      </w:pPr>
    </w:p>
    <w:p w:rsidR="00695CE9" w:rsidRDefault="00695CE9" w:rsidP="00D95E6F">
      <w:pPr>
        <w:tabs>
          <w:tab w:val="left" w:pos="432"/>
          <w:tab w:val="left" w:pos="864"/>
        </w:tabs>
        <w:spacing w:line="276" w:lineRule="auto"/>
        <w:rPr>
          <w:rFonts w:ascii="Arial" w:hAnsi="Arial" w:cs="Arial"/>
          <w:b/>
          <w:sz w:val="22"/>
          <w:szCs w:val="22"/>
          <w:u w:val="single"/>
        </w:rPr>
      </w:pPr>
    </w:p>
    <w:p w:rsidR="00695CE9" w:rsidRDefault="00695CE9" w:rsidP="00D95E6F">
      <w:pPr>
        <w:tabs>
          <w:tab w:val="left" w:pos="432"/>
          <w:tab w:val="left" w:pos="864"/>
        </w:tabs>
        <w:spacing w:line="276" w:lineRule="auto"/>
        <w:rPr>
          <w:rFonts w:ascii="Arial" w:hAnsi="Arial" w:cs="Arial"/>
          <w:b/>
          <w:sz w:val="22"/>
          <w:szCs w:val="22"/>
          <w:u w:val="single"/>
        </w:rPr>
      </w:pPr>
    </w:p>
    <w:p w:rsidR="00695CE9" w:rsidRDefault="00695CE9" w:rsidP="00D95E6F">
      <w:pPr>
        <w:tabs>
          <w:tab w:val="left" w:pos="432"/>
          <w:tab w:val="left" w:pos="864"/>
        </w:tabs>
        <w:spacing w:line="276" w:lineRule="auto"/>
        <w:rPr>
          <w:rFonts w:ascii="Arial" w:hAnsi="Arial" w:cs="Arial"/>
          <w:b/>
          <w:sz w:val="22"/>
          <w:szCs w:val="22"/>
          <w:u w:val="single"/>
        </w:rPr>
      </w:pPr>
    </w:p>
    <w:p w:rsidR="00B77F67" w:rsidRPr="001B0917" w:rsidRDefault="00B77F67" w:rsidP="00EF3492">
      <w:pPr>
        <w:rPr>
          <w:rFonts w:ascii="Arial" w:hAnsi="Arial" w:cs="Arial"/>
          <w:b/>
          <w:sz w:val="22"/>
          <w:szCs w:val="22"/>
        </w:rPr>
      </w:pPr>
    </w:p>
    <w:sectPr w:rsidR="00B77F67" w:rsidRPr="001B0917" w:rsidSect="004F43FB">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DF" w:rsidRDefault="001D47DF" w:rsidP="001D47DF">
      <w:r>
        <w:separator/>
      </w:r>
    </w:p>
  </w:endnote>
  <w:endnote w:type="continuationSeparator" w:id="0">
    <w:p w:rsidR="001D47DF" w:rsidRDefault="001D47DF" w:rsidP="001D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378135"/>
      <w:docPartObj>
        <w:docPartGallery w:val="Page Numbers (Bottom of Page)"/>
        <w:docPartUnique/>
      </w:docPartObj>
    </w:sdtPr>
    <w:sdtEndPr>
      <w:rPr>
        <w:noProof/>
      </w:rPr>
    </w:sdtEndPr>
    <w:sdtContent>
      <w:p w:rsidR="001D47DF" w:rsidRDefault="001D47DF">
        <w:pPr>
          <w:pStyle w:val="Footer"/>
          <w:jc w:val="right"/>
        </w:pPr>
        <w:r>
          <w:fldChar w:fldCharType="begin"/>
        </w:r>
        <w:r>
          <w:instrText xml:space="preserve"> PAGE   \* MERGEFORMAT </w:instrText>
        </w:r>
        <w:r>
          <w:fldChar w:fldCharType="separate"/>
        </w:r>
        <w:r w:rsidR="00476C2C">
          <w:rPr>
            <w:noProof/>
          </w:rPr>
          <w:t>1</w:t>
        </w:r>
        <w:r>
          <w:rPr>
            <w:noProof/>
          </w:rPr>
          <w:fldChar w:fldCharType="end"/>
        </w:r>
      </w:p>
    </w:sdtContent>
  </w:sdt>
  <w:p w:rsidR="001D47DF" w:rsidRDefault="001D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DF" w:rsidRDefault="001D47DF" w:rsidP="001D47DF">
      <w:r>
        <w:separator/>
      </w:r>
    </w:p>
  </w:footnote>
  <w:footnote w:type="continuationSeparator" w:id="0">
    <w:p w:rsidR="001D47DF" w:rsidRDefault="001D47DF" w:rsidP="001D4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3B1"/>
    <w:multiLevelType w:val="hybridMultilevel"/>
    <w:tmpl w:val="46C09440"/>
    <w:lvl w:ilvl="0" w:tplc="B46AB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4247"/>
    <w:multiLevelType w:val="hybridMultilevel"/>
    <w:tmpl w:val="968E5E5C"/>
    <w:lvl w:ilvl="0" w:tplc="BB08A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0B0C91"/>
    <w:multiLevelType w:val="hybridMultilevel"/>
    <w:tmpl w:val="92B25F4C"/>
    <w:lvl w:ilvl="0" w:tplc="A1524B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7202E2"/>
    <w:multiLevelType w:val="hybridMultilevel"/>
    <w:tmpl w:val="62280778"/>
    <w:lvl w:ilvl="0" w:tplc="D866643A">
      <w:numFmt w:val="bullet"/>
      <w:lvlText w:val="•"/>
      <w:lvlJc w:val="left"/>
      <w:pPr>
        <w:ind w:left="867" w:hanging="435"/>
      </w:pPr>
      <w:rPr>
        <w:rFonts w:ascii="Arial" w:eastAsia="Times New Roman" w:hAnsi="Arial" w:cs="Aria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4">
    <w:nsid w:val="272C0734"/>
    <w:multiLevelType w:val="hybridMultilevel"/>
    <w:tmpl w:val="BC0A6AA4"/>
    <w:lvl w:ilvl="0" w:tplc="B93EF3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DCC61C1"/>
    <w:multiLevelType w:val="hybridMultilevel"/>
    <w:tmpl w:val="A6B29E38"/>
    <w:lvl w:ilvl="0" w:tplc="619E76A8">
      <w:start w:val="1"/>
      <w:numFmt w:val="lowerLetter"/>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6">
    <w:nsid w:val="50187D5C"/>
    <w:multiLevelType w:val="hybridMultilevel"/>
    <w:tmpl w:val="F95ABC6C"/>
    <w:lvl w:ilvl="0" w:tplc="9648F28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B10E9"/>
    <w:multiLevelType w:val="hybridMultilevel"/>
    <w:tmpl w:val="D2525394"/>
    <w:lvl w:ilvl="0" w:tplc="9BE8A83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B185EE8"/>
    <w:multiLevelType w:val="hybridMultilevel"/>
    <w:tmpl w:val="B4465A9A"/>
    <w:lvl w:ilvl="0" w:tplc="A8E013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E4B26"/>
    <w:multiLevelType w:val="hybridMultilevel"/>
    <w:tmpl w:val="F5EE4F44"/>
    <w:lvl w:ilvl="0" w:tplc="B3149ECE">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7B81F90"/>
    <w:multiLevelType w:val="hybridMultilevel"/>
    <w:tmpl w:val="3112EC9C"/>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1"/>
  </w:num>
  <w:num w:numId="2">
    <w:abstractNumId w:val="12"/>
  </w:num>
  <w:num w:numId="3">
    <w:abstractNumId w:val="7"/>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9"/>
  </w:num>
  <w:num w:numId="9">
    <w:abstractNumId w:val="6"/>
  </w:num>
  <w:num w:numId="10">
    <w:abstractNumId w:val="2"/>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952B8"/>
    <w:rsid w:val="000B1C23"/>
    <w:rsid w:val="000C2BEF"/>
    <w:rsid w:val="000C48D8"/>
    <w:rsid w:val="000D1DAB"/>
    <w:rsid w:val="000E485F"/>
    <w:rsid w:val="000F3B14"/>
    <w:rsid w:val="001433AE"/>
    <w:rsid w:val="0014441E"/>
    <w:rsid w:val="0015727B"/>
    <w:rsid w:val="001632FF"/>
    <w:rsid w:val="00197576"/>
    <w:rsid w:val="001B0917"/>
    <w:rsid w:val="001D47DF"/>
    <w:rsid w:val="001D4937"/>
    <w:rsid w:val="001E3FB5"/>
    <w:rsid w:val="001E6902"/>
    <w:rsid w:val="001F4B50"/>
    <w:rsid w:val="00207912"/>
    <w:rsid w:val="0022502D"/>
    <w:rsid w:val="002308BB"/>
    <w:rsid w:val="002867DD"/>
    <w:rsid w:val="002A4157"/>
    <w:rsid w:val="002F6E86"/>
    <w:rsid w:val="003336E1"/>
    <w:rsid w:val="00341CED"/>
    <w:rsid w:val="003421BD"/>
    <w:rsid w:val="00344553"/>
    <w:rsid w:val="00351BF5"/>
    <w:rsid w:val="003678E6"/>
    <w:rsid w:val="00382E3F"/>
    <w:rsid w:val="003F347D"/>
    <w:rsid w:val="0043065E"/>
    <w:rsid w:val="00472D86"/>
    <w:rsid w:val="00476C2C"/>
    <w:rsid w:val="00485B2E"/>
    <w:rsid w:val="004A078E"/>
    <w:rsid w:val="004F43FB"/>
    <w:rsid w:val="005141B3"/>
    <w:rsid w:val="00532BB4"/>
    <w:rsid w:val="00533C35"/>
    <w:rsid w:val="00567493"/>
    <w:rsid w:val="005706F1"/>
    <w:rsid w:val="00574E19"/>
    <w:rsid w:val="005A7170"/>
    <w:rsid w:val="005F2A87"/>
    <w:rsid w:val="00602959"/>
    <w:rsid w:val="00613FC6"/>
    <w:rsid w:val="00617EEE"/>
    <w:rsid w:val="006239F1"/>
    <w:rsid w:val="00624D20"/>
    <w:rsid w:val="0062770E"/>
    <w:rsid w:val="0064275F"/>
    <w:rsid w:val="00646E7C"/>
    <w:rsid w:val="00647EF2"/>
    <w:rsid w:val="0065230A"/>
    <w:rsid w:val="00653A85"/>
    <w:rsid w:val="00685058"/>
    <w:rsid w:val="00693A64"/>
    <w:rsid w:val="00695CE9"/>
    <w:rsid w:val="006D1766"/>
    <w:rsid w:val="007023C0"/>
    <w:rsid w:val="007118EA"/>
    <w:rsid w:val="00726A9C"/>
    <w:rsid w:val="0073155D"/>
    <w:rsid w:val="007359BF"/>
    <w:rsid w:val="00743F26"/>
    <w:rsid w:val="0076668B"/>
    <w:rsid w:val="007749D9"/>
    <w:rsid w:val="00780F57"/>
    <w:rsid w:val="007914E0"/>
    <w:rsid w:val="007A32AF"/>
    <w:rsid w:val="007B1BA1"/>
    <w:rsid w:val="007D4060"/>
    <w:rsid w:val="007E56A2"/>
    <w:rsid w:val="00803AC4"/>
    <w:rsid w:val="00813FF0"/>
    <w:rsid w:val="0082383E"/>
    <w:rsid w:val="008321A4"/>
    <w:rsid w:val="00841626"/>
    <w:rsid w:val="00852DC3"/>
    <w:rsid w:val="0086351A"/>
    <w:rsid w:val="00876CBB"/>
    <w:rsid w:val="00891265"/>
    <w:rsid w:val="008C2559"/>
    <w:rsid w:val="008E01C3"/>
    <w:rsid w:val="008E4142"/>
    <w:rsid w:val="00911717"/>
    <w:rsid w:val="009163A5"/>
    <w:rsid w:val="00953363"/>
    <w:rsid w:val="0096007E"/>
    <w:rsid w:val="009A18A7"/>
    <w:rsid w:val="009B6641"/>
    <w:rsid w:val="009D1BE3"/>
    <w:rsid w:val="009E1AB2"/>
    <w:rsid w:val="009E6A2E"/>
    <w:rsid w:val="00A02200"/>
    <w:rsid w:val="00A45FE5"/>
    <w:rsid w:val="00A525F0"/>
    <w:rsid w:val="00A5731A"/>
    <w:rsid w:val="00A677C3"/>
    <w:rsid w:val="00A72B9B"/>
    <w:rsid w:val="00AA4ED9"/>
    <w:rsid w:val="00AB610C"/>
    <w:rsid w:val="00AD00CE"/>
    <w:rsid w:val="00AD5C9B"/>
    <w:rsid w:val="00AE07DE"/>
    <w:rsid w:val="00B03AF4"/>
    <w:rsid w:val="00B03DD6"/>
    <w:rsid w:val="00B20E37"/>
    <w:rsid w:val="00B35E0C"/>
    <w:rsid w:val="00B447E6"/>
    <w:rsid w:val="00B77F67"/>
    <w:rsid w:val="00B913C7"/>
    <w:rsid w:val="00B95452"/>
    <w:rsid w:val="00BD31C6"/>
    <w:rsid w:val="00BD71E6"/>
    <w:rsid w:val="00C06277"/>
    <w:rsid w:val="00C25C7E"/>
    <w:rsid w:val="00C312EA"/>
    <w:rsid w:val="00C44C35"/>
    <w:rsid w:val="00C472D6"/>
    <w:rsid w:val="00C60822"/>
    <w:rsid w:val="00CA09E3"/>
    <w:rsid w:val="00CB4FDB"/>
    <w:rsid w:val="00CB51AD"/>
    <w:rsid w:val="00CC05A6"/>
    <w:rsid w:val="00CC2F3E"/>
    <w:rsid w:val="00D01E04"/>
    <w:rsid w:val="00D0666D"/>
    <w:rsid w:val="00D363B6"/>
    <w:rsid w:val="00D95E6F"/>
    <w:rsid w:val="00DB2463"/>
    <w:rsid w:val="00DC769E"/>
    <w:rsid w:val="00DD5296"/>
    <w:rsid w:val="00DE122E"/>
    <w:rsid w:val="00DE76CB"/>
    <w:rsid w:val="00DF0D26"/>
    <w:rsid w:val="00E42AEE"/>
    <w:rsid w:val="00E55071"/>
    <w:rsid w:val="00E60EE1"/>
    <w:rsid w:val="00E74171"/>
    <w:rsid w:val="00E77DF6"/>
    <w:rsid w:val="00E8352B"/>
    <w:rsid w:val="00EA468F"/>
    <w:rsid w:val="00EA6A49"/>
    <w:rsid w:val="00EC4BF6"/>
    <w:rsid w:val="00EC7EE8"/>
    <w:rsid w:val="00EF3492"/>
    <w:rsid w:val="00F03C60"/>
    <w:rsid w:val="00F51C17"/>
    <w:rsid w:val="00F5571A"/>
    <w:rsid w:val="00F65949"/>
    <w:rsid w:val="00F754AB"/>
    <w:rsid w:val="00F86F17"/>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A6"/>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table" w:styleId="GridTable5Dark">
    <w:name w:val="Grid Table 5 Dark"/>
    <w:basedOn w:val="TableNormal"/>
    <w:uiPriority w:val="50"/>
    <w:rsid w:val="001632F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nhideWhenUsed/>
    <w:rsid w:val="001D47DF"/>
    <w:pPr>
      <w:tabs>
        <w:tab w:val="center" w:pos="4680"/>
        <w:tab w:val="right" w:pos="9360"/>
      </w:tabs>
    </w:pPr>
  </w:style>
  <w:style w:type="character" w:customStyle="1" w:styleId="HeaderChar">
    <w:name w:val="Header Char"/>
    <w:basedOn w:val="DefaultParagraphFont"/>
    <w:link w:val="Header"/>
    <w:rsid w:val="001D47DF"/>
    <w:rPr>
      <w:sz w:val="24"/>
      <w:szCs w:val="24"/>
      <w:lang w:val="en-US" w:eastAsia="en-US"/>
    </w:rPr>
  </w:style>
  <w:style w:type="paragraph" w:styleId="Footer">
    <w:name w:val="footer"/>
    <w:basedOn w:val="Normal"/>
    <w:link w:val="FooterChar"/>
    <w:uiPriority w:val="99"/>
    <w:unhideWhenUsed/>
    <w:rsid w:val="001D47DF"/>
    <w:pPr>
      <w:tabs>
        <w:tab w:val="center" w:pos="4680"/>
        <w:tab w:val="right" w:pos="9360"/>
      </w:tabs>
    </w:pPr>
  </w:style>
  <w:style w:type="character" w:customStyle="1" w:styleId="FooterChar">
    <w:name w:val="Footer Char"/>
    <w:basedOn w:val="DefaultParagraphFont"/>
    <w:link w:val="Footer"/>
    <w:uiPriority w:val="99"/>
    <w:rsid w:val="001D47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7388">
      <w:bodyDiv w:val="1"/>
      <w:marLeft w:val="0"/>
      <w:marRight w:val="0"/>
      <w:marTop w:val="0"/>
      <w:marBottom w:val="0"/>
      <w:divBdr>
        <w:top w:val="none" w:sz="0" w:space="0" w:color="auto"/>
        <w:left w:val="none" w:sz="0" w:space="0" w:color="auto"/>
        <w:bottom w:val="none" w:sz="0" w:space="0" w:color="auto"/>
        <w:right w:val="none" w:sz="0" w:space="0" w:color="auto"/>
      </w:divBdr>
    </w:div>
    <w:div w:id="1183788318">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3E44-3BE6-4C77-83FA-074B9F4D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2018-04-26T12:07:00Z</cp:lastPrinted>
  <dcterms:created xsi:type="dcterms:W3CDTF">2018-07-04T08:00:00Z</dcterms:created>
  <dcterms:modified xsi:type="dcterms:W3CDTF">2018-07-04T08:00:00Z</dcterms:modified>
</cp:coreProperties>
</file>