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A47320" w:rsidRDefault="0015130F" w:rsidP="00A47320">
      <w:pPr>
        <w:spacing w:line="276" w:lineRule="auto"/>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Pr="00A47320" w:rsidRDefault="00EC7D9A" w:rsidP="00A47320">
      <w:pPr>
        <w:spacing w:line="276" w:lineRule="auto"/>
        <w:jc w:val="center"/>
        <w:outlineLvl w:val="0"/>
        <w:rPr>
          <w:rFonts w:ascii="Arial" w:eastAsia="Arial Unicode MS" w:hAnsi="Arial" w:cs="Arial"/>
          <w:b/>
          <w:color w:val="000000"/>
          <w:u w:color="000000"/>
        </w:rPr>
      </w:pPr>
    </w:p>
    <w:p w:rsidR="00EC7D9A" w:rsidRPr="00A47320" w:rsidRDefault="00EC7D9A" w:rsidP="00A47320">
      <w:pPr>
        <w:spacing w:line="276" w:lineRule="auto"/>
        <w:jc w:val="center"/>
        <w:outlineLvl w:val="0"/>
        <w:rPr>
          <w:rFonts w:ascii="Arial" w:eastAsia="Arial Unicode MS" w:hAnsi="Arial" w:cs="Arial"/>
          <w:b/>
          <w:color w:val="000000"/>
          <w:u w:color="000000"/>
        </w:rPr>
      </w:pPr>
    </w:p>
    <w:p w:rsidR="00EC7D9A" w:rsidRPr="00A47320" w:rsidRDefault="00EC7D9A" w:rsidP="00A47320">
      <w:pPr>
        <w:spacing w:line="276" w:lineRule="auto"/>
        <w:jc w:val="center"/>
        <w:outlineLvl w:val="0"/>
        <w:rPr>
          <w:rFonts w:ascii="Arial" w:eastAsia="Arial Unicode MS" w:hAnsi="Arial" w:cs="Arial"/>
          <w:b/>
          <w:color w:val="000000"/>
          <w:u w:color="000000"/>
        </w:rPr>
      </w:pPr>
    </w:p>
    <w:p w:rsidR="00AD2102" w:rsidRPr="00A47320" w:rsidRDefault="00AD2102" w:rsidP="00A47320">
      <w:pPr>
        <w:spacing w:line="276" w:lineRule="auto"/>
        <w:jc w:val="center"/>
        <w:outlineLvl w:val="0"/>
        <w:rPr>
          <w:rFonts w:ascii="Arial" w:eastAsia="Arial Unicode MS" w:hAnsi="Arial" w:cs="Arial"/>
          <w:b/>
          <w:color w:val="000000"/>
          <w:u w:color="000000"/>
        </w:rPr>
      </w:pPr>
    </w:p>
    <w:p w:rsidR="00AD2102" w:rsidRPr="00A47320" w:rsidRDefault="00AD2102" w:rsidP="00A47320">
      <w:pPr>
        <w:spacing w:line="276" w:lineRule="auto"/>
        <w:jc w:val="center"/>
        <w:outlineLvl w:val="0"/>
        <w:rPr>
          <w:rFonts w:ascii="Arial" w:eastAsia="Arial Unicode MS" w:hAnsi="Arial" w:cs="Arial"/>
          <w:b/>
          <w:color w:val="000000"/>
          <w:u w:color="000000"/>
        </w:rPr>
      </w:pPr>
    </w:p>
    <w:p w:rsidR="00146CB1" w:rsidRPr="00A47320" w:rsidRDefault="00146CB1" w:rsidP="00A47320">
      <w:pPr>
        <w:spacing w:line="276" w:lineRule="auto"/>
        <w:outlineLvl w:val="0"/>
        <w:rPr>
          <w:rFonts w:ascii="Arial" w:eastAsia="Arial Unicode MS" w:hAnsi="Arial" w:cs="Arial"/>
          <w:b/>
          <w:noProof/>
          <w:color w:val="FF0000"/>
          <w:u w:color="000000"/>
          <w:lang w:val="en-ZA" w:eastAsia="en-ZA"/>
        </w:rPr>
      </w:pPr>
    </w:p>
    <w:p w:rsidR="00F91C95" w:rsidRPr="00A47320" w:rsidRDefault="00F91C95" w:rsidP="00A47320">
      <w:pPr>
        <w:spacing w:line="276" w:lineRule="auto"/>
        <w:jc w:val="center"/>
        <w:outlineLvl w:val="0"/>
        <w:rPr>
          <w:rFonts w:ascii="Arial" w:eastAsia="Arial Unicode MS" w:hAnsi="Arial" w:cs="Arial"/>
          <w:b/>
          <w:noProof/>
          <w:color w:val="000000"/>
          <w:u w:color="000000"/>
          <w:lang w:val="en-ZA" w:eastAsia="en-ZA"/>
        </w:rPr>
      </w:pPr>
    </w:p>
    <w:p w:rsidR="00F91C95" w:rsidRPr="00A47320" w:rsidRDefault="00F91C95" w:rsidP="00A47320">
      <w:pPr>
        <w:spacing w:line="276" w:lineRule="auto"/>
        <w:jc w:val="center"/>
        <w:outlineLvl w:val="0"/>
        <w:rPr>
          <w:rFonts w:ascii="Arial" w:eastAsia="Arial Unicode MS" w:hAnsi="Arial" w:cs="Arial"/>
          <w:b/>
          <w:noProof/>
          <w:color w:val="000000"/>
          <w:u w:color="000000"/>
          <w:lang w:val="en-ZA" w:eastAsia="en-ZA"/>
        </w:rPr>
      </w:pPr>
    </w:p>
    <w:p w:rsidR="00F91C95" w:rsidRPr="00A47320" w:rsidRDefault="00F91C95" w:rsidP="00A47320">
      <w:pPr>
        <w:spacing w:line="276" w:lineRule="auto"/>
        <w:outlineLvl w:val="0"/>
        <w:rPr>
          <w:rFonts w:ascii="Arial" w:eastAsia="Arial Unicode MS" w:hAnsi="Arial" w:cs="Arial"/>
          <w:b/>
          <w:noProof/>
          <w:color w:val="000000"/>
          <w:u w:color="000000"/>
          <w:lang w:val="en-ZA" w:eastAsia="en-ZA"/>
        </w:rPr>
      </w:pPr>
    </w:p>
    <w:p w:rsidR="00B27CA7" w:rsidRPr="00A47320" w:rsidRDefault="00B27CA7" w:rsidP="00A47320">
      <w:pPr>
        <w:spacing w:line="276" w:lineRule="auto"/>
        <w:jc w:val="center"/>
        <w:outlineLvl w:val="0"/>
        <w:rPr>
          <w:rFonts w:ascii="Arial" w:eastAsia="Arial Unicode MS" w:hAnsi="Arial" w:cs="Arial"/>
          <w:b/>
          <w:noProof/>
          <w:color w:val="000000"/>
          <w:u w:color="000000"/>
          <w:lang w:val="en-ZA" w:eastAsia="en-ZA"/>
        </w:rPr>
      </w:pPr>
      <w:r w:rsidRPr="00A47320">
        <w:rPr>
          <w:rFonts w:ascii="Arial" w:eastAsia="Arial Unicode MS" w:hAnsi="Arial" w:cs="Arial"/>
          <w:b/>
          <w:noProof/>
          <w:color w:val="000000"/>
          <w:u w:color="000000"/>
          <w:lang w:val="en-ZA" w:eastAsia="en-ZA"/>
        </w:rPr>
        <w:t>NATIONAL ASSEMBLY</w:t>
      </w:r>
    </w:p>
    <w:p w:rsidR="00B27CA7" w:rsidRPr="00A47320" w:rsidRDefault="00B27CA7" w:rsidP="00A47320">
      <w:pPr>
        <w:spacing w:line="276" w:lineRule="auto"/>
        <w:jc w:val="both"/>
        <w:outlineLvl w:val="0"/>
        <w:rPr>
          <w:rFonts w:ascii="Arial" w:eastAsia="Arial Unicode MS" w:hAnsi="Arial" w:cs="Arial"/>
          <w:b/>
          <w:color w:val="000000"/>
          <w:u w:color="000000"/>
        </w:rPr>
      </w:pPr>
    </w:p>
    <w:p w:rsidR="00B27CA7" w:rsidRPr="00A47320" w:rsidRDefault="00B27CA7" w:rsidP="00A47320">
      <w:pPr>
        <w:spacing w:line="276" w:lineRule="auto"/>
        <w:jc w:val="both"/>
        <w:outlineLvl w:val="0"/>
        <w:rPr>
          <w:rFonts w:ascii="Arial" w:eastAsia="Arial Unicode MS" w:hAnsi="Arial" w:cs="Arial"/>
          <w:b/>
          <w:color w:val="000000"/>
          <w:u w:color="000000"/>
        </w:rPr>
      </w:pPr>
    </w:p>
    <w:p w:rsidR="00B27CA7" w:rsidRPr="00A47320" w:rsidRDefault="00B27CA7" w:rsidP="00A47320">
      <w:pPr>
        <w:spacing w:line="276" w:lineRule="auto"/>
        <w:jc w:val="both"/>
        <w:outlineLvl w:val="0"/>
        <w:rPr>
          <w:rFonts w:ascii="Arial" w:eastAsia="Arial Unicode MS" w:hAnsi="Arial" w:cs="Arial"/>
          <w:b/>
          <w:color w:val="000000"/>
          <w:u w:color="000000"/>
        </w:rPr>
      </w:pPr>
      <w:r w:rsidRPr="00A47320">
        <w:rPr>
          <w:rFonts w:ascii="Arial" w:eastAsia="Arial Unicode MS" w:hAnsi="Arial" w:cs="Arial"/>
          <w:b/>
          <w:color w:val="000000"/>
          <w:u w:color="000000"/>
        </w:rPr>
        <w:t>WRITTEN REPLY</w:t>
      </w:r>
    </w:p>
    <w:p w:rsidR="00B27CA7" w:rsidRPr="00A47320" w:rsidRDefault="00B27CA7" w:rsidP="00A47320">
      <w:pPr>
        <w:spacing w:before="240" w:line="276" w:lineRule="auto"/>
        <w:jc w:val="both"/>
        <w:outlineLvl w:val="0"/>
        <w:rPr>
          <w:rFonts w:ascii="Arial" w:eastAsia="Arial Unicode MS" w:hAnsi="Arial" w:cs="Arial"/>
          <w:b/>
          <w:color w:val="000000"/>
          <w:u w:color="000000"/>
        </w:rPr>
      </w:pPr>
      <w:r w:rsidRPr="00A47320">
        <w:rPr>
          <w:rFonts w:ascii="Arial" w:eastAsia="Arial Unicode MS" w:hAnsi="Arial" w:cs="Arial"/>
          <w:b/>
          <w:color w:val="000000"/>
          <w:u w:color="000000"/>
        </w:rPr>
        <w:t xml:space="preserve">PARLIAMENTARY QUESTIONS: 1646 </w:t>
      </w:r>
    </w:p>
    <w:p w:rsidR="00B27CA7" w:rsidRPr="00A47320" w:rsidRDefault="00B27CA7" w:rsidP="00A47320">
      <w:pPr>
        <w:spacing w:before="240" w:line="276" w:lineRule="auto"/>
        <w:jc w:val="both"/>
        <w:outlineLvl w:val="0"/>
        <w:rPr>
          <w:rFonts w:ascii="Arial" w:eastAsia="Arial Unicode MS" w:hAnsi="Arial" w:cs="Arial"/>
          <w:b/>
          <w:u w:color="000000"/>
        </w:rPr>
      </w:pPr>
      <w:r w:rsidRPr="00A47320">
        <w:rPr>
          <w:rFonts w:ascii="Arial" w:eastAsia="Arial Unicode MS" w:hAnsi="Arial" w:cs="Arial"/>
          <w:b/>
          <w:color w:val="000000"/>
          <w:u w:color="000000"/>
        </w:rPr>
        <w:t>DATE OF PUBLICATION: 1 June</w:t>
      </w:r>
      <w:r w:rsidRPr="00A47320">
        <w:rPr>
          <w:rFonts w:ascii="Arial" w:eastAsia="Arial Unicode MS" w:hAnsi="Arial" w:cs="Arial"/>
          <w:b/>
          <w:color w:val="FF0000"/>
          <w:u w:color="000000"/>
        </w:rPr>
        <w:t xml:space="preserve"> </w:t>
      </w:r>
      <w:r w:rsidRPr="00A47320">
        <w:rPr>
          <w:rFonts w:ascii="Arial" w:eastAsia="Arial Unicode MS" w:hAnsi="Arial" w:cs="Arial"/>
          <w:b/>
          <w:u w:color="000000"/>
        </w:rPr>
        <w:t>2018</w:t>
      </w:r>
    </w:p>
    <w:p w:rsidR="00B27CA7" w:rsidRPr="00A47320" w:rsidRDefault="00B27CA7" w:rsidP="00A47320">
      <w:pPr>
        <w:spacing w:before="100" w:beforeAutospacing="1" w:after="100" w:afterAutospacing="1" w:line="276" w:lineRule="auto"/>
        <w:ind w:left="426" w:hanging="426"/>
        <w:jc w:val="both"/>
        <w:rPr>
          <w:rFonts w:ascii="Arial" w:hAnsi="Arial" w:cs="Arial"/>
          <w:bCs/>
          <w:lang w:val="en-GB"/>
        </w:rPr>
      </w:pPr>
      <w:r w:rsidRPr="00A47320">
        <w:rPr>
          <w:rFonts w:ascii="Arial" w:hAnsi="Arial" w:cs="Arial"/>
          <w:b/>
          <w:bCs/>
          <w:lang w:val="en-GB"/>
        </w:rPr>
        <w:t>Ms V van Dyk (DA) to ask the Minister of Economic Development</w:t>
      </w:r>
    </w:p>
    <w:p w:rsidR="00B27CA7" w:rsidRPr="00A47320" w:rsidRDefault="00B27CA7" w:rsidP="00A47320">
      <w:pPr>
        <w:tabs>
          <w:tab w:val="left" w:pos="426"/>
        </w:tabs>
        <w:spacing w:before="100" w:beforeAutospacing="1" w:after="100" w:afterAutospacing="1" w:line="276" w:lineRule="auto"/>
        <w:ind w:left="426" w:hanging="426"/>
        <w:jc w:val="both"/>
        <w:rPr>
          <w:rFonts w:ascii="Arial" w:hAnsi="Arial" w:cs="Arial"/>
          <w:bCs/>
          <w:lang w:val="en-GB"/>
        </w:rPr>
      </w:pPr>
      <w:r w:rsidRPr="00A47320">
        <w:rPr>
          <w:rFonts w:ascii="Arial" w:hAnsi="Arial" w:cs="Arial"/>
          <w:bCs/>
          <w:lang w:val="en-GB"/>
        </w:rPr>
        <w:t>(a)</w:t>
      </w:r>
      <w:r w:rsidRPr="00A47320">
        <w:rPr>
          <w:rFonts w:ascii="Arial" w:hAnsi="Arial" w:cs="Arial"/>
          <w:bCs/>
          <w:lang w:val="en-GB"/>
        </w:rPr>
        <w:tab/>
        <w:t xml:space="preserve">What number of cases relating to the Prevention and Combating of Corrupt Activities Act, Act 12 of 2004, as amended, have been referred to the (i) SA Police Service (SAPS) and (ii) Directorate for Priority Crime Investigation (DPCT) by (aa) his department and (bb) each entity reporting to him for further investigation since the Act was assented to and </w:t>
      </w:r>
    </w:p>
    <w:p w:rsidR="00B27CA7" w:rsidRPr="00A47320" w:rsidRDefault="00B27CA7" w:rsidP="00A47320">
      <w:pPr>
        <w:spacing w:before="100" w:beforeAutospacing="1" w:after="100" w:afterAutospacing="1" w:line="276" w:lineRule="auto"/>
        <w:ind w:left="426" w:hanging="426"/>
        <w:jc w:val="both"/>
        <w:rPr>
          <w:rFonts w:ascii="Arial" w:hAnsi="Arial" w:cs="Arial"/>
          <w:bCs/>
          <w:lang w:val="en-GB"/>
        </w:rPr>
      </w:pPr>
      <w:r w:rsidRPr="00A47320">
        <w:rPr>
          <w:rFonts w:ascii="Arial" w:hAnsi="Arial" w:cs="Arial"/>
          <w:bCs/>
          <w:lang w:val="en-GB"/>
        </w:rPr>
        <w:t>(b) What number of the specified cases have (i) been investigated by SAPS and DPCI, (ii) been followed up by the respective accounting officers and (iii) resulted in a conviction in each specified financial year since 2004? NW1796E</w:t>
      </w:r>
    </w:p>
    <w:p w:rsidR="00B27CA7" w:rsidRPr="00A47320" w:rsidRDefault="00B27CA7" w:rsidP="00A47320">
      <w:pPr>
        <w:spacing w:before="100" w:beforeAutospacing="1" w:after="100" w:afterAutospacing="1" w:line="276" w:lineRule="auto"/>
        <w:ind w:firstLine="426"/>
        <w:jc w:val="both"/>
        <w:rPr>
          <w:rFonts w:ascii="Arial" w:hAnsi="Arial" w:cs="Arial"/>
          <w:b/>
          <w:bCs/>
          <w:lang w:val="en-GB"/>
        </w:rPr>
      </w:pPr>
      <w:r w:rsidRPr="00A47320">
        <w:rPr>
          <w:rFonts w:ascii="Arial" w:hAnsi="Arial" w:cs="Arial"/>
          <w:b/>
          <w:bCs/>
          <w:lang w:val="en-GB"/>
        </w:rPr>
        <w:t>REPLY</w:t>
      </w:r>
      <w:r w:rsidR="00A47320">
        <w:rPr>
          <w:rFonts w:ascii="Arial" w:hAnsi="Arial" w:cs="Arial"/>
          <w:b/>
          <w:bCs/>
          <w:lang w:val="en-GB"/>
        </w:rPr>
        <w:t>:</w:t>
      </w:r>
    </w:p>
    <w:p w:rsidR="00A62096" w:rsidRPr="00A47320" w:rsidRDefault="00A62096" w:rsidP="00A47320">
      <w:pPr>
        <w:spacing w:before="100" w:beforeAutospacing="1" w:after="100" w:afterAutospacing="1" w:line="276" w:lineRule="auto"/>
        <w:ind w:left="426"/>
        <w:jc w:val="both"/>
        <w:rPr>
          <w:rFonts w:ascii="Arial" w:hAnsi="Arial" w:cs="Arial"/>
          <w:b/>
          <w:bCs/>
          <w:u w:val="single"/>
          <w:lang w:val="en-GB"/>
        </w:rPr>
      </w:pPr>
      <w:r w:rsidRPr="00A47320">
        <w:rPr>
          <w:rFonts w:ascii="Arial" w:hAnsi="Arial" w:cs="Arial"/>
          <w:b/>
          <w:bCs/>
          <w:u w:val="single"/>
          <w:lang w:val="en-GB"/>
        </w:rPr>
        <w:t>Economic Development Department</w:t>
      </w:r>
    </w:p>
    <w:p w:rsidR="0075606C" w:rsidRPr="00A47320" w:rsidRDefault="009D530C" w:rsidP="0075606C">
      <w:pPr>
        <w:tabs>
          <w:tab w:val="left" w:pos="993"/>
        </w:tabs>
        <w:spacing w:before="100" w:beforeAutospacing="1" w:after="100" w:afterAutospacing="1" w:line="276" w:lineRule="auto"/>
        <w:ind w:left="426" w:hanging="426"/>
        <w:jc w:val="both"/>
        <w:rPr>
          <w:rFonts w:ascii="Arial" w:hAnsi="Arial" w:cs="Arial"/>
          <w:bCs/>
          <w:lang w:val="en-GB"/>
        </w:rPr>
      </w:pPr>
      <w:r>
        <w:rPr>
          <w:rFonts w:ascii="Arial" w:hAnsi="Arial" w:cs="Arial"/>
          <w:bCs/>
          <w:lang w:val="en-GB"/>
        </w:rPr>
        <w:tab/>
      </w:r>
      <w:r w:rsidR="00A62096" w:rsidRPr="00A47320">
        <w:rPr>
          <w:rFonts w:ascii="Arial" w:hAnsi="Arial" w:cs="Arial"/>
          <w:bCs/>
          <w:lang w:val="en-GB"/>
        </w:rPr>
        <w:t xml:space="preserve">There are two (2) criminal cases that </w:t>
      </w:r>
      <w:r w:rsidR="00165131">
        <w:rPr>
          <w:rFonts w:ascii="Arial" w:hAnsi="Arial" w:cs="Arial"/>
          <w:bCs/>
          <w:lang w:val="en-GB"/>
        </w:rPr>
        <w:t>were</w:t>
      </w:r>
      <w:r w:rsidR="00A62096" w:rsidRPr="00A47320">
        <w:rPr>
          <w:rFonts w:ascii="Arial" w:hAnsi="Arial" w:cs="Arial"/>
          <w:bCs/>
          <w:lang w:val="en-GB"/>
        </w:rPr>
        <w:t xml:space="preserve"> reported to SAPS in terms of Prevention and Combating of Corrupt Activities Act, Act 12 of 2004</w:t>
      </w:r>
      <w:r w:rsidR="0075606C">
        <w:rPr>
          <w:rFonts w:ascii="Arial" w:hAnsi="Arial" w:cs="Arial"/>
          <w:bCs/>
          <w:lang w:val="en-GB"/>
        </w:rPr>
        <w:t xml:space="preserve">, relating to theft. Both cases have been investigated. In the first matter, the investigation was closed </w:t>
      </w:r>
      <w:r w:rsidR="00165131">
        <w:rPr>
          <w:rFonts w:ascii="Arial" w:hAnsi="Arial" w:cs="Arial"/>
          <w:bCs/>
          <w:lang w:val="en-GB"/>
        </w:rPr>
        <w:t xml:space="preserve">with </w:t>
      </w:r>
      <w:r w:rsidR="0075606C">
        <w:rPr>
          <w:rFonts w:ascii="Arial" w:hAnsi="Arial" w:cs="Arial"/>
          <w:bCs/>
          <w:lang w:val="en-GB"/>
        </w:rPr>
        <w:t xml:space="preserve">the second matter is before the courts. </w:t>
      </w:r>
    </w:p>
    <w:p w:rsidR="00B27CA7" w:rsidRPr="0075606C" w:rsidRDefault="00A62096" w:rsidP="0075606C">
      <w:pPr>
        <w:spacing w:before="100" w:beforeAutospacing="1" w:after="100" w:afterAutospacing="1" w:line="276" w:lineRule="auto"/>
        <w:ind w:left="426"/>
        <w:jc w:val="both"/>
        <w:rPr>
          <w:rFonts w:ascii="Arial" w:hAnsi="Arial" w:cs="Arial"/>
          <w:bCs/>
          <w:lang w:val="en-GB"/>
        </w:rPr>
      </w:pPr>
      <w:r w:rsidRPr="00A47320">
        <w:rPr>
          <w:rFonts w:ascii="Arial" w:hAnsi="Arial" w:cs="Arial"/>
          <w:bCs/>
          <w:lang w:val="en-GB"/>
        </w:rPr>
        <w:t xml:space="preserve"> </w:t>
      </w:r>
      <w:r w:rsidR="00B27CA7" w:rsidRPr="00A47320">
        <w:rPr>
          <w:rFonts w:ascii="Arial" w:hAnsi="Arial" w:cs="Arial"/>
          <w:b/>
          <w:bCs/>
          <w:u w:val="single"/>
          <w:lang w:val="en-GB"/>
        </w:rPr>
        <w:t>ITAC</w:t>
      </w:r>
    </w:p>
    <w:p w:rsidR="0075606C" w:rsidRDefault="00B27CA7" w:rsidP="00A47320">
      <w:pPr>
        <w:spacing w:before="100" w:beforeAutospacing="1" w:after="100" w:afterAutospacing="1" w:line="276" w:lineRule="auto"/>
        <w:ind w:left="426"/>
        <w:jc w:val="both"/>
        <w:rPr>
          <w:rFonts w:ascii="Arial" w:hAnsi="Arial" w:cs="Arial"/>
          <w:bCs/>
          <w:lang w:val="en-GB"/>
        </w:rPr>
      </w:pPr>
      <w:r w:rsidRPr="00A47320">
        <w:rPr>
          <w:rFonts w:ascii="Arial" w:hAnsi="Arial" w:cs="Arial"/>
          <w:bCs/>
          <w:lang w:val="en-GB"/>
        </w:rPr>
        <w:t>Two cases have been reported to the SA Police Service (SAPS) to date</w:t>
      </w:r>
      <w:r w:rsidR="0075606C">
        <w:rPr>
          <w:rFonts w:ascii="Arial" w:hAnsi="Arial" w:cs="Arial"/>
          <w:bCs/>
          <w:lang w:val="en-GB"/>
        </w:rPr>
        <w:t xml:space="preserve">. </w:t>
      </w:r>
      <w:r w:rsidR="00343750">
        <w:rPr>
          <w:rFonts w:ascii="Arial" w:hAnsi="Arial" w:cs="Arial"/>
          <w:bCs/>
          <w:lang w:val="en-GB"/>
        </w:rPr>
        <w:t xml:space="preserve">Bothe cases were followed up by the accounting officer. </w:t>
      </w:r>
      <w:r w:rsidR="0075606C">
        <w:rPr>
          <w:rFonts w:ascii="Arial" w:hAnsi="Arial" w:cs="Arial"/>
          <w:bCs/>
          <w:lang w:val="en-GB"/>
        </w:rPr>
        <w:t>Neither case was successful</w:t>
      </w:r>
      <w:r w:rsidR="00343750">
        <w:rPr>
          <w:rFonts w:ascii="Arial" w:hAnsi="Arial" w:cs="Arial"/>
          <w:bCs/>
          <w:lang w:val="en-GB"/>
        </w:rPr>
        <w:t>ly prosecuted</w:t>
      </w:r>
      <w:r w:rsidR="0075606C">
        <w:rPr>
          <w:rFonts w:ascii="Arial" w:hAnsi="Arial" w:cs="Arial"/>
          <w:bCs/>
          <w:lang w:val="en-GB"/>
        </w:rPr>
        <w:t xml:space="preserve">. </w:t>
      </w:r>
    </w:p>
    <w:p w:rsidR="00B43BBC" w:rsidRDefault="00B43BBC" w:rsidP="00A47320">
      <w:pPr>
        <w:spacing w:before="100" w:beforeAutospacing="1" w:after="100" w:afterAutospacing="1" w:line="276" w:lineRule="auto"/>
        <w:ind w:left="426"/>
        <w:jc w:val="both"/>
        <w:rPr>
          <w:rFonts w:ascii="Arial" w:hAnsi="Arial" w:cs="Arial"/>
          <w:bCs/>
          <w:lang w:val="en-GB"/>
        </w:rPr>
      </w:pPr>
    </w:p>
    <w:p w:rsidR="00B43BBC" w:rsidRDefault="00B43BBC" w:rsidP="00A47320">
      <w:pPr>
        <w:spacing w:before="100" w:beforeAutospacing="1" w:after="100" w:afterAutospacing="1" w:line="276" w:lineRule="auto"/>
        <w:ind w:left="426"/>
        <w:jc w:val="both"/>
        <w:rPr>
          <w:rFonts w:ascii="Arial" w:hAnsi="Arial" w:cs="Arial"/>
          <w:bCs/>
          <w:lang w:val="en-GB"/>
        </w:rPr>
      </w:pPr>
    </w:p>
    <w:p w:rsidR="00A47320" w:rsidRPr="00A47320" w:rsidRDefault="00A47320" w:rsidP="0075606C">
      <w:pPr>
        <w:spacing w:before="100" w:beforeAutospacing="1" w:after="100" w:afterAutospacing="1" w:line="276" w:lineRule="auto"/>
        <w:ind w:firstLine="426"/>
        <w:jc w:val="both"/>
        <w:rPr>
          <w:rFonts w:ascii="Arial" w:hAnsi="Arial" w:cs="Arial"/>
          <w:b/>
          <w:u w:val="single"/>
        </w:rPr>
      </w:pPr>
      <w:r w:rsidRPr="00A47320">
        <w:rPr>
          <w:rFonts w:ascii="Arial" w:hAnsi="Arial" w:cs="Arial"/>
          <w:b/>
          <w:u w:val="single"/>
        </w:rPr>
        <w:lastRenderedPageBreak/>
        <w:t>Competition Tribunal</w:t>
      </w:r>
    </w:p>
    <w:p w:rsidR="00A47320" w:rsidRPr="00A47320" w:rsidRDefault="00A47320" w:rsidP="00A47320">
      <w:pPr>
        <w:spacing w:before="100" w:beforeAutospacing="1" w:after="100" w:afterAutospacing="1" w:line="276" w:lineRule="auto"/>
        <w:ind w:left="426"/>
        <w:jc w:val="both"/>
        <w:rPr>
          <w:rFonts w:ascii="Arial" w:hAnsi="Arial" w:cs="Arial"/>
          <w:bCs/>
          <w:lang w:val="en-GB"/>
        </w:rPr>
      </w:pPr>
      <w:r w:rsidRPr="00A47320">
        <w:rPr>
          <w:rFonts w:ascii="Arial" w:hAnsi="Arial" w:cs="Arial"/>
        </w:rPr>
        <w:t>The Competition Tribunal has not had any cases relating to the Prevention and Combating of Corrupt Activities Act, Act 12 of 2004 referred to the SA Police Service (SAPS) and or Directorate for Priority Crime Investigation (DPCI).</w:t>
      </w:r>
    </w:p>
    <w:p w:rsidR="00A62096" w:rsidRPr="00A47320" w:rsidRDefault="00A62096" w:rsidP="00A47320">
      <w:pPr>
        <w:spacing w:before="100" w:beforeAutospacing="1" w:after="100" w:afterAutospacing="1" w:line="276" w:lineRule="auto"/>
        <w:ind w:left="426"/>
        <w:jc w:val="both"/>
        <w:rPr>
          <w:rFonts w:ascii="Arial" w:hAnsi="Arial" w:cs="Arial"/>
          <w:b/>
          <w:bCs/>
          <w:u w:val="single"/>
          <w:lang w:val="en-GB"/>
        </w:rPr>
      </w:pPr>
      <w:r w:rsidRPr="00A47320">
        <w:rPr>
          <w:rFonts w:ascii="Arial" w:hAnsi="Arial" w:cs="Arial"/>
          <w:b/>
          <w:bCs/>
          <w:u w:val="single"/>
          <w:lang w:val="en-GB"/>
        </w:rPr>
        <w:t>Competition Commission</w:t>
      </w:r>
    </w:p>
    <w:p w:rsidR="00845A10" w:rsidRPr="00A47320" w:rsidRDefault="00845A10" w:rsidP="00A47320">
      <w:pPr>
        <w:pStyle w:val="NormalWeb"/>
        <w:spacing w:line="276" w:lineRule="auto"/>
        <w:ind w:left="425"/>
        <w:jc w:val="both"/>
        <w:rPr>
          <w:rFonts w:ascii="Arial" w:hAnsi="Arial" w:cs="Arial"/>
        </w:rPr>
      </w:pPr>
      <w:r w:rsidRPr="00A47320">
        <w:rPr>
          <w:rFonts w:ascii="Arial" w:hAnsi="Arial" w:cs="Arial"/>
        </w:rPr>
        <w:t xml:space="preserve">Two (2) cases have been </w:t>
      </w:r>
      <w:r w:rsidR="00A47320" w:rsidRPr="00A47320">
        <w:rPr>
          <w:rFonts w:ascii="Arial" w:hAnsi="Arial" w:cs="Arial"/>
        </w:rPr>
        <w:t>reported</w:t>
      </w:r>
      <w:r w:rsidRPr="00A47320">
        <w:rPr>
          <w:rFonts w:ascii="Arial" w:hAnsi="Arial" w:cs="Arial"/>
        </w:rPr>
        <w:t xml:space="preserve"> to the SAPS and none have been referred to the DPCI.</w:t>
      </w:r>
    </w:p>
    <w:p w:rsidR="00845A10" w:rsidRPr="00A47320" w:rsidRDefault="00845A10" w:rsidP="00A47320">
      <w:pPr>
        <w:pStyle w:val="NormalWeb"/>
        <w:spacing w:line="276" w:lineRule="auto"/>
        <w:ind w:left="425"/>
        <w:jc w:val="both"/>
        <w:rPr>
          <w:rFonts w:ascii="Arial" w:hAnsi="Arial" w:cs="Arial"/>
        </w:rPr>
      </w:pPr>
      <w:r w:rsidRPr="00A47320">
        <w:rPr>
          <w:rFonts w:ascii="Arial" w:hAnsi="Arial" w:cs="Arial"/>
        </w:rPr>
        <w:t>The update from the SAPS is that they are investigating the two (2) cases</w:t>
      </w:r>
      <w:r w:rsidR="00A47320" w:rsidRPr="00A47320">
        <w:rPr>
          <w:rFonts w:ascii="Arial" w:hAnsi="Arial" w:cs="Arial"/>
        </w:rPr>
        <w:t>. Th</w:t>
      </w:r>
      <w:r w:rsidRPr="00A47320">
        <w:rPr>
          <w:rFonts w:ascii="Arial" w:hAnsi="Arial" w:cs="Arial"/>
        </w:rPr>
        <w:t>e Commission has received the update based on the follow up it has been making with the SAPS</w:t>
      </w:r>
      <w:r w:rsidR="00A47320" w:rsidRPr="00A47320">
        <w:rPr>
          <w:rFonts w:ascii="Arial" w:hAnsi="Arial" w:cs="Arial"/>
        </w:rPr>
        <w:t xml:space="preserve">. </w:t>
      </w:r>
      <w:r w:rsidRPr="00A47320">
        <w:rPr>
          <w:rFonts w:ascii="Arial" w:hAnsi="Arial" w:cs="Arial"/>
        </w:rPr>
        <w:t xml:space="preserve">None of the two (2) cases has resulted in a conviction at this stage. </w:t>
      </w:r>
    </w:p>
    <w:p w:rsidR="00A47320" w:rsidRPr="00A47320" w:rsidRDefault="00A47320" w:rsidP="00A47320">
      <w:pPr>
        <w:pStyle w:val="NormalWeb"/>
        <w:spacing w:line="276" w:lineRule="auto"/>
        <w:ind w:firstLine="425"/>
        <w:jc w:val="both"/>
        <w:rPr>
          <w:rFonts w:ascii="Arial" w:hAnsi="Arial" w:cs="Arial"/>
          <w:b/>
          <w:u w:val="single"/>
        </w:rPr>
      </w:pPr>
      <w:r w:rsidRPr="00A47320">
        <w:rPr>
          <w:rFonts w:ascii="Arial" w:hAnsi="Arial" w:cs="Arial"/>
          <w:b/>
          <w:u w:val="single"/>
        </w:rPr>
        <w:t>IDC</w:t>
      </w:r>
    </w:p>
    <w:p w:rsidR="00A47320" w:rsidRDefault="00A47320" w:rsidP="00A47320">
      <w:pPr>
        <w:pStyle w:val="ListParagraph"/>
        <w:ind w:left="425"/>
        <w:jc w:val="both"/>
        <w:rPr>
          <w:rFonts w:ascii="Arial" w:hAnsi="Arial" w:cs="Arial"/>
          <w:szCs w:val="24"/>
        </w:rPr>
      </w:pPr>
      <w:r w:rsidRPr="00A47320">
        <w:rPr>
          <w:rFonts w:ascii="Arial" w:hAnsi="Arial" w:cs="Arial"/>
          <w:szCs w:val="24"/>
        </w:rPr>
        <w:t xml:space="preserve">The Industrial Development Corporation has referred </w:t>
      </w:r>
      <w:r w:rsidRPr="00A47320">
        <w:rPr>
          <w:rFonts w:ascii="Arial" w:hAnsi="Arial" w:cs="Arial"/>
          <w:b/>
          <w:szCs w:val="24"/>
        </w:rPr>
        <w:t>seven</w:t>
      </w:r>
      <w:r w:rsidRPr="00A47320">
        <w:rPr>
          <w:rFonts w:ascii="Arial" w:hAnsi="Arial" w:cs="Arial"/>
          <w:szCs w:val="24"/>
        </w:rPr>
        <w:t xml:space="preserve"> (</w:t>
      </w:r>
      <w:r w:rsidRPr="00A47320">
        <w:rPr>
          <w:rFonts w:ascii="Arial" w:hAnsi="Arial" w:cs="Arial"/>
          <w:b/>
          <w:szCs w:val="24"/>
        </w:rPr>
        <w:t>7) cases for investigation</w:t>
      </w:r>
      <w:r w:rsidRPr="00A47320">
        <w:rPr>
          <w:rFonts w:ascii="Arial" w:hAnsi="Arial" w:cs="Arial"/>
          <w:szCs w:val="24"/>
        </w:rPr>
        <w:t xml:space="preserve"> to the SAPS relating to the Prevention and Combating of Corrupt Activities Act from 01 April 2004 to 31 March 2018.</w:t>
      </w:r>
    </w:p>
    <w:p w:rsidR="00A47320" w:rsidRDefault="00A47320" w:rsidP="00A47320">
      <w:pPr>
        <w:pStyle w:val="ListParagraph"/>
        <w:ind w:left="425"/>
        <w:jc w:val="both"/>
        <w:rPr>
          <w:rFonts w:ascii="Arial" w:hAnsi="Arial" w:cs="Arial"/>
          <w:szCs w:val="24"/>
        </w:rPr>
      </w:pPr>
    </w:p>
    <w:p w:rsidR="009166FB" w:rsidRPr="00A47320" w:rsidRDefault="00A47320" w:rsidP="009166FB">
      <w:pPr>
        <w:spacing w:line="276" w:lineRule="auto"/>
        <w:ind w:left="425"/>
        <w:jc w:val="both"/>
        <w:rPr>
          <w:rFonts w:ascii="Arial" w:hAnsi="Arial" w:cs="Arial"/>
        </w:rPr>
      </w:pPr>
      <w:r w:rsidRPr="00A47320">
        <w:rPr>
          <w:rFonts w:ascii="Arial" w:hAnsi="Arial" w:cs="Arial"/>
        </w:rPr>
        <w:t xml:space="preserve">All </w:t>
      </w:r>
      <w:r w:rsidRPr="00A47320">
        <w:rPr>
          <w:rFonts w:ascii="Arial" w:hAnsi="Arial" w:cs="Arial"/>
          <w:b/>
        </w:rPr>
        <w:t xml:space="preserve">seven </w:t>
      </w:r>
      <w:r w:rsidRPr="00A47320">
        <w:rPr>
          <w:rFonts w:ascii="Arial" w:hAnsi="Arial" w:cs="Arial"/>
        </w:rPr>
        <w:t>(</w:t>
      </w:r>
      <w:r w:rsidRPr="00A47320">
        <w:rPr>
          <w:rFonts w:ascii="Arial" w:hAnsi="Arial" w:cs="Arial"/>
          <w:b/>
        </w:rPr>
        <w:t xml:space="preserve">7) cases </w:t>
      </w:r>
      <w:r w:rsidRPr="00A47320">
        <w:rPr>
          <w:rFonts w:ascii="Arial" w:hAnsi="Arial" w:cs="Arial"/>
        </w:rPr>
        <w:t xml:space="preserve">referred to the SAPS for investigation were investigated by the SAPS. </w:t>
      </w:r>
      <w:r w:rsidR="009166FB" w:rsidRPr="00A47320">
        <w:rPr>
          <w:rFonts w:ascii="Arial" w:hAnsi="Arial" w:cs="Arial"/>
        </w:rPr>
        <w:t>None of the cases were directly referred to the Directorate for Priority Crimes.</w:t>
      </w:r>
    </w:p>
    <w:p w:rsidR="009166FB" w:rsidRDefault="009166FB" w:rsidP="00A47320">
      <w:pPr>
        <w:spacing w:line="276" w:lineRule="auto"/>
        <w:ind w:left="425"/>
        <w:jc w:val="both"/>
        <w:rPr>
          <w:rFonts w:ascii="Arial" w:hAnsi="Arial" w:cs="Arial"/>
        </w:rPr>
      </w:pPr>
    </w:p>
    <w:p w:rsidR="00A47320" w:rsidRPr="00A47320" w:rsidRDefault="009166FB" w:rsidP="00A47320">
      <w:pPr>
        <w:spacing w:line="276" w:lineRule="auto"/>
        <w:ind w:left="425"/>
        <w:jc w:val="both"/>
        <w:rPr>
          <w:rFonts w:ascii="Arial" w:hAnsi="Arial" w:cs="Arial"/>
        </w:rPr>
      </w:pPr>
      <w:r w:rsidRPr="00A47320">
        <w:rPr>
          <w:rFonts w:ascii="Arial" w:hAnsi="Arial" w:cs="Arial"/>
        </w:rPr>
        <w:t>All the cases referred to the SAPS were followed up by the respective IDC accounting officers. The respective forensic investigators and the General Counsel have followed up on the progress of the matters with the SAPS.</w:t>
      </w:r>
      <w:r>
        <w:rPr>
          <w:rFonts w:ascii="Arial" w:hAnsi="Arial" w:cs="Arial"/>
        </w:rPr>
        <w:t xml:space="preserve"> </w:t>
      </w:r>
      <w:r w:rsidR="00A47320" w:rsidRPr="00A47320">
        <w:rPr>
          <w:rFonts w:ascii="Arial" w:hAnsi="Arial" w:cs="Arial"/>
        </w:rPr>
        <w:t>None of the cases related to the Prevention and Combatting of Corrupt Activities Act has resulted in a conviction, as the matters are still ongoing.</w:t>
      </w:r>
    </w:p>
    <w:p w:rsidR="00A47320" w:rsidRDefault="00A47320" w:rsidP="00A47320">
      <w:pPr>
        <w:pStyle w:val="ListParagraph"/>
        <w:ind w:left="425"/>
        <w:jc w:val="both"/>
        <w:rPr>
          <w:rFonts w:ascii="Arial" w:hAnsi="Arial" w:cs="Arial"/>
          <w:szCs w:val="24"/>
        </w:rPr>
      </w:pPr>
    </w:p>
    <w:p w:rsidR="00A47320" w:rsidRPr="00A47320" w:rsidRDefault="00A47320" w:rsidP="00A47320">
      <w:pPr>
        <w:spacing w:line="276" w:lineRule="auto"/>
        <w:jc w:val="both"/>
        <w:rPr>
          <w:rFonts w:ascii="Arial" w:hAnsi="Arial" w:cs="Arial"/>
        </w:rPr>
      </w:pPr>
    </w:p>
    <w:p w:rsidR="00A47320" w:rsidRDefault="00A47320" w:rsidP="00A47320">
      <w:pPr>
        <w:spacing w:line="276" w:lineRule="auto"/>
        <w:jc w:val="both"/>
        <w:rPr>
          <w:rFonts w:ascii="Arial" w:hAnsi="Arial" w:cs="Arial"/>
          <w:b/>
        </w:rPr>
      </w:pPr>
    </w:p>
    <w:p w:rsidR="008B4EB8" w:rsidRDefault="008B4EB8" w:rsidP="008B4EB8">
      <w:pPr>
        <w:spacing w:line="276" w:lineRule="auto"/>
        <w:jc w:val="center"/>
        <w:rPr>
          <w:rFonts w:ascii="Arial" w:hAnsi="Arial" w:cs="Arial"/>
          <w:b/>
        </w:rPr>
      </w:pPr>
      <w:r>
        <w:rPr>
          <w:rFonts w:ascii="Arial" w:hAnsi="Arial" w:cs="Arial"/>
          <w:b/>
        </w:rPr>
        <w:t>-END-</w:t>
      </w:r>
    </w:p>
    <w:p w:rsidR="008B4EB8" w:rsidRDefault="008B4EB8" w:rsidP="00A47320">
      <w:pPr>
        <w:spacing w:line="276" w:lineRule="auto"/>
        <w:jc w:val="both"/>
        <w:rPr>
          <w:rFonts w:ascii="Arial" w:hAnsi="Arial" w:cs="Arial"/>
          <w:b/>
        </w:rPr>
      </w:pPr>
    </w:p>
    <w:sectPr w:rsidR="008B4EB8"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70" w:rsidRDefault="00EE5A70">
      <w:r>
        <w:separator/>
      </w:r>
    </w:p>
  </w:endnote>
  <w:endnote w:type="continuationSeparator" w:id="0">
    <w:p w:rsidR="00EE5A70" w:rsidRDefault="00EE5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EE5A70">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F94102">
      <w:rPr>
        <w:rFonts w:ascii="Arial" w:hAnsi="Arial" w:cs="Arial"/>
        <w:sz w:val="16"/>
        <w:szCs w:val="16"/>
      </w:rPr>
      <w:t>n No 1646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70" w:rsidRDefault="00EE5A70">
      <w:r>
        <w:separator/>
      </w:r>
    </w:p>
  </w:footnote>
  <w:footnote w:type="continuationSeparator" w:id="0">
    <w:p w:rsidR="00EE5A70" w:rsidRDefault="00EE5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DDA"/>
    <w:multiLevelType w:val="hybridMultilevel"/>
    <w:tmpl w:val="BE08E5FA"/>
    <w:lvl w:ilvl="0" w:tplc="84F2D2A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3309A8"/>
    <w:multiLevelType w:val="hybridMultilevel"/>
    <w:tmpl w:val="25A0CEC8"/>
    <w:lvl w:ilvl="0" w:tplc="04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EBF0884"/>
    <w:multiLevelType w:val="hybridMultilevel"/>
    <w:tmpl w:val="A6823F82"/>
    <w:lvl w:ilvl="0" w:tplc="4D82E73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8">
    <w:nsid w:val="41547F0F"/>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AE17196"/>
    <w:multiLevelType w:val="hybridMultilevel"/>
    <w:tmpl w:val="04188780"/>
    <w:lvl w:ilvl="0" w:tplc="6910F2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4"/>
  </w:num>
  <w:num w:numId="5">
    <w:abstractNumId w:val="6"/>
  </w:num>
  <w:num w:numId="6">
    <w:abstractNumId w:val="7"/>
  </w:num>
  <w:num w:numId="7">
    <w:abstractNumId w:val="11"/>
  </w:num>
  <w:num w:numId="8">
    <w:abstractNumId w:val="1"/>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E57"/>
    <w:rsid w:val="000E5187"/>
    <w:rsid w:val="000E59DD"/>
    <w:rsid w:val="000F032E"/>
    <w:rsid w:val="000F4289"/>
    <w:rsid w:val="000F6F3B"/>
    <w:rsid w:val="000F77B5"/>
    <w:rsid w:val="001005D7"/>
    <w:rsid w:val="00103D92"/>
    <w:rsid w:val="00105C17"/>
    <w:rsid w:val="00110F79"/>
    <w:rsid w:val="00111CBD"/>
    <w:rsid w:val="00111E71"/>
    <w:rsid w:val="001219A6"/>
    <w:rsid w:val="00127B35"/>
    <w:rsid w:val="00130D11"/>
    <w:rsid w:val="0013309F"/>
    <w:rsid w:val="00135E7C"/>
    <w:rsid w:val="00136F0B"/>
    <w:rsid w:val="00140EE5"/>
    <w:rsid w:val="00143692"/>
    <w:rsid w:val="00146CB1"/>
    <w:rsid w:val="0015130F"/>
    <w:rsid w:val="00164373"/>
    <w:rsid w:val="00165131"/>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34FFC"/>
    <w:rsid w:val="002368CC"/>
    <w:rsid w:val="00241AF8"/>
    <w:rsid w:val="00246ECE"/>
    <w:rsid w:val="00247676"/>
    <w:rsid w:val="00253E1E"/>
    <w:rsid w:val="002563F7"/>
    <w:rsid w:val="00261675"/>
    <w:rsid w:val="00267402"/>
    <w:rsid w:val="002678AD"/>
    <w:rsid w:val="0026798C"/>
    <w:rsid w:val="0027102E"/>
    <w:rsid w:val="00272D92"/>
    <w:rsid w:val="00275337"/>
    <w:rsid w:val="00277E91"/>
    <w:rsid w:val="002810FE"/>
    <w:rsid w:val="002837CF"/>
    <w:rsid w:val="0028458B"/>
    <w:rsid w:val="0028670C"/>
    <w:rsid w:val="002916AD"/>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375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4D9A"/>
    <w:rsid w:val="0045532A"/>
    <w:rsid w:val="00457861"/>
    <w:rsid w:val="004900D5"/>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0677"/>
    <w:rsid w:val="00516941"/>
    <w:rsid w:val="00525033"/>
    <w:rsid w:val="0053211B"/>
    <w:rsid w:val="00540E36"/>
    <w:rsid w:val="00544AAC"/>
    <w:rsid w:val="00547320"/>
    <w:rsid w:val="00547607"/>
    <w:rsid w:val="00552105"/>
    <w:rsid w:val="005522C9"/>
    <w:rsid w:val="00554521"/>
    <w:rsid w:val="005557CA"/>
    <w:rsid w:val="00560D71"/>
    <w:rsid w:val="005625F2"/>
    <w:rsid w:val="00563CC9"/>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6FBD"/>
    <w:rsid w:val="00610112"/>
    <w:rsid w:val="006124E7"/>
    <w:rsid w:val="006133C1"/>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321"/>
    <w:rsid w:val="00716E08"/>
    <w:rsid w:val="007230DF"/>
    <w:rsid w:val="00723C46"/>
    <w:rsid w:val="0073609B"/>
    <w:rsid w:val="00737EA3"/>
    <w:rsid w:val="00737EF4"/>
    <w:rsid w:val="00742419"/>
    <w:rsid w:val="00742CCB"/>
    <w:rsid w:val="00744417"/>
    <w:rsid w:val="00747A23"/>
    <w:rsid w:val="0075606C"/>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134A"/>
    <w:rsid w:val="00812866"/>
    <w:rsid w:val="0082117B"/>
    <w:rsid w:val="008212B0"/>
    <w:rsid w:val="0082595A"/>
    <w:rsid w:val="00831932"/>
    <w:rsid w:val="00832A5D"/>
    <w:rsid w:val="00833A78"/>
    <w:rsid w:val="00836935"/>
    <w:rsid w:val="008402CB"/>
    <w:rsid w:val="00842ECF"/>
    <w:rsid w:val="00845596"/>
    <w:rsid w:val="00845A10"/>
    <w:rsid w:val="00850B72"/>
    <w:rsid w:val="0085130C"/>
    <w:rsid w:val="008625D9"/>
    <w:rsid w:val="00864638"/>
    <w:rsid w:val="00865F3D"/>
    <w:rsid w:val="00874783"/>
    <w:rsid w:val="008813C7"/>
    <w:rsid w:val="00881A5F"/>
    <w:rsid w:val="00891368"/>
    <w:rsid w:val="008A0C72"/>
    <w:rsid w:val="008A2AA6"/>
    <w:rsid w:val="008A3C1D"/>
    <w:rsid w:val="008B01D5"/>
    <w:rsid w:val="008B05FC"/>
    <w:rsid w:val="008B2008"/>
    <w:rsid w:val="008B2F34"/>
    <w:rsid w:val="008B4EB8"/>
    <w:rsid w:val="008C0220"/>
    <w:rsid w:val="008C1393"/>
    <w:rsid w:val="008C4E9B"/>
    <w:rsid w:val="008D233A"/>
    <w:rsid w:val="008D33A9"/>
    <w:rsid w:val="008D5095"/>
    <w:rsid w:val="008D5506"/>
    <w:rsid w:val="008E167D"/>
    <w:rsid w:val="008F0580"/>
    <w:rsid w:val="008F3A69"/>
    <w:rsid w:val="008F3C02"/>
    <w:rsid w:val="008F3D97"/>
    <w:rsid w:val="008F484F"/>
    <w:rsid w:val="008F7AA9"/>
    <w:rsid w:val="0090096B"/>
    <w:rsid w:val="00906561"/>
    <w:rsid w:val="00907713"/>
    <w:rsid w:val="009166FB"/>
    <w:rsid w:val="00916DF9"/>
    <w:rsid w:val="00923FBE"/>
    <w:rsid w:val="00924717"/>
    <w:rsid w:val="0092515E"/>
    <w:rsid w:val="00926AFA"/>
    <w:rsid w:val="009319A8"/>
    <w:rsid w:val="00931C23"/>
    <w:rsid w:val="009358E0"/>
    <w:rsid w:val="00940053"/>
    <w:rsid w:val="00942FDD"/>
    <w:rsid w:val="00946B5F"/>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C609C"/>
    <w:rsid w:val="009D41A7"/>
    <w:rsid w:val="009D530C"/>
    <w:rsid w:val="009D61C8"/>
    <w:rsid w:val="009E60CC"/>
    <w:rsid w:val="009E644F"/>
    <w:rsid w:val="009F4D87"/>
    <w:rsid w:val="009F604A"/>
    <w:rsid w:val="009F67A5"/>
    <w:rsid w:val="00A001D6"/>
    <w:rsid w:val="00A01529"/>
    <w:rsid w:val="00A03981"/>
    <w:rsid w:val="00A06CE0"/>
    <w:rsid w:val="00A07057"/>
    <w:rsid w:val="00A10158"/>
    <w:rsid w:val="00A132A7"/>
    <w:rsid w:val="00A14FA1"/>
    <w:rsid w:val="00A205A3"/>
    <w:rsid w:val="00A20999"/>
    <w:rsid w:val="00A222E5"/>
    <w:rsid w:val="00A245D9"/>
    <w:rsid w:val="00A25A72"/>
    <w:rsid w:val="00A339E0"/>
    <w:rsid w:val="00A33B9E"/>
    <w:rsid w:val="00A36A92"/>
    <w:rsid w:val="00A44BD1"/>
    <w:rsid w:val="00A47320"/>
    <w:rsid w:val="00A513C8"/>
    <w:rsid w:val="00A53FA5"/>
    <w:rsid w:val="00A54474"/>
    <w:rsid w:val="00A55C0F"/>
    <w:rsid w:val="00A60FC8"/>
    <w:rsid w:val="00A62096"/>
    <w:rsid w:val="00A64DAD"/>
    <w:rsid w:val="00A6516D"/>
    <w:rsid w:val="00A671A3"/>
    <w:rsid w:val="00A74C7F"/>
    <w:rsid w:val="00A74EB2"/>
    <w:rsid w:val="00A7565B"/>
    <w:rsid w:val="00A77D36"/>
    <w:rsid w:val="00A83701"/>
    <w:rsid w:val="00A85B8A"/>
    <w:rsid w:val="00A9144B"/>
    <w:rsid w:val="00A9436D"/>
    <w:rsid w:val="00A9550B"/>
    <w:rsid w:val="00AA0780"/>
    <w:rsid w:val="00AA1EA8"/>
    <w:rsid w:val="00AB0824"/>
    <w:rsid w:val="00AB30DE"/>
    <w:rsid w:val="00AC0D56"/>
    <w:rsid w:val="00AC76E8"/>
    <w:rsid w:val="00AD0ACD"/>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27CA7"/>
    <w:rsid w:val="00B40F0C"/>
    <w:rsid w:val="00B43BBC"/>
    <w:rsid w:val="00B46C1F"/>
    <w:rsid w:val="00B5213B"/>
    <w:rsid w:val="00B54B9E"/>
    <w:rsid w:val="00B556FF"/>
    <w:rsid w:val="00B619C6"/>
    <w:rsid w:val="00B6330E"/>
    <w:rsid w:val="00B749B3"/>
    <w:rsid w:val="00B80F96"/>
    <w:rsid w:val="00B81006"/>
    <w:rsid w:val="00B82479"/>
    <w:rsid w:val="00B83B56"/>
    <w:rsid w:val="00B849D6"/>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30AF"/>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B7992"/>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49B3"/>
    <w:rsid w:val="00EA63C1"/>
    <w:rsid w:val="00EA70B1"/>
    <w:rsid w:val="00EC56B3"/>
    <w:rsid w:val="00EC7D9A"/>
    <w:rsid w:val="00ED09B7"/>
    <w:rsid w:val="00ED56C8"/>
    <w:rsid w:val="00ED5FAD"/>
    <w:rsid w:val="00ED6251"/>
    <w:rsid w:val="00EE00F8"/>
    <w:rsid w:val="00EE240E"/>
    <w:rsid w:val="00EE490B"/>
    <w:rsid w:val="00EE5A70"/>
    <w:rsid w:val="00EE786B"/>
    <w:rsid w:val="00EF22F1"/>
    <w:rsid w:val="00EF6445"/>
    <w:rsid w:val="00F00B62"/>
    <w:rsid w:val="00F02B3C"/>
    <w:rsid w:val="00F04EAD"/>
    <w:rsid w:val="00F05059"/>
    <w:rsid w:val="00F06868"/>
    <w:rsid w:val="00F10DE4"/>
    <w:rsid w:val="00F11733"/>
    <w:rsid w:val="00F136E4"/>
    <w:rsid w:val="00F348EC"/>
    <w:rsid w:val="00F35024"/>
    <w:rsid w:val="00F35202"/>
    <w:rsid w:val="00F4590A"/>
    <w:rsid w:val="00F54969"/>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4102"/>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9C609C"/>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13658790">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7826144">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5417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34BE-1AF9-4AFC-88DE-C44E5C9C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2018-06-26T10:17:00Z</dcterms:created>
  <dcterms:modified xsi:type="dcterms:W3CDTF">2018-06-26T10:17:00Z</dcterms:modified>
</cp:coreProperties>
</file>