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39090F">
        <w:rPr>
          <w:b/>
          <w:bCs/>
          <w:sz w:val="24"/>
          <w:u w:val="single"/>
        </w:rPr>
        <w:t>634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8751E">
        <w:rPr>
          <w:b/>
          <w:bCs/>
          <w:sz w:val="24"/>
          <w:u w:val="single"/>
        </w:rPr>
        <w:t>22</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78751E">
        <w:rPr>
          <w:b/>
          <w:bCs/>
          <w:sz w:val="24"/>
          <w:u w:val="single"/>
        </w:rPr>
        <w:t>9</w:t>
      </w:r>
      <w:r w:rsidRPr="00294557">
        <w:rPr>
          <w:b/>
          <w:bCs/>
          <w:sz w:val="24"/>
          <w:u w:val="single"/>
        </w:rPr>
        <w:t>)</w:t>
      </w:r>
    </w:p>
    <w:p w:rsidR="0039090F" w:rsidRPr="0039090F" w:rsidRDefault="0039090F" w:rsidP="0039090F">
      <w:pPr>
        <w:spacing w:before="100" w:beforeAutospacing="1" w:after="100" w:afterAutospacing="1"/>
        <w:jc w:val="both"/>
        <w:outlineLvl w:val="0"/>
        <w:rPr>
          <w:b/>
          <w:sz w:val="24"/>
          <w:u w:val="single"/>
        </w:rPr>
      </w:pPr>
      <w:r w:rsidRPr="0039090F">
        <w:rPr>
          <w:b/>
          <w:sz w:val="24"/>
          <w:u w:val="single"/>
        </w:rPr>
        <w:t xml:space="preserve">Dr M </w:t>
      </w:r>
      <w:proofErr w:type="spellStart"/>
      <w:r w:rsidRPr="0039090F">
        <w:rPr>
          <w:b/>
          <w:sz w:val="24"/>
          <w:u w:val="single"/>
        </w:rPr>
        <w:t>M</w:t>
      </w:r>
      <w:proofErr w:type="spellEnd"/>
      <w:r w:rsidRPr="0039090F">
        <w:rPr>
          <w:b/>
          <w:sz w:val="24"/>
          <w:u w:val="single"/>
        </w:rPr>
        <w:t xml:space="preserve"> </w:t>
      </w:r>
      <w:proofErr w:type="spellStart"/>
      <w:r w:rsidRPr="0039090F">
        <w:rPr>
          <w:b/>
          <w:sz w:val="24"/>
          <w:u w:val="single"/>
        </w:rPr>
        <w:t>Gondwe</w:t>
      </w:r>
      <w:proofErr w:type="spellEnd"/>
      <w:r w:rsidRPr="0039090F">
        <w:rPr>
          <w:b/>
          <w:sz w:val="24"/>
          <w:u w:val="single"/>
        </w:rPr>
        <w:t xml:space="preserve"> (DA) to ask the Minister of Health</w:t>
      </w:r>
      <w:r w:rsidRPr="0039090F">
        <w:rPr>
          <w:b/>
          <w:sz w:val="24"/>
          <w:u w:val="single"/>
        </w:rPr>
        <w:fldChar w:fldCharType="begin"/>
      </w:r>
      <w:r w:rsidRPr="0039090F">
        <w:rPr>
          <w:u w:val="single"/>
        </w:rPr>
        <w:instrText xml:space="preserve"> XE "</w:instrText>
      </w:r>
      <w:r w:rsidRPr="0039090F">
        <w:rPr>
          <w:rFonts w:eastAsia="Calibri"/>
          <w:b/>
          <w:sz w:val="24"/>
          <w:u w:val="single"/>
        </w:rPr>
        <w:instrText>Health</w:instrText>
      </w:r>
      <w:r w:rsidRPr="0039090F">
        <w:rPr>
          <w:u w:val="single"/>
        </w:rPr>
        <w:instrText xml:space="preserve">" </w:instrText>
      </w:r>
      <w:r w:rsidRPr="0039090F">
        <w:rPr>
          <w:b/>
          <w:sz w:val="24"/>
          <w:u w:val="single"/>
        </w:rPr>
        <w:fldChar w:fldCharType="end"/>
      </w:r>
      <w:r w:rsidRPr="0039090F">
        <w:rPr>
          <w:b/>
          <w:sz w:val="24"/>
          <w:u w:val="single"/>
        </w:rPr>
        <w:t>:</w:t>
      </w:r>
    </w:p>
    <w:p w:rsidR="0039090F" w:rsidRPr="0039090F" w:rsidRDefault="0039090F" w:rsidP="0039090F">
      <w:pPr>
        <w:spacing w:before="100" w:beforeAutospacing="1" w:after="100" w:afterAutospacing="1"/>
        <w:ind w:left="709" w:hanging="720"/>
        <w:jc w:val="both"/>
        <w:rPr>
          <w:sz w:val="24"/>
        </w:rPr>
      </w:pPr>
      <w:r w:rsidRPr="0039090F">
        <w:rPr>
          <w:sz w:val="24"/>
        </w:rPr>
        <w:t>(1)</w:t>
      </w:r>
      <w:r w:rsidRPr="0039090F">
        <w:rPr>
          <w:sz w:val="24"/>
        </w:rPr>
        <w:tab/>
        <w:t>What progress has his department made in implementing the National Strategic Plan for HIV, TB and STIs 2017 – 2022;</w:t>
      </w:r>
    </w:p>
    <w:p w:rsidR="0039090F" w:rsidRPr="0039090F" w:rsidRDefault="0039090F" w:rsidP="0039090F">
      <w:pPr>
        <w:spacing w:before="100" w:beforeAutospacing="1" w:after="100" w:afterAutospacing="1"/>
        <w:ind w:left="709" w:hanging="720"/>
        <w:jc w:val="both"/>
        <w:rPr>
          <w:sz w:val="24"/>
        </w:rPr>
      </w:pPr>
      <w:r w:rsidRPr="0039090F">
        <w:rPr>
          <w:sz w:val="24"/>
        </w:rPr>
        <w:t>(2)</w:t>
      </w:r>
      <w:r w:rsidRPr="0039090F">
        <w:rPr>
          <w:sz w:val="24"/>
        </w:rPr>
        <w:tab/>
        <w:t xml:space="preserve">how does his department intend to address the issue of </w:t>
      </w:r>
      <w:proofErr w:type="spellStart"/>
      <w:r w:rsidRPr="0039090F">
        <w:rPr>
          <w:sz w:val="24"/>
        </w:rPr>
        <w:t>noncommunicable</w:t>
      </w:r>
      <w:proofErr w:type="spellEnd"/>
      <w:r w:rsidRPr="0039090F">
        <w:rPr>
          <w:sz w:val="24"/>
        </w:rPr>
        <w:t xml:space="preserve"> diseases that have been identified as forming part of the quadruple burden of diseases;</w:t>
      </w:r>
    </w:p>
    <w:p w:rsidR="00DF38AC" w:rsidRPr="006B544B" w:rsidRDefault="0039090F" w:rsidP="0039090F">
      <w:pPr>
        <w:spacing w:before="100" w:beforeAutospacing="1" w:after="100" w:afterAutospacing="1"/>
        <w:ind w:left="709" w:hanging="720"/>
        <w:jc w:val="both"/>
        <w:rPr>
          <w:sz w:val="20"/>
          <w:szCs w:val="20"/>
        </w:rPr>
      </w:pPr>
      <w:r w:rsidRPr="0039090F">
        <w:rPr>
          <w:sz w:val="24"/>
        </w:rPr>
        <w:t>(3)</w:t>
      </w:r>
      <w:r w:rsidRPr="0039090F">
        <w:rPr>
          <w:sz w:val="24"/>
        </w:rPr>
        <w:tab/>
        <w:t xml:space="preserve">what (a) number of Gene </w:t>
      </w:r>
      <w:proofErr w:type="spellStart"/>
      <w:r w:rsidRPr="0039090F">
        <w:rPr>
          <w:sz w:val="24"/>
        </w:rPr>
        <w:t>Xpert</w:t>
      </w:r>
      <w:proofErr w:type="spellEnd"/>
      <w:r w:rsidRPr="0039090F">
        <w:rPr>
          <w:sz w:val="24"/>
        </w:rPr>
        <w:t xml:space="preserve"> TB diagnosis machines has his department acquired, (b) is the coverage of the machines and (c) has he found to be the impact of the machines on TB (</w:t>
      </w:r>
      <w:proofErr w:type="spellStart"/>
      <w:r w:rsidRPr="0039090F">
        <w:rPr>
          <w:sz w:val="24"/>
        </w:rPr>
        <w:t>i</w:t>
      </w:r>
      <w:proofErr w:type="spellEnd"/>
      <w:r w:rsidRPr="0039090F">
        <w:rPr>
          <w:sz w:val="24"/>
        </w:rPr>
        <w:t>) testing a</w:t>
      </w:r>
      <w:r>
        <w:rPr>
          <w:sz w:val="24"/>
        </w:rPr>
        <w:t>nd (ii) treatment?</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39090F">
        <w:rPr>
          <w:rFonts w:eastAsia="Calibri"/>
          <w:b/>
          <w:noProof/>
          <w:sz w:val="12"/>
          <w:szCs w:val="12"/>
          <w:lang w:val="af-ZA"/>
        </w:rPr>
        <w:t>991</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sidRPr="008725E9">
        <w:rPr>
          <w:rFonts w:ascii="Arial" w:hAnsi="Arial" w:cs="Arial"/>
        </w:rPr>
        <w:t>(</w:t>
      </w:r>
      <w:r>
        <w:rPr>
          <w:rFonts w:ascii="Arial" w:hAnsi="Arial" w:cs="Arial"/>
        </w:rPr>
        <w:t>1</w:t>
      </w:r>
      <w:r w:rsidRPr="008725E9">
        <w:rPr>
          <w:rFonts w:ascii="Arial" w:hAnsi="Arial" w:cs="Arial"/>
        </w:rPr>
        <w:t>)</w:t>
      </w:r>
      <w:r w:rsidRPr="008725E9">
        <w:rPr>
          <w:rFonts w:ascii="Arial" w:hAnsi="Arial" w:cs="Arial"/>
        </w:rPr>
        <w:tab/>
      </w:r>
      <w:r>
        <w:rPr>
          <w:rFonts w:ascii="Arial" w:hAnsi="Arial" w:cs="Arial"/>
        </w:rPr>
        <w:t xml:space="preserve">The South African National AIDS Council secretariat is currently </w:t>
      </w:r>
      <w:proofErr w:type="spellStart"/>
      <w:r>
        <w:rPr>
          <w:rFonts w:ascii="Arial" w:hAnsi="Arial" w:cs="Arial"/>
        </w:rPr>
        <w:t>finalising</w:t>
      </w:r>
      <w:proofErr w:type="spellEnd"/>
      <w:r>
        <w:rPr>
          <w:rFonts w:ascii="Arial" w:hAnsi="Arial" w:cs="Arial"/>
        </w:rPr>
        <w:t xml:space="preserve"> the midterm report against activities and targets set in the National Strategic Plan, 2017-2022.  Highlights of the review were presented, on 23 November 2019, to the SANAC Extended Plenary meeting, co-chaired by the Deputy President and </w:t>
      </w:r>
      <w:proofErr w:type="spellStart"/>
      <w:r>
        <w:rPr>
          <w:rFonts w:ascii="Arial" w:hAnsi="Arial" w:cs="Arial"/>
        </w:rPr>
        <w:t>Ms</w:t>
      </w:r>
      <w:proofErr w:type="spellEnd"/>
      <w:r>
        <w:rPr>
          <w:rFonts w:ascii="Arial" w:hAnsi="Arial" w:cs="Arial"/>
        </w:rPr>
        <w:t xml:space="preserve"> Steve </w:t>
      </w:r>
      <w:proofErr w:type="spellStart"/>
      <w:r>
        <w:rPr>
          <w:rFonts w:ascii="Arial" w:hAnsi="Arial" w:cs="Arial"/>
        </w:rPr>
        <w:t>Letsike</w:t>
      </w:r>
      <w:proofErr w:type="spellEnd"/>
      <w:r>
        <w:rPr>
          <w:rFonts w:ascii="Arial" w:hAnsi="Arial" w:cs="Arial"/>
        </w:rPr>
        <w:t xml:space="preserve"> representing civil society.  Once the midterm report is </w:t>
      </w:r>
      <w:proofErr w:type="spellStart"/>
      <w:r>
        <w:rPr>
          <w:rFonts w:ascii="Arial" w:hAnsi="Arial" w:cs="Arial"/>
        </w:rPr>
        <w:t>finalised</w:t>
      </w:r>
      <w:proofErr w:type="spellEnd"/>
      <w:r>
        <w:rPr>
          <w:rFonts w:ascii="Arial" w:hAnsi="Arial" w:cs="Arial"/>
        </w:rPr>
        <w:t xml:space="preserve"> copies can be made available to Members of Parliament. </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tab/>
        <w:t xml:space="preserve">In brief, South Africa has made </w:t>
      </w:r>
      <w:r w:rsidRPr="00C4270E">
        <w:rPr>
          <w:rFonts w:ascii="Arial" w:hAnsi="Arial" w:cs="Arial"/>
        </w:rPr>
        <w:t xml:space="preserve">progress against </w:t>
      </w:r>
      <w:r>
        <w:rPr>
          <w:rFonts w:ascii="Arial" w:hAnsi="Arial" w:cs="Arial"/>
        </w:rPr>
        <w:t>the various pillars of Strategic Plan as reflected by data on reduction in new infections as well as access to antiretroviral treatment.  With respect to HIV incidence, the number of new infections has fallen from 270,000 in 2012 to 222,000 in 2018.  Whilst this reduction is welcome it is clearly too slow and more needs to be done to reduce new infections.</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tab/>
      </w:r>
      <w:r w:rsidRPr="00C4270E">
        <w:rPr>
          <w:rFonts w:ascii="Arial" w:hAnsi="Arial" w:cs="Arial"/>
        </w:rPr>
        <w:t xml:space="preserve">The mother to child transmission rates </w:t>
      </w:r>
      <w:r>
        <w:rPr>
          <w:rFonts w:ascii="Arial" w:hAnsi="Arial" w:cs="Arial"/>
        </w:rPr>
        <w:t xml:space="preserve">at 10 weeks postpartum </w:t>
      </w:r>
      <w:r w:rsidRPr="00C4270E">
        <w:rPr>
          <w:rFonts w:ascii="Arial" w:hAnsi="Arial" w:cs="Arial"/>
        </w:rPr>
        <w:t>have declined to 0.74</w:t>
      </w:r>
      <w:r>
        <w:rPr>
          <w:rFonts w:ascii="Arial" w:hAnsi="Arial" w:cs="Arial"/>
        </w:rPr>
        <w:t>% which means that fewer children are being born HIV positive</w:t>
      </w:r>
      <w:r w:rsidRPr="00C4270E">
        <w:rPr>
          <w:rFonts w:ascii="Arial" w:hAnsi="Arial" w:cs="Arial"/>
        </w:rPr>
        <w:t xml:space="preserve">. </w:t>
      </w:r>
      <w:r>
        <w:rPr>
          <w:rFonts w:ascii="Arial" w:hAnsi="Arial" w:cs="Arial"/>
        </w:rPr>
        <w:t xml:space="preserve"> </w:t>
      </w:r>
      <w:r w:rsidRPr="00C4270E">
        <w:rPr>
          <w:rFonts w:ascii="Arial" w:hAnsi="Arial" w:cs="Arial"/>
        </w:rPr>
        <w:t>Although</w:t>
      </w:r>
      <w:r>
        <w:rPr>
          <w:rFonts w:ascii="Arial" w:hAnsi="Arial" w:cs="Arial"/>
        </w:rPr>
        <w:t xml:space="preserve"> </w:t>
      </w:r>
      <w:r w:rsidRPr="00C4270E">
        <w:rPr>
          <w:rFonts w:ascii="Arial" w:hAnsi="Arial" w:cs="Arial"/>
        </w:rPr>
        <w:t>condom</w:t>
      </w:r>
      <w:r>
        <w:rPr>
          <w:rFonts w:ascii="Arial" w:hAnsi="Arial" w:cs="Arial"/>
        </w:rPr>
        <w:t xml:space="preserve"> </w:t>
      </w:r>
      <w:r w:rsidRPr="00C4270E">
        <w:rPr>
          <w:rFonts w:ascii="Arial" w:hAnsi="Arial" w:cs="Arial"/>
        </w:rPr>
        <w:t xml:space="preserve">distribution has increased, condom </w:t>
      </w:r>
      <w:proofErr w:type="spellStart"/>
      <w:r w:rsidRPr="00C4270E">
        <w:rPr>
          <w:rFonts w:ascii="Arial" w:hAnsi="Arial" w:cs="Arial"/>
        </w:rPr>
        <w:t>utilisation</w:t>
      </w:r>
      <w:proofErr w:type="spellEnd"/>
      <w:r w:rsidRPr="00C4270E">
        <w:rPr>
          <w:rFonts w:ascii="Arial" w:hAnsi="Arial" w:cs="Arial"/>
        </w:rPr>
        <w:t xml:space="preserve"> is on the decline, particularly in the 15-24 year old age group.</w:t>
      </w:r>
      <w:r>
        <w:rPr>
          <w:rFonts w:ascii="Arial" w:hAnsi="Arial" w:cs="Arial"/>
        </w:rPr>
        <w:t xml:space="preserve"> </w:t>
      </w:r>
      <w:r w:rsidRPr="00C4270E">
        <w:rPr>
          <w:rFonts w:ascii="Arial" w:hAnsi="Arial" w:cs="Arial"/>
        </w:rPr>
        <w:t>Combination prevention and differentiated service delivery, addressing the needs of each target population in a more holisti</w:t>
      </w:r>
      <w:r>
        <w:rPr>
          <w:rFonts w:ascii="Arial" w:hAnsi="Arial" w:cs="Arial"/>
        </w:rPr>
        <w:t xml:space="preserve">c and comprehensive way, has been </w:t>
      </w:r>
      <w:proofErr w:type="spellStart"/>
      <w:r>
        <w:rPr>
          <w:rFonts w:ascii="Arial" w:hAnsi="Arial" w:cs="Arial"/>
        </w:rPr>
        <w:t>prioritised</w:t>
      </w:r>
      <w:proofErr w:type="spellEnd"/>
      <w:r w:rsidRPr="00C4270E">
        <w:rPr>
          <w:rFonts w:ascii="Arial" w:hAnsi="Arial" w:cs="Arial"/>
        </w:rPr>
        <w:t>.</w:t>
      </w:r>
    </w:p>
    <w:p w:rsidR="00AD546B" w:rsidRPr="00C4270E" w:rsidRDefault="00AD546B" w:rsidP="00AD546B">
      <w:pPr>
        <w:pStyle w:val="NormalWeb"/>
        <w:spacing w:before="200" w:beforeAutospacing="0" w:after="0" w:afterAutospacing="0" w:line="264" w:lineRule="auto"/>
        <w:ind w:left="567" w:hanging="567"/>
        <w:jc w:val="both"/>
        <w:rPr>
          <w:rFonts w:ascii="Arial" w:hAnsi="Arial" w:cs="Arial"/>
        </w:rPr>
      </w:pP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lastRenderedPageBreak/>
        <w:tab/>
        <w:t xml:space="preserve">In terms of treatment, South Africa has reached the 5 million people on treatment. The majority of the patients are in the public sector (4.8 million) with the remainder in the private sector.  With respect to </w:t>
      </w:r>
      <w:r w:rsidRPr="00C4270E">
        <w:rPr>
          <w:rFonts w:ascii="Arial" w:hAnsi="Arial" w:cs="Arial"/>
        </w:rPr>
        <w:t xml:space="preserve">the UNAIDS 90-90-90 targets </w:t>
      </w:r>
      <w:r>
        <w:rPr>
          <w:rFonts w:ascii="Arial" w:hAnsi="Arial" w:cs="Arial"/>
        </w:rPr>
        <w:t xml:space="preserve">(90% of people with HIV know their status, 90% of these on treatment, and 90% of those on treatment virally suppressed), </w:t>
      </w:r>
      <w:r w:rsidRPr="00C4270E">
        <w:rPr>
          <w:rFonts w:ascii="Arial" w:hAnsi="Arial" w:cs="Arial"/>
        </w:rPr>
        <w:t>the</w:t>
      </w:r>
      <w:r>
        <w:rPr>
          <w:rFonts w:ascii="Arial" w:hAnsi="Arial" w:cs="Arial"/>
        </w:rPr>
        <w:t xml:space="preserve"> country has </w:t>
      </w:r>
      <w:r w:rsidRPr="00C4270E">
        <w:rPr>
          <w:rFonts w:ascii="Arial" w:hAnsi="Arial" w:cs="Arial"/>
        </w:rPr>
        <w:t xml:space="preserve">reached 91-71-88. </w:t>
      </w:r>
      <w:r>
        <w:rPr>
          <w:rFonts w:ascii="Arial" w:hAnsi="Arial" w:cs="Arial"/>
        </w:rPr>
        <w:t xml:space="preserve"> </w:t>
      </w:r>
      <w:r w:rsidRPr="00C4270E">
        <w:rPr>
          <w:rFonts w:ascii="Arial" w:hAnsi="Arial" w:cs="Arial"/>
        </w:rPr>
        <w:t>This means that South Africa has achieved the 1</w:t>
      </w:r>
      <w:r w:rsidRPr="00C4270E">
        <w:rPr>
          <w:rFonts w:ascii="Arial" w:hAnsi="Arial" w:cs="Arial"/>
          <w:vertAlign w:val="superscript"/>
        </w:rPr>
        <w:t>st</w:t>
      </w:r>
      <w:r>
        <w:rPr>
          <w:rFonts w:ascii="Arial" w:hAnsi="Arial" w:cs="Arial"/>
          <w:vertAlign w:val="superscript"/>
        </w:rPr>
        <w:t xml:space="preserve"> </w:t>
      </w:r>
      <w:r w:rsidRPr="00C4270E">
        <w:rPr>
          <w:rFonts w:ascii="Arial" w:hAnsi="Arial" w:cs="Arial"/>
        </w:rPr>
        <w:t>90, and is steadily progressing towards achieving the 2</w:t>
      </w:r>
      <w:r w:rsidRPr="00C4270E">
        <w:rPr>
          <w:rFonts w:ascii="Arial" w:hAnsi="Arial" w:cs="Arial"/>
          <w:vertAlign w:val="superscript"/>
        </w:rPr>
        <w:t>nd</w:t>
      </w:r>
      <w:r>
        <w:rPr>
          <w:rFonts w:ascii="Arial" w:hAnsi="Arial" w:cs="Arial"/>
          <w:vertAlign w:val="superscript"/>
        </w:rPr>
        <w:t xml:space="preserve"> </w:t>
      </w:r>
      <w:r w:rsidRPr="00C4270E">
        <w:rPr>
          <w:rFonts w:ascii="Arial" w:hAnsi="Arial" w:cs="Arial"/>
        </w:rPr>
        <w:t>and 3</w:t>
      </w:r>
      <w:r w:rsidRPr="00C4270E">
        <w:rPr>
          <w:rFonts w:ascii="Arial" w:hAnsi="Arial" w:cs="Arial"/>
          <w:vertAlign w:val="superscript"/>
        </w:rPr>
        <w:t>rd</w:t>
      </w:r>
      <w:r>
        <w:rPr>
          <w:rFonts w:ascii="Arial" w:hAnsi="Arial" w:cs="Arial"/>
          <w:vertAlign w:val="superscript"/>
        </w:rPr>
        <w:t xml:space="preserve"> </w:t>
      </w:r>
      <w:r>
        <w:rPr>
          <w:rFonts w:ascii="Arial" w:hAnsi="Arial" w:cs="Arial"/>
        </w:rPr>
        <w:t>90’s</w:t>
      </w:r>
      <w:r w:rsidRPr="00C4270E">
        <w:rPr>
          <w:rFonts w:ascii="Arial" w:hAnsi="Arial" w:cs="Arial"/>
        </w:rPr>
        <w:t>.</w:t>
      </w:r>
      <w:r>
        <w:rPr>
          <w:rFonts w:ascii="Arial" w:hAnsi="Arial" w:cs="Arial"/>
        </w:rPr>
        <w:t xml:space="preserve">  Three districts (in KwaZulu-Natal) have reached the 90-90-90 targets with another 14 nation-wide likely to reach this target by March 2020. </w:t>
      </w:r>
      <w:r w:rsidRPr="00C4270E">
        <w:rPr>
          <w:rFonts w:ascii="Arial" w:hAnsi="Arial" w:cs="Arial"/>
        </w:rPr>
        <w:t xml:space="preserve"> </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tab/>
        <w:t>We need to test and treat more men and young people and r</w:t>
      </w:r>
      <w:r w:rsidRPr="00C4270E">
        <w:rPr>
          <w:rFonts w:ascii="Arial" w:hAnsi="Arial" w:cs="Arial"/>
        </w:rPr>
        <w:t xml:space="preserve">etention </w:t>
      </w:r>
      <w:r>
        <w:rPr>
          <w:rFonts w:ascii="Arial" w:hAnsi="Arial" w:cs="Arial"/>
        </w:rPr>
        <w:t xml:space="preserve">on treatment continues to be a </w:t>
      </w:r>
      <w:r w:rsidRPr="00C4270E">
        <w:rPr>
          <w:rFonts w:ascii="Arial" w:hAnsi="Arial" w:cs="Arial"/>
        </w:rPr>
        <w:t>challenge</w:t>
      </w:r>
      <w:r>
        <w:rPr>
          <w:rFonts w:ascii="Arial" w:hAnsi="Arial" w:cs="Arial"/>
        </w:rPr>
        <w:t xml:space="preserve"> which government and its partners are working on. </w:t>
      </w:r>
      <w:r w:rsidRPr="00C4270E">
        <w:rPr>
          <w:rFonts w:ascii="Arial" w:hAnsi="Arial" w:cs="Arial"/>
        </w:rPr>
        <w:t xml:space="preserve"> </w:t>
      </w:r>
      <w:r>
        <w:rPr>
          <w:rFonts w:ascii="Arial" w:hAnsi="Arial" w:cs="Arial"/>
        </w:rPr>
        <w:t>Internal and external migration together with a lack of an electronic information system across the health system are contributory to a higher than acceptable percentage of patients retained in care.</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tab/>
        <w:t xml:space="preserve">The burden of tuberculosis remains large with South Africa being one of the high burden countries.  We have recently completed the first ever national TB prevalence survey and the results are currently being verified by the World Health </w:t>
      </w:r>
      <w:proofErr w:type="spellStart"/>
      <w:r>
        <w:rPr>
          <w:rFonts w:ascii="Arial" w:hAnsi="Arial" w:cs="Arial"/>
        </w:rPr>
        <w:t>Organisation</w:t>
      </w:r>
      <w:proofErr w:type="spellEnd"/>
      <w:r>
        <w:rPr>
          <w:rFonts w:ascii="Arial" w:hAnsi="Arial" w:cs="Arial"/>
        </w:rPr>
        <w:t xml:space="preserve">. Once verified we will have a better understanding of the TB incidence and prevalence rates.  The TB prevalence survey report can also be made available to Members of Parliament once </w:t>
      </w:r>
      <w:proofErr w:type="spellStart"/>
      <w:r>
        <w:rPr>
          <w:rFonts w:ascii="Arial" w:hAnsi="Arial" w:cs="Arial"/>
        </w:rPr>
        <w:t>finalised</w:t>
      </w:r>
      <w:proofErr w:type="spellEnd"/>
      <w:r>
        <w:rPr>
          <w:rFonts w:ascii="Arial" w:hAnsi="Arial" w:cs="Arial"/>
        </w:rPr>
        <w:t xml:space="preserve">.  From routine data we know that notifications are on the decline but that we are still missing an estimated 160,000 patients – as for HIV, we are missing young people as well as men. Efforts are underway to intensify screening, testing and initiation of young people and men on treatment and finding the missing TB patients.  </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t>(2)</w:t>
      </w:r>
      <w:r>
        <w:rPr>
          <w:rFonts w:ascii="Arial" w:hAnsi="Arial" w:cs="Arial"/>
        </w:rPr>
        <w:tab/>
        <w:t>The Department intends addressing the issue of non-communicable diseases that have been identified as forming part of the quadruple burden of disease through the National Strategic Plan on Non-Communicable Diseases 2020-2035 which is in the process of being approved.  This Strategy aims to strengthen existing initiatives on the prevention and control on non-communicable diseases (NCDs).  Such initiatives include:</w:t>
      </w:r>
    </w:p>
    <w:p w:rsidR="00AD546B" w:rsidRDefault="00AD546B" w:rsidP="00AD546B">
      <w:pPr>
        <w:pStyle w:val="NormalWeb"/>
        <w:spacing w:before="200" w:beforeAutospacing="0" w:after="0" w:afterAutospacing="0" w:line="264" w:lineRule="auto"/>
        <w:ind w:left="567" w:hanging="567"/>
        <w:jc w:val="both"/>
        <w:rPr>
          <w:rFonts w:ascii="Arial" w:hAnsi="Arial" w:cs="Arial"/>
          <w:b/>
        </w:rPr>
      </w:pPr>
      <w:r>
        <w:rPr>
          <w:rFonts w:ascii="Arial" w:hAnsi="Arial" w:cs="Arial"/>
        </w:rPr>
        <w:tab/>
      </w:r>
      <w:r>
        <w:rPr>
          <w:rFonts w:ascii="Arial" w:hAnsi="Arial" w:cs="Arial"/>
          <w:b/>
        </w:rPr>
        <w:t>PREVENTION AND PROMOTION</w:t>
      </w:r>
    </w:p>
    <w:p w:rsidR="00AD546B" w:rsidRDefault="00AD546B" w:rsidP="00AD546B">
      <w:pPr>
        <w:pStyle w:val="NormalWeb"/>
        <w:spacing w:before="200" w:beforeAutospacing="0" w:after="0" w:afterAutospacing="0" w:line="264" w:lineRule="auto"/>
        <w:ind w:left="567" w:hanging="567"/>
        <w:jc w:val="both"/>
        <w:rPr>
          <w:rFonts w:ascii="Arial" w:hAnsi="Arial" w:cs="Arial"/>
        </w:rPr>
      </w:pPr>
      <w:r>
        <w:rPr>
          <w:rFonts w:ascii="Arial" w:hAnsi="Arial" w:cs="Arial"/>
        </w:rPr>
        <w:tab/>
        <w:t>South Africa has taken a number of legislative/regulatory/policy steps to prevent NCDs.  Specific preventive interventions include (by main risk factors):</w:t>
      </w:r>
    </w:p>
    <w:p w:rsidR="00AD546B" w:rsidRDefault="00AD546B" w:rsidP="00AD546B">
      <w:pPr>
        <w:pStyle w:val="NormalWeb"/>
        <w:spacing w:before="200" w:beforeAutospacing="0" w:after="0" w:afterAutospacing="0" w:line="264" w:lineRule="auto"/>
        <w:ind w:left="567"/>
        <w:jc w:val="both"/>
        <w:rPr>
          <w:rFonts w:ascii="Arial" w:hAnsi="Arial" w:cs="Arial"/>
          <w:b/>
        </w:rPr>
      </w:pPr>
      <w:r>
        <w:rPr>
          <w:rFonts w:ascii="Arial" w:hAnsi="Arial" w:cs="Arial"/>
          <w:b/>
        </w:rPr>
        <w:t>Tobacco</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a.</w:t>
      </w:r>
      <w:r>
        <w:rPr>
          <w:rFonts w:ascii="Arial" w:hAnsi="Arial" w:cs="Arial"/>
        </w:rPr>
        <w:tab/>
        <w:t>A new Draft Control of Tobacco Products and electronic Delivery Systems Bill has been tabled;</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b.</w:t>
      </w:r>
      <w:r>
        <w:rPr>
          <w:rFonts w:ascii="Arial" w:hAnsi="Arial" w:cs="Arial"/>
        </w:rPr>
        <w:tab/>
        <w:t>The key areas that the Bill will regulate are:</w:t>
      </w:r>
    </w:p>
    <w:p w:rsidR="00AD546B" w:rsidRDefault="00AD546B" w:rsidP="00AD546B">
      <w:pPr>
        <w:pStyle w:val="NormalWeb"/>
        <w:spacing w:before="60" w:beforeAutospacing="0" w:after="0" w:afterAutospacing="0" w:line="264" w:lineRule="auto"/>
        <w:ind w:left="1276" w:hanging="284"/>
        <w:jc w:val="both"/>
        <w:rPr>
          <w:rFonts w:ascii="Arial" w:hAnsi="Arial" w:cs="Arial"/>
        </w:rPr>
      </w:pPr>
      <w:r>
        <w:rPr>
          <w:rFonts w:ascii="Arial" w:hAnsi="Arial" w:cs="Arial"/>
        </w:rPr>
        <w:t>-</w:t>
      </w:r>
      <w:r>
        <w:rPr>
          <w:rFonts w:ascii="Arial" w:hAnsi="Arial" w:cs="Arial"/>
        </w:rPr>
        <w:tab/>
        <w:t>restrictions on public smoking;</w:t>
      </w:r>
    </w:p>
    <w:p w:rsidR="00AD546B" w:rsidRDefault="00AD546B" w:rsidP="00AD546B">
      <w:pPr>
        <w:pStyle w:val="NormalWeb"/>
        <w:spacing w:before="60" w:beforeAutospacing="0" w:after="0" w:afterAutospacing="0" w:line="264" w:lineRule="auto"/>
        <w:ind w:left="1276" w:hanging="284"/>
        <w:jc w:val="both"/>
        <w:rPr>
          <w:rFonts w:ascii="Arial" w:hAnsi="Arial" w:cs="Arial"/>
        </w:rPr>
      </w:pPr>
      <w:r>
        <w:rPr>
          <w:rFonts w:ascii="Arial" w:hAnsi="Arial" w:cs="Arial"/>
        </w:rPr>
        <w:t>-</w:t>
      </w:r>
      <w:r>
        <w:rPr>
          <w:rFonts w:ascii="Arial" w:hAnsi="Arial" w:cs="Arial"/>
        </w:rPr>
        <w:tab/>
        <w:t>the sale and advertising of tobacco products and electronic delivery systems;</w:t>
      </w:r>
    </w:p>
    <w:p w:rsidR="00AD546B" w:rsidRDefault="00AD546B" w:rsidP="00AD546B">
      <w:pPr>
        <w:pStyle w:val="NormalWeb"/>
        <w:spacing w:before="60" w:beforeAutospacing="0" w:after="0" w:afterAutospacing="0" w:line="264" w:lineRule="auto"/>
        <w:ind w:left="1276" w:hanging="284"/>
        <w:jc w:val="both"/>
        <w:rPr>
          <w:rFonts w:ascii="Arial" w:hAnsi="Arial" w:cs="Arial"/>
        </w:rPr>
      </w:pPr>
      <w:r>
        <w:rPr>
          <w:rFonts w:ascii="Arial" w:hAnsi="Arial" w:cs="Arial"/>
        </w:rPr>
        <w:t>-</w:t>
      </w:r>
      <w:r>
        <w:rPr>
          <w:rFonts w:ascii="Arial" w:hAnsi="Arial" w:cs="Arial"/>
        </w:rPr>
        <w:tab/>
        <w:t>the prohibition on financial or other support;</w:t>
      </w:r>
    </w:p>
    <w:p w:rsidR="00AD546B" w:rsidRDefault="00AD546B" w:rsidP="00AD546B">
      <w:pPr>
        <w:pStyle w:val="NormalWeb"/>
        <w:spacing w:before="60" w:beforeAutospacing="0" w:after="0" w:afterAutospacing="0" w:line="264" w:lineRule="auto"/>
        <w:ind w:left="1276" w:hanging="284"/>
        <w:jc w:val="both"/>
        <w:rPr>
          <w:rFonts w:ascii="Arial" w:hAnsi="Arial" w:cs="Arial"/>
        </w:rPr>
      </w:pPr>
      <w:r>
        <w:rPr>
          <w:rFonts w:ascii="Arial" w:hAnsi="Arial" w:cs="Arial"/>
        </w:rPr>
        <w:lastRenderedPageBreak/>
        <w:t>-</w:t>
      </w:r>
      <w:r>
        <w:rPr>
          <w:rFonts w:ascii="Arial" w:hAnsi="Arial" w:cs="Arial"/>
        </w:rPr>
        <w:tab/>
        <w:t>the prohibition of vending machines;</w:t>
      </w:r>
    </w:p>
    <w:p w:rsidR="00AD546B" w:rsidRDefault="00AD546B" w:rsidP="00AD546B">
      <w:pPr>
        <w:pStyle w:val="NormalWeb"/>
        <w:spacing w:before="60" w:beforeAutospacing="0" w:after="0" w:afterAutospacing="0" w:line="264" w:lineRule="auto"/>
        <w:ind w:left="1276" w:hanging="284"/>
        <w:jc w:val="both"/>
        <w:rPr>
          <w:rFonts w:ascii="Arial" w:hAnsi="Arial" w:cs="Arial"/>
        </w:rPr>
      </w:pPr>
      <w:r>
        <w:rPr>
          <w:rFonts w:ascii="Arial" w:hAnsi="Arial" w:cs="Arial"/>
        </w:rPr>
        <w:t>-</w:t>
      </w:r>
      <w:r>
        <w:rPr>
          <w:rFonts w:ascii="Arial" w:hAnsi="Arial" w:cs="Arial"/>
        </w:rPr>
        <w:tab/>
        <w:t xml:space="preserve">the </w:t>
      </w:r>
      <w:proofErr w:type="spellStart"/>
      <w:r>
        <w:rPr>
          <w:rFonts w:ascii="Arial" w:hAnsi="Arial" w:cs="Arial"/>
        </w:rPr>
        <w:t>standardisation</w:t>
      </w:r>
      <w:proofErr w:type="spellEnd"/>
      <w:r>
        <w:rPr>
          <w:rFonts w:ascii="Arial" w:hAnsi="Arial" w:cs="Arial"/>
        </w:rPr>
        <w:t xml:space="preserve"> of the packaging and appearance of tobacco products;  and electronic delivery systems;  and</w:t>
      </w:r>
    </w:p>
    <w:p w:rsidR="00AD546B" w:rsidRDefault="00AD546B" w:rsidP="00AD546B">
      <w:pPr>
        <w:pStyle w:val="NormalWeb"/>
        <w:spacing w:before="60" w:beforeAutospacing="0" w:after="0" w:afterAutospacing="0" w:line="264" w:lineRule="auto"/>
        <w:ind w:left="1276" w:hanging="284"/>
        <w:jc w:val="both"/>
        <w:rPr>
          <w:rFonts w:ascii="Arial" w:hAnsi="Arial" w:cs="Arial"/>
        </w:rPr>
      </w:pPr>
      <w:r>
        <w:rPr>
          <w:rFonts w:ascii="Arial" w:hAnsi="Arial" w:cs="Arial"/>
        </w:rPr>
        <w:t>-</w:t>
      </w:r>
      <w:r>
        <w:rPr>
          <w:rFonts w:ascii="Arial" w:hAnsi="Arial" w:cs="Arial"/>
        </w:rPr>
        <w:tab/>
        <w:t>restriction on the sale of products.</w:t>
      </w:r>
    </w:p>
    <w:p w:rsidR="00AD546B" w:rsidRDefault="00AD546B" w:rsidP="00AD546B">
      <w:pPr>
        <w:pStyle w:val="NormalWeb"/>
        <w:spacing w:before="200" w:beforeAutospacing="0" w:after="0" w:afterAutospacing="0" w:line="264" w:lineRule="auto"/>
        <w:ind w:left="993" w:hanging="426"/>
        <w:jc w:val="both"/>
        <w:rPr>
          <w:rFonts w:ascii="Arial" w:hAnsi="Arial" w:cs="Arial"/>
          <w:b/>
        </w:rPr>
      </w:pPr>
      <w:r>
        <w:rPr>
          <w:rFonts w:ascii="Arial" w:hAnsi="Arial" w:cs="Arial"/>
          <w:b/>
        </w:rPr>
        <w:t>Diet</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a.</w:t>
      </w:r>
      <w:r>
        <w:rPr>
          <w:rFonts w:ascii="Arial" w:hAnsi="Arial" w:cs="Arial"/>
        </w:rPr>
        <w:tab/>
        <w:t>A regulation on Trans-fats in Foodstuffs was passed in 2011 (R127).  According to this regulation the trans-fat content of any oils and fats cannot exceed two grams per 100 grams.  Products with higher trans fats levels are prohibited from entering or being sold in the country.</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b.</w:t>
      </w:r>
      <w:r>
        <w:rPr>
          <w:rFonts w:ascii="Arial" w:hAnsi="Arial" w:cs="Arial"/>
        </w:rPr>
        <w:tab/>
        <w:t>A regulation on reduction of sodium in 13 categories of foodstuffs that are the most common source of sodium for the majority of South Africans was passed in 2013 (R214) and amended in October 2017.</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c.</w:t>
      </w:r>
      <w:r>
        <w:rPr>
          <w:rFonts w:ascii="Arial" w:hAnsi="Arial" w:cs="Arial"/>
        </w:rPr>
        <w:tab/>
        <w:t>A levy on sugar sweetened beverages (Health promotion levy) was passed in 2018.  The levy is foxed at 2.1 cents per gram of sugar content that exceeds 4g per 100ml.  Fruit juice is exempt.</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d.</w:t>
      </w:r>
      <w:r>
        <w:rPr>
          <w:rFonts w:ascii="Arial" w:hAnsi="Arial" w:cs="Arial"/>
        </w:rPr>
        <w:tab/>
        <w:t>South Africa adopted a Strategy for the Prevention and Control of Obesity in South Africa (2015-2020).</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e.</w:t>
      </w:r>
      <w:r>
        <w:rPr>
          <w:rFonts w:ascii="Arial" w:hAnsi="Arial" w:cs="Arial"/>
        </w:rPr>
        <w:tab/>
        <w:t>National Nutrition Week and National Obesity Week took place annually from 09 to 15 and 15 to 19 October respectively.  For the past three years (2016, 2017 and 2018) the Department of Health campaigns focused on the importance of eating regular, healthy meals to prevent obesity and consequently non-communicable diseases and to promote health.</w:t>
      </w:r>
    </w:p>
    <w:p w:rsidR="00AD546B" w:rsidRDefault="00AD546B" w:rsidP="00AD546B">
      <w:pPr>
        <w:pStyle w:val="NormalWeb"/>
        <w:spacing w:before="200" w:beforeAutospacing="0" w:after="0" w:afterAutospacing="0" w:line="264" w:lineRule="auto"/>
        <w:ind w:left="993" w:hanging="426"/>
        <w:jc w:val="both"/>
        <w:rPr>
          <w:rFonts w:ascii="Arial" w:hAnsi="Arial" w:cs="Arial"/>
          <w:b/>
        </w:rPr>
      </w:pPr>
      <w:r>
        <w:rPr>
          <w:rFonts w:ascii="Arial" w:hAnsi="Arial" w:cs="Arial"/>
          <w:b/>
        </w:rPr>
        <w:t>Physical activity</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a.</w:t>
      </w:r>
      <w:r>
        <w:rPr>
          <w:rFonts w:ascii="Arial" w:hAnsi="Arial" w:cs="Arial"/>
        </w:rPr>
        <w:tab/>
        <w:t>The Country commemorates the Move for Health campaign on an annual basis on the 10</w:t>
      </w:r>
      <w:r w:rsidRPr="002B36A6">
        <w:rPr>
          <w:rFonts w:ascii="Arial" w:hAnsi="Arial" w:cs="Arial"/>
          <w:vertAlign w:val="superscript"/>
        </w:rPr>
        <w:t>th</w:t>
      </w:r>
      <w:r>
        <w:rPr>
          <w:rFonts w:ascii="Arial" w:hAnsi="Arial" w:cs="Arial"/>
        </w:rPr>
        <w:t xml:space="preserve"> of May.  The campaign is led by the Sport and Recreation South Africa in collaboration with the Department of Health.</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b.</w:t>
      </w:r>
      <w:r>
        <w:rPr>
          <w:rFonts w:ascii="Arial" w:hAnsi="Arial" w:cs="Arial"/>
        </w:rPr>
        <w:tab/>
        <w:t>The Department of Sports and Recreation hosts an annual Big Walk on the first Sunday of October each year.  The Big Walk is the South African version of the World Walking Day.  Since 2012 it has taken place in all provincial capital cities with more than thirty thousand (30,000) participants in 2017.</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c.</w:t>
      </w:r>
      <w:r>
        <w:rPr>
          <w:rFonts w:ascii="Arial" w:hAnsi="Arial" w:cs="Arial"/>
        </w:rPr>
        <w:tab/>
        <w:t>The Cabinet of South Africa also declared the first Friday of October as the National Recreation Day since 2014.  The campaign is targeting all Citizens to be physically active.</w:t>
      </w:r>
    </w:p>
    <w:p w:rsidR="00AD546B" w:rsidRDefault="00AD546B" w:rsidP="00AD546B">
      <w:pPr>
        <w:pStyle w:val="NormalWeb"/>
        <w:spacing w:before="200" w:beforeAutospacing="0" w:after="0" w:afterAutospacing="0" w:line="264" w:lineRule="auto"/>
        <w:ind w:left="993" w:hanging="426"/>
        <w:jc w:val="both"/>
        <w:rPr>
          <w:rFonts w:ascii="Arial" w:hAnsi="Arial" w:cs="Arial"/>
          <w:b/>
        </w:rPr>
      </w:pPr>
    </w:p>
    <w:p w:rsidR="00AD546B" w:rsidRDefault="00AD546B" w:rsidP="00AD546B">
      <w:pPr>
        <w:pStyle w:val="NormalWeb"/>
        <w:spacing w:before="200" w:beforeAutospacing="0" w:after="0" w:afterAutospacing="0" w:line="264" w:lineRule="auto"/>
        <w:ind w:left="993" w:hanging="426"/>
        <w:jc w:val="both"/>
        <w:rPr>
          <w:rFonts w:ascii="Arial" w:hAnsi="Arial" w:cs="Arial"/>
          <w:b/>
        </w:rPr>
      </w:pPr>
    </w:p>
    <w:p w:rsidR="00AD546B" w:rsidRDefault="00AD546B" w:rsidP="00AD546B">
      <w:pPr>
        <w:pStyle w:val="NormalWeb"/>
        <w:spacing w:before="200" w:beforeAutospacing="0" w:after="0" w:afterAutospacing="0" w:line="264" w:lineRule="auto"/>
        <w:ind w:left="993" w:hanging="426"/>
        <w:jc w:val="both"/>
        <w:rPr>
          <w:rFonts w:ascii="Arial" w:hAnsi="Arial" w:cs="Arial"/>
          <w:b/>
        </w:rPr>
      </w:pPr>
      <w:r>
        <w:rPr>
          <w:rFonts w:ascii="Arial" w:hAnsi="Arial" w:cs="Arial"/>
          <w:b/>
        </w:rPr>
        <w:lastRenderedPageBreak/>
        <w:t xml:space="preserve">The Human Papilloma Virus (HPV) vaccination </w:t>
      </w:r>
      <w:proofErr w:type="spellStart"/>
      <w:r>
        <w:rPr>
          <w:rFonts w:ascii="Arial" w:hAnsi="Arial" w:cs="Arial"/>
          <w:b/>
        </w:rPr>
        <w:t>programme</w:t>
      </w:r>
      <w:proofErr w:type="spellEnd"/>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a.</w:t>
      </w:r>
      <w:r>
        <w:rPr>
          <w:rFonts w:ascii="Arial" w:hAnsi="Arial" w:cs="Arial"/>
        </w:rPr>
        <w:tab/>
        <w:t xml:space="preserve">The Human Papilloma Virus (HPV) vaccination </w:t>
      </w:r>
      <w:proofErr w:type="spellStart"/>
      <w:r>
        <w:rPr>
          <w:rFonts w:ascii="Arial" w:hAnsi="Arial" w:cs="Arial"/>
        </w:rPr>
        <w:t>programme</w:t>
      </w:r>
      <w:proofErr w:type="spellEnd"/>
      <w:r>
        <w:rPr>
          <w:rFonts w:ascii="Arial" w:hAnsi="Arial" w:cs="Arial"/>
        </w:rPr>
        <w:t xml:space="preserve"> was launched in 2014 by the National Department of Health in partnership with the Department of Basic Education, as part of primary prevention against cervical cancer.</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b.</w:t>
      </w:r>
      <w:r>
        <w:rPr>
          <w:rFonts w:ascii="Arial" w:hAnsi="Arial" w:cs="Arial"/>
        </w:rPr>
        <w:tab/>
        <w:t>The aim was to target an estimated 550,000 girls in grade 4, aged 9 years in 17,000 public and special schools, before they were exposed to HPV infection.</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c.</w:t>
      </w:r>
      <w:r>
        <w:rPr>
          <w:rFonts w:ascii="Arial" w:hAnsi="Arial" w:cs="Arial"/>
        </w:rPr>
        <w:tab/>
        <w:t>A bivalent vaccine (</w:t>
      </w:r>
      <w:proofErr w:type="spellStart"/>
      <w:r>
        <w:rPr>
          <w:rFonts w:ascii="Arial" w:hAnsi="Arial" w:cs="Arial"/>
        </w:rPr>
        <w:t>Cervarix</w:t>
      </w:r>
      <w:proofErr w:type="spellEnd"/>
      <w:r>
        <w:rPr>
          <w:rFonts w:ascii="Arial" w:hAnsi="Arial" w:cs="Arial"/>
        </w:rPr>
        <w:t xml:space="preserve">) is given at five to six month intervals using a campaign approach implemented through the Integrated School Health </w:t>
      </w:r>
      <w:proofErr w:type="spellStart"/>
      <w:r>
        <w:rPr>
          <w:rFonts w:ascii="Arial" w:hAnsi="Arial" w:cs="Arial"/>
        </w:rPr>
        <w:t>Programme</w:t>
      </w:r>
      <w:proofErr w:type="spellEnd"/>
      <w:r>
        <w:rPr>
          <w:rFonts w:ascii="Arial" w:hAnsi="Arial" w:cs="Arial"/>
        </w:rPr>
        <w:t>.</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d.</w:t>
      </w:r>
      <w:r>
        <w:rPr>
          <w:rFonts w:ascii="Arial" w:hAnsi="Arial" w:cs="Arial"/>
        </w:rPr>
        <w:tab/>
        <w:t>The first round is conducted during February to March and the second round in August to September of each year.</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e.</w:t>
      </w:r>
      <w:r>
        <w:rPr>
          <w:rFonts w:ascii="Arial" w:hAnsi="Arial" w:cs="Arial"/>
        </w:rPr>
        <w:tab/>
        <w:t xml:space="preserve">Between 2014 when this </w:t>
      </w:r>
      <w:proofErr w:type="spellStart"/>
      <w:r>
        <w:rPr>
          <w:rFonts w:ascii="Arial" w:hAnsi="Arial" w:cs="Arial"/>
        </w:rPr>
        <w:t>programme</w:t>
      </w:r>
      <w:proofErr w:type="spellEnd"/>
      <w:r>
        <w:rPr>
          <w:rFonts w:ascii="Arial" w:hAnsi="Arial" w:cs="Arial"/>
        </w:rPr>
        <w:t xml:space="preserve"> started and February 2019 a total of one million nine hundred and thirty four thousand six hundred and thirty five (1,934,635) Grade 4 girls had received Dose 1 and one million two hundred and seven thousand four hundred and seventy seven (1,207,4077) Dose 2.</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b/>
        </w:rPr>
        <w:t>HEALTH SYSTEMS IMPROVEMENT</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a.</w:t>
      </w:r>
      <w:r>
        <w:rPr>
          <w:rFonts w:ascii="Arial" w:hAnsi="Arial" w:cs="Arial"/>
        </w:rPr>
        <w:tab/>
        <w:t>An Integrated Clinical Services Management Model that incorporates all chronic diseases, whether communicable or non-communicable, was introduced through the Ideal Clinic initiative.  This means that patients are seen for whatever chronic disease they have, including for multiple conditions, at the same visit.  As of 2018, 97,2% of clinics had reorganized with designated consulting areas for management of chronic conditions and had patient appointment systems for people with chronic conditions (up from 87% and 73% respectively in 2017).</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b.</w:t>
      </w:r>
      <w:r>
        <w:rPr>
          <w:rFonts w:ascii="Arial" w:hAnsi="Arial" w:cs="Arial"/>
        </w:rPr>
        <w:tab/>
        <w:t xml:space="preserve">Medicine for many patients that are stable on Non Communicable Diseases medication are provided through the </w:t>
      </w:r>
      <w:proofErr w:type="spellStart"/>
      <w:r>
        <w:rPr>
          <w:rFonts w:ascii="Arial" w:hAnsi="Arial" w:cs="Arial"/>
        </w:rPr>
        <w:t>Centralised</w:t>
      </w:r>
      <w:proofErr w:type="spellEnd"/>
      <w:r>
        <w:rPr>
          <w:rFonts w:ascii="Arial" w:hAnsi="Arial" w:cs="Arial"/>
        </w:rPr>
        <w:t xml:space="preserve"> Chronic Medicines Dispensing and Distribution (CCMDD) model.</w:t>
      </w:r>
    </w:p>
    <w:p w:rsidR="00AD546B" w:rsidRDefault="00AD546B" w:rsidP="00AD546B">
      <w:pPr>
        <w:pStyle w:val="NormalWeb"/>
        <w:spacing w:before="200" w:beforeAutospacing="0" w:after="0" w:afterAutospacing="0" w:line="264" w:lineRule="auto"/>
        <w:ind w:left="993" w:hanging="426"/>
        <w:jc w:val="both"/>
        <w:rPr>
          <w:rFonts w:ascii="Arial" w:hAnsi="Arial" w:cs="Arial"/>
        </w:rPr>
      </w:pPr>
      <w:r>
        <w:rPr>
          <w:rFonts w:ascii="Arial" w:hAnsi="Arial" w:cs="Arial"/>
        </w:rPr>
        <w:t>c.</w:t>
      </w:r>
      <w:r>
        <w:rPr>
          <w:rFonts w:ascii="Arial" w:hAnsi="Arial" w:cs="Arial"/>
        </w:rPr>
        <w:tab/>
        <w:t>Together with the Affordable Medicines Directorate (AMD), concerted efforts have been made to improve drug availability at hospital and primary care levels and systems are in place to monitor medicine stock outs.</w:t>
      </w:r>
    </w:p>
    <w:p w:rsidR="00AD546B" w:rsidRDefault="00AD546B" w:rsidP="00AD546B">
      <w:pPr>
        <w:pStyle w:val="NormalWeb"/>
        <w:tabs>
          <w:tab w:val="left" w:pos="426"/>
        </w:tabs>
        <w:spacing w:before="200" w:beforeAutospacing="0" w:after="200" w:afterAutospacing="0" w:line="264" w:lineRule="auto"/>
        <w:ind w:left="993" w:hanging="993"/>
        <w:jc w:val="both"/>
        <w:rPr>
          <w:rFonts w:ascii="Arial" w:hAnsi="Arial" w:cs="Arial"/>
        </w:rPr>
      </w:pPr>
    </w:p>
    <w:p w:rsidR="00AD546B" w:rsidRDefault="00AD546B" w:rsidP="00AD546B">
      <w:pPr>
        <w:pStyle w:val="NormalWeb"/>
        <w:tabs>
          <w:tab w:val="left" w:pos="426"/>
        </w:tabs>
        <w:spacing w:before="200" w:beforeAutospacing="0" w:after="200" w:afterAutospacing="0" w:line="264" w:lineRule="auto"/>
        <w:ind w:left="993" w:hanging="993"/>
        <w:jc w:val="both"/>
        <w:rPr>
          <w:rFonts w:ascii="Arial" w:hAnsi="Arial" w:cs="Arial"/>
        </w:rPr>
      </w:pPr>
    </w:p>
    <w:p w:rsidR="00AD546B" w:rsidRDefault="00AD546B" w:rsidP="00AD546B">
      <w:pPr>
        <w:pStyle w:val="NormalWeb"/>
        <w:tabs>
          <w:tab w:val="left" w:pos="426"/>
        </w:tabs>
        <w:spacing w:before="200" w:beforeAutospacing="0" w:after="200" w:afterAutospacing="0" w:line="264" w:lineRule="auto"/>
        <w:ind w:left="993" w:hanging="993"/>
        <w:jc w:val="both"/>
        <w:rPr>
          <w:rFonts w:ascii="Arial" w:hAnsi="Arial" w:cs="Arial"/>
        </w:rPr>
      </w:pPr>
    </w:p>
    <w:p w:rsidR="00AD546B" w:rsidRDefault="00AD546B" w:rsidP="00AD546B">
      <w:pPr>
        <w:pStyle w:val="NormalWeb"/>
        <w:tabs>
          <w:tab w:val="left" w:pos="426"/>
        </w:tabs>
        <w:spacing w:before="200" w:beforeAutospacing="0" w:after="200" w:afterAutospacing="0" w:line="264" w:lineRule="auto"/>
        <w:ind w:left="993" w:hanging="993"/>
        <w:jc w:val="both"/>
        <w:rPr>
          <w:rFonts w:ascii="Arial" w:hAnsi="Arial" w:cs="Arial"/>
        </w:rPr>
      </w:pPr>
    </w:p>
    <w:p w:rsidR="00AD546B" w:rsidRDefault="00AD546B" w:rsidP="00AD546B">
      <w:pPr>
        <w:pStyle w:val="NormalWeb"/>
        <w:tabs>
          <w:tab w:val="left" w:pos="426"/>
        </w:tabs>
        <w:spacing w:before="200" w:beforeAutospacing="0" w:after="200" w:afterAutospacing="0" w:line="264" w:lineRule="auto"/>
        <w:ind w:left="993" w:hanging="993"/>
        <w:jc w:val="both"/>
        <w:rPr>
          <w:rFonts w:ascii="Arial" w:hAnsi="Arial" w:cs="Arial"/>
        </w:rPr>
      </w:pPr>
    </w:p>
    <w:p w:rsidR="00AD546B" w:rsidRDefault="00AD546B" w:rsidP="00AD546B">
      <w:pPr>
        <w:pStyle w:val="NormalWeb"/>
        <w:tabs>
          <w:tab w:val="left" w:pos="426"/>
        </w:tabs>
        <w:spacing w:before="200" w:beforeAutospacing="0" w:after="200" w:afterAutospacing="0" w:line="264" w:lineRule="auto"/>
        <w:ind w:left="993" w:hanging="993"/>
        <w:jc w:val="both"/>
        <w:rPr>
          <w:rFonts w:ascii="Arial" w:hAnsi="Arial" w:cs="Arial"/>
        </w:rPr>
      </w:pPr>
    </w:p>
    <w:p w:rsidR="00AD546B" w:rsidRDefault="00AD546B" w:rsidP="00AD546B">
      <w:pPr>
        <w:pStyle w:val="NormalWeb"/>
        <w:tabs>
          <w:tab w:val="left" w:pos="426"/>
        </w:tabs>
        <w:spacing w:before="200" w:beforeAutospacing="0" w:after="200" w:afterAutospacing="0" w:line="264" w:lineRule="auto"/>
        <w:ind w:left="993" w:hanging="993"/>
        <w:jc w:val="both"/>
      </w:pPr>
      <w:r>
        <w:rPr>
          <w:rFonts w:ascii="Arial" w:hAnsi="Arial" w:cs="Arial"/>
        </w:rPr>
        <w:lastRenderedPageBreak/>
        <w:t>(3)</w:t>
      </w:r>
      <w:r>
        <w:rPr>
          <w:rFonts w:ascii="Arial" w:hAnsi="Arial" w:cs="Arial"/>
        </w:rPr>
        <w:tab/>
        <w:t>(a)</w:t>
      </w:r>
      <w:r>
        <w:rPr>
          <w:rFonts w:ascii="Arial" w:hAnsi="Arial" w:cs="Arial"/>
        </w:rPr>
        <w:tab/>
      </w:r>
      <w:r w:rsidRPr="003A4166">
        <w:rPr>
          <w:rFonts w:ascii="Arial" w:hAnsi="Arial" w:cs="Arial"/>
          <w:b/>
        </w:rPr>
        <w:t>Table 1:</w:t>
      </w:r>
      <w:r w:rsidRPr="003A4166">
        <w:rPr>
          <w:rFonts w:ascii="Arial" w:hAnsi="Arial" w:cs="Arial"/>
          <w:b/>
        </w:rPr>
        <w:tab/>
      </w:r>
      <w:r w:rsidRPr="00D16B0E">
        <w:rPr>
          <w:rFonts w:ascii="Arial" w:hAnsi="Arial" w:cs="Arial"/>
          <w:b/>
        </w:rPr>
        <w:t xml:space="preserve">The provincial distribution of </w:t>
      </w:r>
      <w:proofErr w:type="spellStart"/>
      <w:r w:rsidRPr="00D16B0E">
        <w:rPr>
          <w:rFonts w:ascii="Arial" w:hAnsi="Arial" w:cs="Arial"/>
          <w:b/>
        </w:rPr>
        <w:t>GeneXpert</w:t>
      </w:r>
      <w:proofErr w:type="spellEnd"/>
      <w:r w:rsidRPr="00D16B0E">
        <w:rPr>
          <w:rFonts w:ascii="Arial" w:hAnsi="Arial" w:cs="Arial"/>
          <w:b/>
        </w:rPr>
        <w:t xml:space="preserve"> devices in South Africa</w:t>
      </w:r>
    </w:p>
    <w:tbl>
      <w:tblPr>
        <w:tblStyle w:val="GridTable5Dark-Accent31"/>
        <w:tblW w:w="7229" w:type="dxa"/>
        <w:tblInd w:w="1101" w:type="dxa"/>
        <w:tblLayout w:type="fixed"/>
        <w:tblLook w:val="04A0" w:firstRow="1" w:lastRow="0" w:firstColumn="1" w:lastColumn="0" w:noHBand="0" w:noVBand="1"/>
      </w:tblPr>
      <w:tblGrid>
        <w:gridCol w:w="1353"/>
        <w:gridCol w:w="1176"/>
        <w:gridCol w:w="1175"/>
        <w:gridCol w:w="1175"/>
        <w:gridCol w:w="1175"/>
        <w:gridCol w:w="1175"/>
      </w:tblGrid>
      <w:tr w:rsidR="00AD546B" w:rsidTr="00AC37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center"/>
              <w:rPr>
                <w:rFonts w:eastAsia="Times New Roman"/>
                <w:color w:val="000000"/>
                <w:sz w:val="18"/>
                <w:szCs w:val="18"/>
                <w:lang w:eastAsia="en-ZA"/>
              </w:rPr>
            </w:pPr>
            <w:r w:rsidRPr="00AD7D12">
              <w:rPr>
                <w:rFonts w:eastAsia="Times New Roman"/>
                <w:bCs w:val="0"/>
                <w:color w:val="000000"/>
                <w:sz w:val="18"/>
                <w:szCs w:val="18"/>
                <w:lang w:eastAsia="en-ZA"/>
              </w:rPr>
              <w:t>PROVINCE</w:t>
            </w:r>
          </w:p>
        </w:tc>
        <w:tc>
          <w:tcPr>
            <w:tcW w:w="1588" w:type="dxa"/>
            <w:vAlign w:val="center"/>
            <w:hideMark/>
          </w:tcPr>
          <w:p w:rsidR="00AD546B" w:rsidRPr="00AD7D12" w:rsidRDefault="00AD546B" w:rsidP="00AC37EC">
            <w:pPr>
              <w:ind w:left="0" w:right="12"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en-ZA"/>
              </w:rPr>
            </w:pPr>
            <w:r w:rsidRPr="00AD7D12">
              <w:rPr>
                <w:rFonts w:eastAsia="Times New Roman"/>
                <w:bCs w:val="0"/>
                <w:color w:val="000000"/>
                <w:sz w:val="18"/>
                <w:szCs w:val="18"/>
                <w:lang w:eastAsia="en-ZA"/>
              </w:rPr>
              <w:t>GX4</w:t>
            </w:r>
          </w:p>
        </w:tc>
        <w:tc>
          <w:tcPr>
            <w:tcW w:w="1588" w:type="dxa"/>
            <w:vAlign w:val="center"/>
            <w:hideMark/>
          </w:tcPr>
          <w:p w:rsidR="00AD546B" w:rsidRPr="00AD7D12" w:rsidRDefault="00AD546B" w:rsidP="00AC37EC">
            <w:pPr>
              <w:ind w:left="0" w:right="12"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en-ZA"/>
              </w:rPr>
            </w:pPr>
            <w:r w:rsidRPr="00AD7D12">
              <w:rPr>
                <w:rFonts w:eastAsia="Times New Roman"/>
                <w:bCs w:val="0"/>
                <w:color w:val="000000"/>
                <w:sz w:val="18"/>
                <w:szCs w:val="18"/>
                <w:lang w:eastAsia="en-ZA"/>
              </w:rPr>
              <w:t>GX16</w:t>
            </w:r>
          </w:p>
        </w:tc>
        <w:tc>
          <w:tcPr>
            <w:tcW w:w="1588" w:type="dxa"/>
            <w:vAlign w:val="center"/>
            <w:hideMark/>
          </w:tcPr>
          <w:p w:rsidR="00AD546B" w:rsidRPr="00AD7D12" w:rsidRDefault="00AD546B" w:rsidP="00AC37EC">
            <w:pPr>
              <w:ind w:left="0" w:right="12"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en-ZA"/>
              </w:rPr>
            </w:pPr>
            <w:r w:rsidRPr="00AD7D12">
              <w:rPr>
                <w:rFonts w:eastAsia="Times New Roman"/>
                <w:bCs w:val="0"/>
                <w:color w:val="000000"/>
                <w:sz w:val="18"/>
                <w:szCs w:val="18"/>
                <w:lang w:eastAsia="en-ZA"/>
              </w:rPr>
              <w:t>GX48</w:t>
            </w:r>
          </w:p>
        </w:tc>
        <w:tc>
          <w:tcPr>
            <w:tcW w:w="1588" w:type="dxa"/>
            <w:vAlign w:val="center"/>
            <w:hideMark/>
          </w:tcPr>
          <w:p w:rsidR="00AD546B" w:rsidRPr="00AD7D12" w:rsidRDefault="00AD546B" w:rsidP="00AC37EC">
            <w:pPr>
              <w:ind w:left="0" w:right="12"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en-ZA"/>
              </w:rPr>
            </w:pPr>
            <w:r w:rsidRPr="00AD7D12">
              <w:rPr>
                <w:rFonts w:eastAsia="Times New Roman"/>
                <w:bCs w:val="0"/>
                <w:color w:val="000000"/>
                <w:sz w:val="18"/>
                <w:szCs w:val="18"/>
                <w:lang w:eastAsia="en-ZA"/>
              </w:rPr>
              <w:t>GX80</w:t>
            </w:r>
          </w:p>
        </w:tc>
        <w:tc>
          <w:tcPr>
            <w:tcW w:w="1588" w:type="dxa"/>
            <w:vAlign w:val="center"/>
            <w:hideMark/>
          </w:tcPr>
          <w:p w:rsidR="00AD546B" w:rsidRPr="00AD7D12" w:rsidRDefault="00AD546B" w:rsidP="00AC37EC">
            <w:pPr>
              <w:ind w:left="0" w:right="12"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en-ZA"/>
              </w:rPr>
            </w:pPr>
            <w:r w:rsidRPr="00AD7D12">
              <w:rPr>
                <w:rFonts w:eastAsia="Times New Roman"/>
                <w:bCs w:val="0"/>
                <w:color w:val="000000"/>
                <w:sz w:val="18"/>
                <w:szCs w:val="18"/>
                <w:lang w:eastAsia="en-ZA"/>
              </w:rPr>
              <w:t>Total</w:t>
            </w:r>
          </w:p>
        </w:tc>
      </w:tr>
      <w:tr w:rsidR="00AD546B" w:rsidTr="00AC37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bCs w:val="0"/>
                <w:color w:val="000000"/>
                <w:sz w:val="18"/>
                <w:szCs w:val="18"/>
                <w:lang w:eastAsia="en-ZA"/>
              </w:rPr>
            </w:pPr>
            <w:r w:rsidRPr="00AD7D12">
              <w:rPr>
                <w:rFonts w:eastAsia="Times New Roman"/>
                <w:bCs w:val="0"/>
                <w:color w:val="000000"/>
                <w:sz w:val="18"/>
                <w:szCs w:val="18"/>
                <w:lang w:eastAsia="en-ZA"/>
              </w:rPr>
              <w:t>Eastern Cape</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17</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28</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w:t>
            </w:r>
          </w:p>
        </w:tc>
        <w:tc>
          <w:tcPr>
            <w:tcW w:w="1588" w:type="dxa"/>
            <w:noWrap/>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47</w:t>
            </w:r>
          </w:p>
        </w:tc>
      </w:tr>
      <w:tr w:rsidR="00AD546B" w:rsidTr="00AC37EC">
        <w:trPr>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Free State</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11</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9</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w:t>
            </w:r>
          </w:p>
        </w:tc>
        <w:tc>
          <w:tcPr>
            <w:tcW w:w="1588" w:type="dxa"/>
            <w:noWrap/>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21</w:t>
            </w:r>
          </w:p>
        </w:tc>
      </w:tr>
      <w:tr w:rsidR="00AD546B" w:rsidTr="00AC37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Gauteng</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25</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27</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w:t>
            </w:r>
          </w:p>
        </w:tc>
        <w:tc>
          <w:tcPr>
            <w:tcW w:w="1588" w:type="dxa"/>
            <w:noWrap/>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55</w:t>
            </w:r>
          </w:p>
        </w:tc>
      </w:tr>
      <w:tr w:rsidR="00AD546B" w:rsidTr="00AC37EC">
        <w:trPr>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Pr>
                <w:rFonts w:eastAsia="Times New Roman"/>
                <w:bCs w:val="0"/>
                <w:color w:val="000000"/>
                <w:sz w:val="18"/>
                <w:szCs w:val="18"/>
                <w:lang w:eastAsia="en-ZA"/>
              </w:rPr>
              <w:t>KwaZ</w:t>
            </w:r>
            <w:r w:rsidRPr="00AD7D12">
              <w:rPr>
                <w:rFonts w:eastAsia="Times New Roman"/>
                <w:bCs w:val="0"/>
                <w:color w:val="000000"/>
                <w:sz w:val="18"/>
                <w:szCs w:val="18"/>
                <w:lang w:eastAsia="en-ZA"/>
              </w:rPr>
              <w:t>ulu-Natal</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25</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51</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w:t>
            </w:r>
          </w:p>
        </w:tc>
        <w:tc>
          <w:tcPr>
            <w:tcW w:w="1588" w:type="dxa"/>
            <w:noWrap/>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77</w:t>
            </w:r>
          </w:p>
        </w:tc>
      </w:tr>
      <w:tr w:rsidR="00AD546B" w:rsidTr="00AC37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Limpopo</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19</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25</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noWrap/>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44</w:t>
            </w:r>
          </w:p>
        </w:tc>
      </w:tr>
      <w:tr w:rsidR="00AD546B" w:rsidTr="00AC37EC">
        <w:trPr>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Mpumalanga</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3</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14</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w:t>
            </w:r>
          </w:p>
        </w:tc>
        <w:tc>
          <w:tcPr>
            <w:tcW w:w="1588" w:type="dxa"/>
            <w:noWrap/>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18</w:t>
            </w:r>
          </w:p>
        </w:tc>
      </w:tr>
      <w:tr w:rsidR="00AD546B" w:rsidTr="00AC37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North West</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8</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17</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noWrap/>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25</w:t>
            </w:r>
          </w:p>
        </w:tc>
      </w:tr>
      <w:tr w:rsidR="00AD546B" w:rsidTr="00AC37EC">
        <w:trPr>
          <w:trHeight w:val="300"/>
        </w:trPr>
        <w:tc>
          <w:tcPr>
            <w:cnfStyle w:val="001000000000" w:firstRow="0" w:lastRow="0" w:firstColumn="1" w:lastColumn="0" w:oddVBand="0" w:evenVBand="0" w:oddHBand="0" w:evenHBand="0" w:firstRowFirstColumn="0" w:firstRowLastColumn="0" w:lastRowFirstColumn="0" w:lastRowLastColumn="0"/>
            <w:tcW w:w="1842" w:type="dxa"/>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Northern Cape</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2</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6</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noWrap/>
            <w:vAlign w:val="center"/>
            <w:hideMark/>
          </w:tcPr>
          <w:p w:rsidR="00AD546B"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8</w:t>
            </w:r>
          </w:p>
        </w:tc>
      </w:tr>
      <w:tr w:rsidR="00AD546B" w:rsidTr="00AC37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bottom w:val="single" w:sz="4" w:space="0" w:color="auto"/>
            </w:tcBorders>
            <w:vAlign w:val="center"/>
            <w:hideMark/>
          </w:tcPr>
          <w:p w:rsidR="00AD546B" w:rsidRPr="00AD7D12" w:rsidRDefault="00AD546B" w:rsidP="00AC37EC">
            <w:pPr>
              <w:jc w:val="left"/>
              <w:rPr>
                <w:rFonts w:eastAsia="Times New Roman"/>
                <w:color w:val="000000"/>
                <w:sz w:val="18"/>
                <w:szCs w:val="18"/>
                <w:lang w:eastAsia="en-ZA"/>
              </w:rPr>
            </w:pPr>
            <w:r w:rsidRPr="00AD7D12">
              <w:rPr>
                <w:rFonts w:eastAsia="Times New Roman"/>
                <w:bCs w:val="0"/>
                <w:color w:val="000000"/>
                <w:sz w:val="18"/>
                <w:szCs w:val="18"/>
                <w:lang w:eastAsia="en-ZA"/>
              </w:rPr>
              <w:t>Western Cape</w:t>
            </w:r>
          </w:p>
        </w:tc>
        <w:tc>
          <w:tcPr>
            <w:tcW w:w="1588" w:type="dxa"/>
            <w:tcBorders>
              <w:bottom w:val="single" w:sz="4" w:space="0" w:color="auto"/>
            </w:tcBorders>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17</w:t>
            </w:r>
          </w:p>
        </w:tc>
        <w:tc>
          <w:tcPr>
            <w:tcW w:w="1588" w:type="dxa"/>
            <w:tcBorders>
              <w:bottom w:val="single" w:sz="4" w:space="0" w:color="auto"/>
            </w:tcBorders>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13</w:t>
            </w:r>
          </w:p>
        </w:tc>
        <w:tc>
          <w:tcPr>
            <w:tcW w:w="1588" w:type="dxa"/>
            <w:tcBorders>
              <w:bottom w:val="single" w:sz="4" w:space="0" w:color="auto"/>
            </w:tcBorders>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0</w:t>
            </w:r>
          </w:p>
        </w:tc>
        <w:tc>
          <w:tcPr>
            <w:tcW w:w="1588" w:type="dxa"/>
            <w:tcBorders>
              <w:bottom w:val="single" w:sz="4" w:space="0" w:color="auto"/>
            </w:tcBorders>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ZA"/>
              </w:rPr>
            </w:pPr>
            <w:r>
              <w:rPr>
                <w:rFonts w:eastAsia="Times New Roman"/>
                <w:color w:val="000000"/>
                <w:sz w:val="18"/>
                <w:szCs w:val="18"/>
                <w:lang w:eastAsia="en-ZA"/>
              </w:rPr>
              <w:t>1</w:t>
            </w:r>
          </w:p>
        </w:tc>
        <w:tc>
          <w:tcPr>
            <w:tcW w:w="1588" w:type="dxa"/>
            <w:tcBorders>
              <w:bottom w:val="single" w:sz="4" w:space="0" w:color="auto"/>
            </w:tcBorders>
            <w:noWrap/>
            <w:vAlign w:val="center"/>
            <w:hideMark/>
          </w:tcPr>
          <w:p w:rsidR="00AD546B" w:rsidRDefault="00AD546B" w:rsidP="00AC37EC">
            <w:pPr>
              <w:ind w:left="0" w:right="140"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eastAsia="Times New Roman" w:hAnsi="Calibri" w:cs="Calibri"/>
                <w:color w:val="000000"/>
                <w:lang w:eastAsia="en-ZA"/>
              </w:rPr>
              <w:t>31</w:t>
            </w:r>
          </w:p>
        </w:tc>
      </w:tr>
      <w:tr w:rsidR="00AD546B" w:rsidTr="00AC37EC">
        <w:trPr>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tcBorders>
            <w:vAlign w:val="center"/>
          </w:tcPr>
          <w:p w:rsidR="00AD546B" w:rsidRPr="00AD7D12" w:rsidRDefault="00AD546B" w:rsidP="00AC37EC">
            <w:pPr>
              <w:jc w:val="left"/>
              <w:rPr>
                <w:rFonts w:eastAsia="Times New Roman"/>
                <w:bCs w:val="0"/>
                <w:color w:val="000000"/>
                <w:sz w:val="18"/>
                <w:szCs w:val="18"/>
                <w:lang w:eastAsia="en-ZA"/>
              </w:rPr>
            </w:pPr>
            <w:r>
              <w:rPr>
                <w:rFonts w:eastAsia="Times New Roman"/>
                <w:bCs w:val="0"/>
                <w:color w:val="000000"/>
                <w:sz w:val="18"/>
                <w:szCs w:val="18"/>
                <w:lang w:eastAsia="en-ZA"/>
              </w:rPr>
              <w:t>Total</w:t>
            </w:r>
          </w:p>
        </w:tc>
        <w:tc>
          <w:tcPr>
            <w:tcW w:w="1588" w:type="dxa"/>
            <w:tcBorders>
              <w:top w:val="single" w:sz="4" w:space="0" w:color="auto"/>
              <w:bottom w:val="single" w:sz="4" w:space="0" w:color="auto"/>
            </w:tcBorders>
            <w:vAlign w:val="center"/>
          </w:tcPr>
          <w:p w:rsidR="00AD546B" w:rsidRPr="00AD7D12"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18"/>
                <w:szCs w:val="18"/>
                <w:lang w:eastAsia="en-ZA"/>
              </w:rPr>
            </w:pPr>
            <w:r w:rsidRPr="00AD7D12">
              <w:rPr>
                <w:rFonts w:eastAsia="Times New Roman"/>
                <w:b/>
                <w:color w:val="000000"/>
                <w:sz w:val="18"/>
                <w:szCs w:val="18"/>
                <w:lang w:eastAsia="en-ZA"/>
              </w:rPr>
              <w:t>127</w:t>
            </w:r>
          </w:p>
        </w:tc>
        <w:tc>
          <w:tcPr>
            <w:tcW w:w="1588" w:type="dxa"/>
            <w:tcBorders>
              <w:top w:val="single" w:sz="4" w:space="0" w:color="auto"/>
              <w:bottom w:val="single" w:sz="4" w:space="0" w:color="auto"/>
            </w:tcBorders>
            <w:vAlign w:val="center"/>
          </w:tcPr>
          <w:p w:rsidR="00AD546B" w:rsidRPr="00AD7D12"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18"/>
                <w:szCs w:val="18"/>
                <w:lang w:eastAsia="en-ZA"/>
              </w:rPr>
            </w:pPr>
            <w:r w:rsidRPr="00AD7D12">
              <w:rPr>
                <w:rFonts w:eastAsia="Times New Roman"/>
                <w:b/>
                <w:color w:val="000000"/>
                <w:sz w:val="18"/>
                <w:szCs w:val="18"/>
                <w:lang w:eastAsia="en-ZA"/>
              </w:rPr>
              <w:t>190</w:t>
            </w:r>
          </w:p>
        </w:tc>
        <w:tc>
          <w:tcPr>
            <w:tcW w:w="1588" w:type="dxa"/>
            <w:tcBorders>
              <w:top w:val="single" w:sz="4" w:space="0" w:color="auto"/>
              <w:bottom w:val="single" w:sz="4" w:space="0" w:color="auto"/>
            </w:tcBorders>
            <w:vAlign w:val="center"/>
          </w:tcPr>
          <w:p w:rsidR="00AD546B" w:rsidRPr="00AD7D12"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18"/>
                <w:szCs w:val="18"/>
                <w:lang w:eastAsia="en-ZA"/>
              </w:rPr>
            </w:pPr>
            <w:r w:rsidRPr="00AD7D12">
              <w:rPr>
                <w:rFonts w:eastAsia="Times New Roman"/>
                <w:b/>
                <w:color w:val="000000"/>
                <w:sz w:val="18"/>
                <w:szCs w:val="18"/>
                <w:lang w:eastAsia="en-ZA"/>
              </w:rPr>
              <w:t>1</w:t>
            </w:r>
          </w:p>
        </w:tc>
        <w:tc>
          <w:tcPr>
            <w:tcW w:w="1588" w:type="dxa"/>
            <w:tcBorders>
              <w:top w:val="single" w:sz="4" w:space="0" w:color="auto"/>
              <w:bottom w:val="single" w:sz="4" w:space="0" w:color="auto"/>
            </w:tcBorders>
            <w:vAlign w:val="center"/>
          </w:tcPr>
          <w:p w:rsidR="00AD546B" w:rsidRPr="00AD7D12"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18"/>
                <w:szCs w:val="18"/>
                <w:lang w:eastAsia="en-ZA"/>
              </w:rPr>
            </w:pPr>
            <w:r w:rsidRPr="00AD7D12">
              <w:rPr>
                <w:rFonts w:eastAsia="Times New Roman"/>
                <w:b/>
                <w:color w:val="000000"/>
                <w:sz w:val="18"/>
                <w:szCs w:val="18"/>
                <w:lang w:eastAsia="en-ZA"/>
              </w:rPr>
              <w:t>8</w:t>
            </w:r>
          </w:p>
        </w:tc>
        <w:tc>
          <w:tcPr>
            <w:tcW w:w="1588" w:type="dxa"/>
            <w:tcBorders>
              <w:top w:val="single" w:sz="4" w:space="0" w:color="auto"/>
              <w:bottom w:val="single" w:sz="4" w:space="0" w:color="auto"/>
              <w:right w:val="single" w:sz="4" w:space="0" w:color="auto"/>
            </w:tcBorders>
            <w:noWrap/>
            <w:vAlign w:val="center"/>
          </w:tcPr>
          <w:p w:rsidR="00AD546B" w:rsidRPr="00AD7D12" w:rsidRDefault="00AD546B" w:rsidP="00AC37EC">
            <w:pPr>
              <w:ind w:left="0" w:right="140"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ZA"/>
              </w:rPr>
            </w:pPr>
            <w:r w:rsidRPr="00AD7D12">
              <w:rPr>
                <w:rFonts w:ascii="Calibri" w:eastAsia="Times New Roman" w:hAnsi="Calibri" w:cs="Calibri"/>
                <w:b/>
                <w:color w:val="000000"/>
                <w:lang w:eastAsia="en-ZA"/>
              </w:rPr>
              <w:t>326</w:t>
            </w:r>
          </w:p>
        </w:tc>
      </w:tr>
    </w:tbl>
    <w:p w:rsidR="00AD546B" w:rsidRDefault="00AD546B" w:rsidP="00AD546B">
      <w:pPr>
        <w:tabs>
          <w:tab w:val="left" w:pos="426"/>
        </w:tabs>
        <w:spacing w:before="200"/>
        <w:ind w:left="993" w:hanging="993"/>
        <w:jc w:val="both"/>
        <w:rPr>
          <w:sz w:val="24"/>
          <w:shd w:val="clear" w:color="auto" w:fill="FFFFFF"/>
        </w:rPr>
      </w:pPr>
      <w:r>
        <w:rPr>
          <w:sz w:val="24"/>
          <w:shd w:val="clear" w:color="auto" w:fill="FFFFFF"/>
        </w:rPr>
        <w:tab/>
      </w:r>
    </w:p>
    <w:p w:rsidR="00AD546B" w:rsidRDefault="00AD546B" w:rsidP="00AD546B">
      <w:pPr>
        <w:rPr>
          <w:sz w:val="24"/>
          <w:shd w:val="clear" w:color="auto" w:fill="FFFFFF"/>
        </w:rPr>
      </w:pPr>
      <w:r>
        <w:rPr>
          <w:sz w:val="24"/>
          <w:shd w:val="clear" w:color="auto" w:fill="FFFFFF"/>
        </w:rPr>
        <w:br w:type="page"/>
      </w:r>
    </w:p>
    <w:p w:rsidR="00AD546B" w:rsidRPr="00D158CA" w:rsidRDefault="00AD546B" w:rsidP="00AD546B">
      <w:pPr>
        <w:tabs>
          <w:tab w:val="left" w:pos="426"/>
        </w:tabs>
        <w:spacing w:before="200"/>
        <w:ind w:left="993" w:hanging="993"/>
        <w:jc w:val="both"/>
        <w:rPr>
          <w:sz w:val="24"/>
          <w:shd w:val="clear" w:color="auto" w:fill="FFFFFF"/>
        </w:rPr>
      </w:pPr>
      <w:r>
        <w:rPr>
          <w:sz w:val="24"/>
          <w:shd w:val="clear" w:color="auto" w:fill="FFFFFF"/>
        </w:rPr>
        <w:lastRenderedPageBreak/>
        <w:t>(3)</w:t>
      </w:r>
      <w:r>
        <w:rPr>
          <w:sz w:val="24"/>
          <w:shd w:val="clear" w:color="auto" w:fill="FFFFFF"/>
        </w:rPr>
        <w:tab/>
      </w:r>
      <w:r w:rsidRPr="00D158CA">
        <w:rPr>
          <w:sz w:val="24"/>
          <w:shd w:val="clear" w:color="auto" w:fill="FFFFFF"/>
        </w:rPr>
        <w:t>(b)</w:t>
      </w:r>
      <w:r>
        <w:rPr>
          <w:sz w:val="24"/>
          <w:shd w:val="clear" w:color="auto" w:fill="FFFFFF"/>
        </w:rPr>
        <w:tab/>
      </w:r>
      <w:r w:rsidRPr="00D158CA">
        <w:rPr>
          <w:sz w:val="24"/>
          <w:shd w:val="clear" w:color="auto" w:fill="FFFFFF"/>
        </w:rPr>
        <w:t>The N</w:t>
      </w:r>
      <w:r>
        <w:rPr>
          <w:sz w:val="24"/>
          <w:shd w:val="clear" w:color="auto" w:fill="FFFFFF"/>
        </w:rPr>
        <w:t>ational Health Laboratory Services (N</w:t>
      </w:r>
      <w:r w:rsidRPr="00D158CA">
        <w:rPr>
          <w:sz w:val="24"/>
          <w:shd w:val="clear" w:color="auto" w:fill="FFFFFF"/>
        </w:rPr>
        <w:t>HLS</w:t>
      </w:r>
      <w:r>
        <w:rPr>
          <w:sz w:val="24"/>
          <w:shd w:val="clear" w:color="auto" w:fill="FFFFFF"/>
        </w:rPr>
        <w:t>)</w:t>
      </w:r>
      <w:r w:rsidRPr="00D158CA">
        <w:rPr>
          <w:sz w:val="24"/>
          <w:shd w:val="clear" w:color="auto" w:fill="FFFFFF"/>
        </w:rPr>
        <w:t xml:space="preserve"> laboratory were mapped in Figure 1 to show the coverage of laboratories in South Africa. </w:t>
      </w:r>
      <w:r>
        <w:rPr>
          <w:sz w:val="24"/>
          <w:shd w:val="clear" w:color="auto" w:fill="FFFFFF"/>
        </w:rPr>
        <w:t xml:space="preserve"> </w:t>
      </w:r>
      <w:r w:rsidRPr="00D158CA">
        <w:rPr>
          <w:sz w:val="24"/>
          <w:shd w:val="clear" w:color="auto" w:fill="FFFFFF"/>
        </w:rPr>
        <w:t xml:space="preserve">This was generated using </w:t>
      </w:r>
      <w:r>
        <w:rPr>
          <w:sz w:val="24"/>
          <w:shd w:val="clear" w:color="auto" w:fill="FFFFFF"/>
        </w:rPr>
        <w:t>Global Positioning System (</w:t>
      </w:r>
      <w:r w:rsidRPr="00D158CA">
        <w:rPr>
          <w:sz w:val="24"/>
          <w:shd w:val="clear" w:color="auto" w:fill="FFFFFF"/>
        </w:rPr>
        <w:t>GPS</w:t>
      </w:r>
      <w:r>
        <w:rPr>
          <w:sz w:val="24"/>
          <w:shd w:val="clear" w:color="auto" w:fill="FFFFFF"/>
        </w:rPr>
        <w:t>)</w:t>
      </w:r>
      <w:r w:rsidRPr="00D158CA">
        <w:rPr>
          <w:sz w:val="24"/>
          <w:shd w:val="clear" w:color="auto" w:fill="FFFFFF"/>
        </w:rPr>
        <w:t xml:space="preserve"> coordinates provided by the N</w:t>
      </w:r>
      <w:r>
        <w:rPr>
          <w:sz w:val="24"/>
          <w:shd w:val="clear" w:color="auto" w:fill="FFFFFF"/>
        </w:rPr>
        <w:t>ational Priority Programme (N</w:t>
      </w:r>
      <w:r w:rsidRPr="00D158CA">
        <w:rPr>
          <w:sz w:val="24"/>
          <w:shd w:val="clear" w:color="auto" w:fill="FFFFFF"/>
        </w:rPr>
        <w:t>PP</w:t>
      </w:r>
      <w:r>
        <w:rPr>
          <w:sz w:val="24"/>
          <w:shd w:val="clear" w:color="auto" w:fill="FFFFFF"/>
        </w:rPr>
        <w:t>)</w:t>
      </w:r>
      <w:r w:rsidRPr="00D158CA">
        <w:rPr>
          <w:sz w:val="24"/>
          <w:shd w:val="clear" w:color="auto" w:fill="FFFFFF"/>
        </w:rPr>
        <w:t>.</w:t>
      </w:r>
    </w:p>
    <w:p w:rsidR="00AD546B" w:rsidRDefault="00AD546B" w:rsidP="00AD546B">
      <w:pPr>
        <w:keepNext/>
      </w:pPr>
      <w:r>
        <w:rPr>
          <w:noProof/>
          <w:lang w:val="en-ZA" w:eastAsia="en-ZA"/>
        </w:rPr>
        <w:tab/>
      </w:r>
      <w:r>
        <w:rPr>
          <w:noProof/>
          <w:lang w:val="en-ZA" w:eastAsia="en-ZA"/>
        </w:rPr>
        <w:drawing>
          <wp:inline distT="0" distB="0" distL="0" distR="0" wp14:anchorId="54C8CD18" wp14:editId="3670FA05">
            <wp:extent cx="5644083" cy="4006007"/>
            <wp:effectExtent l="19050" t="0" r="0" b="0"/>
            <wp:docPr id="3" name="Picture 1" descr="C:\Users\pajayi\Documents\GIS DataBase\Project Folders\NPP\Xpert locations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ajayi\Documents\GIS DataBase\Project Folders\NPP\Xpert locations i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2581" cy="4019137"/>
                    </a:xfrm>
                    <a:prstGeom prst="rect">
                      <a:avLst/>
                    </a:prstGeom>
                    <a:noFill/>
                    <a:ln>
                      <a:noFill/>
                    </a:ln>
                  </pic:spPr>
                </pic:pic>
              </a:graphicData>
            </a:graphic>
          </wp:inline>
        </w:drawing>
      </w:r>
    </w:p>
    <w:p w:rsidR="00AD546B" w:rsidRPr="003A4166" w:rsidRDefault="00AD546B" w:rsidP="00AD546B">
      <w:pPr>
        <w:pStyle w:val="Caption"/>
        <w:tabs>
          <w:tab w:val="left" w:pos="1985"/>
        </w:tabs>
        <w:ind w:left="1985" w:right="-142" w:hanging="1134"/>
        <w:jc w:val="left"/>
        <w:rPr>
          <w:b/>
          <w:sz w:val="24"/>
          <w:szCs w:val="24"/>
        </w:rPr>
      </w:pPr>
      <w:r w:rsidRPr="003A4166">
        <w:rPr>
          <w:b/>
          <w:sz w:val="24"/>
          <w:szCs w:val="24"/>
        </w:rPr>
        <w:t xml:space="preserve">Figure </w:t>
      </w:r>
      <w:r w:rsidRPr="003A4166">
        <w:rPr>
          <w:b/>
          <w:sz w:val="24"/>
          <w:szCs w:val="24"/>
        </w:rPr>
        <w:fldChar w:fldCharType="begin"/>
      </w:r>
      <w:r w:rsidRPr="003A4166">
        <w:rPr>
          <w:b/>
          <w:sz w:val="24"/>
          <w:szCs w:val="24"/>
        </w:rPr>
        <w:instrText xml:space="preserve"> SEQ Figure \* ARABIC </w:instrText>
      </w:r>
      <w:r w:rsidRPr="003A4166">
        <w:rPr>
          <w:b/>
          <w:sz w:val="24"/>
          <w:szCs w:val="24"/>
        </w:rPr>
        <w:fldChar w:fldCharType="separate"/>
      </w:r>
      <w:r w:rsidRPr="003A4166">
        <w:rPr>
          <w:b/>
          <w:noProof/>
          <w:sz w:val="24"/>
          <w:szCs w:val="24"/>
        </w:rPr>
        <w:t>1</w:t>
      </w:r>
      <w:r w:rsidRPr="003A4166">
        <w:rPr>
          <w:b/>
          <w:sz w:val="24"/>
          <w:szCs w:val="24"/>
        </w:rPr>
        <w:fldChar w:fldCharType="end"/>
      </w:r>
      <w:r w:rsidRPr="003A4166">
        <w:rPr>
          <w:b/>
          <w:sz w:val="24"/>
          <w:szCs w:val="24"/>
        </w:rPr>
        <w:t>:</w:t>
      </w:r>
      <w:r w:rsidRPr="003A4166">
        <w:rPr>
          <w:b/>
          <w:sz w:val="24"/>
          <w:szCs w:val="24"/>
        </w:rPr>
        <w:tab/>
        <w:t>The geographic coverage of NHLS laboratories across South Africa</w:t>
      </w:r>
    </w:p>
    <w:p w:rsidR="00AD546B" w:rsidRPr="00BA71E3" w:rsidRDefault="00AD546B" w:rsidP="00AD546B">
      <w:pPr>
        <w:tabs>
          <w:tab w:val="left" w:pos="426"/>
          <w:tab w:val="left" w:pos="851"/>
        </w:tabs>
        <w:autoSpaceDE w:val="0"/>
        <w:autoSpaceDN w:val="0"/>
        <w:adjustRightInd w:val="0"/>
        <w:spacing w:line="360" w:lineRule="auto"/>
        <w:ind w:left="1701" w:hanging="1701"/>
        <w:jc w:val="both"/>
        <w:rPr>
          <w:sz w:val="24"/>
        </w:rPr>
      </w:pPr>
      <w:r>
        <w:rPr>
          <w:sz w:val="24"/>
          <w:lang w:val="en-ZA"/>
        </w:rPr>
        <w:t>(3)</w:t>
      </w:r>
      <w:r>
        <w:rPr>
          <w:sz w:val="24"/>
          <w:lang w:val="en-ZA"/>
        </w:rPr>
        <w:tab/>
        <w:t>(</w:t>
      </w:r>
      <w:r w:rsidRPr="0020337E">
        <w:rPr>
          <w:sz w:val="24"/>
          <w:lang w:val="en-ZA"/>
        </w:rPr>
        <w:t>c</w:t>
      </w:r>
      <w:r>
        <w:rPr>
          <w:sz w:val="24"/>
          <w:lang w:val="en-ZA"/>
        </w:rPr>
        <w:t>)</w:t>
      </w:r>
      <w:r>
        <w:rPr>
          <w:sz w:val="24"/>
          <w:lang w:val="en-ZA"/>
        </w:rPr>
        <w:tab/>
        <w:t>(</w:t>
      </w:r>
      <w:proofErr w:type="spellStart"/>
      <w:r>
        <w:rPr>
          <w:sz w:val="24"/>
          <w:lang w:val="en-ZA"/>
        </w:rPr>
        <w:t>i</w:t>
      </w:r>
      <w:proofErr w:type="spellEnd"/>
      <w:r>
        <w:rPr>
          <w:sz w:val="24"/>
          <w:lang w:val="en-ZA"/>
        </w:rPr>
        <w:t>)-(ii)</w:t>
      </w:r>
      <w:r>
        <w:rPr>
          <w:sz w:val="24"/>
          <w:lang w:val="en-ZA"/>
        </w:rPr>
        <w:tab/>
      </w:r>
      <w:r w:rsidRPr="00BA71E3">
        <w:rPr>
          <w:sz w:val="24"/>
        </w:rPr>
        <w:t xml:space="preserve">The impact of </w:t>
      </w:r>
      <w:proofErr w:type="spellStart"/>
      <w:r w:rsidRPr="00BA71E3">
        <w:rPr>
          <w:sz w:val="24"/>
        </w:rPr>
        <w:t>GeneXpert</w:t>
      </w:r>
      <w:proofErr w:type="spellEnd"/>
      <w:r w:rsidRPr="00BA71E3">
        <w:rPr>
          <w:sz w:val="24"/>
        </w:rPr>
        <w:t xml:space="preserve"> has been:</w:t>
      </w:r>
    </w:p>
    <w:p w:rsidR="00AD546B" w:rsidRDefault="00AD546B" w:rsidP="00AD546B">
      <w:pPr>
        <w:autoSpaceDE w:val="0"/>
        <w:autoSpaceDN w:val="0"/>
        <w:adjustRightInd w:val="0"/>
        <w:spacing w:line="360" w:lineRule="auto"/>
        <w:ind w:left="2127" w:hanging="426"/>
        <w:jc w:val="both"/>
        <w:rPr>
          <w:sz w:val="24"/>
        </w:rPr>
      </w:pPr>
      <w:r>
        <w:rPr>
          <w:sz w:val="24"/>
        </w:rPr>
        <w:t>-</w:t>
      </w:r>
      <w:r>
        <w:rPr>
          <w:sz w:val="24"/>
        </w:rPr>
        <w:tab/>
      </w:r>
      <w:r w:rsidRPr="00BA71E3">
        <w:rPr>
          <w:sz w:val="24"/>
        </w:rPr>
        <w:t>Early diagnosis of TB and initiation of treatment resulting in reduction in deaths from 33</w:t>
      </w:r>
      <w:r>
        <w:rPr>
          <w:sz w:val="24"/>
        </w:rPr>
        <w:t>,</w:t>
      </w:r>
      <w:r w:rsidRPr="00BA71E3">
        <w:rPr>
          <w:sz w:val="24"/>
        </w:rPr>
        <w:t>300 patients (in 2011) to 16</w:t>
      </w:r>
      <w:r>
        <w:rPr>
          <w:sz w:val="24"/>
        </w:rPr>
        <w:t>,</w:t>
      </w:r>
      <w:r w:rsidRPr="00BA71E3">
        <w:rPr>
          <w:sz w:val="24"/>
        </w:rPr>
        <w:t>133 (in 2017), a 51% reduction in deaths due to TB</w:t>
      </w:r>
      <w:r>
        <w:rPr>
          <w:sz w:val="24"/>
        </w:rPr>
        <w:t>;</w:t>
      </w:r>
    </w:p>
    <w:p w:rsidR="00AD546B" w:rsidRDefault="00AD546B" w:rsidP="00AD546B">
      <w:pPr>
        <w:autoSpaceDE w:val="0"/>
        <w:autoSpaceDN w:val="0"/>
        <w:adjustRightInd w:val="0"/>
        <w:spacing w:line="360" w:lineRule="auto"/>
        <w:ind w:left="2127" w:hanging="426"/>
        <w:jc w:val="both"/>
        <w:rPr>
          <w:sz w:val="24"/>
        </w:rPr>
      </w:pPr>
      <w:r>
        <w:rPr>
          <w:sz w:val="24"/>
        </w:rPr>
        <w:t>-</w:t>
      </w:r>
      <w:r>
        <w:rPr>
          <w:sz w:val="24"/>
        </w:rPr>
        <w:tab/>
      </w:r>
      <w:r w:rsidRPr="00BA71E3">
        <w:rPr>
          <w:sz w:val="24"/>
        </w:rPr>
        <w:t>The universal drug susceptibility testing for all patients has enabled early triage of patients with rifampicin resistant TB to appropriate second line treatment. This has  resulted in a reduction in treatment failure from 5</w:t>
      </w:r>
      <w:r>
        <w:rPr>
          <w:sz w:val="24"/>
        </w:rPr>
        <w:t xml:space="preserve"> 062 (in 2011) to 934 (in 2017);  and </w:t>
      </w:r>
    </w:p>
    <w:p w:rsidR="00AD546B" w:rsidRPr="00BA71E3" w:rsidRDefault="00AD546B" w:rsidP="00AD546B">
      <w:pPr>
        <w:autoSpaceDE w:val="0"/>
        <w:autoSpaceDN w:val="0"/>
        <w:adjustRightInd w:val="0"/>
        <w:spacing w:line="360" w:lineRule="auto"/>
        <w:ind w:left="2127" w:hanging="426"/>
        <w:jc w:val="both"/>
        <w:rPr>
          <w:sz w:val="24"/>
        </w:rPr>
      </w:pPr>
      <w:r>
        <w:rPr>
          <w:sz w:val="24"/>
        </w:rPr>
        <w:t>-</w:t>
      </w:r>
      <w:r>
        <w:rPr>
          <w:sz w:val="24"/>
        </w:rPr>
        <w:tab/>
      </w:r>
      <w:r w:rsidRPr="00BA71E3">
        <w:rPr>
          <w:sz w:val="24"/>
        </w:rPr>
        <w:t xml:space="preserve">Reduction in number of patients hospitalised for DS and DR-TB, saving on hospitalisation costs. </w:t>
      </w:r>
    </w:p>
    <w:p w:rsidR="00AD546B" w:rsidRDefault="00AD546B" w:rsidP="00AD546B">
      <w:pPr>
        <w:tabs>
          <w:tab w:val="left" w:pos="426"/>
          <w:tab w:val="left" w:pos="851"/>
          <w:tab w:val="left" w:pos="1134"/>
        </w:tabs>
        <w:spacing w:before="200" w:line="264" w:lineRule="auto"/>
        <w:ind w:left="1701" w:hanging="1701"/>
        <w:jc w:val="both"/>
        <w:rPr>
          <w:sz w:val="24"/>
          <w:lang w:val="en-ZA"/>
        </w:rPr>
      </w:pPr>
    </w:p>
    <w:p w:rsidR="00AD546B" w:rsidRDefault="00AD546B" w:rsidP="00AD546B">
      <w:pPr>
        <w:rPr>
          <w:lang w:val="en-ZA"/>
        </w:rPr>
        <w:sectPr w:rsidR="00AD546B" w:rsidSect="00F27B88">
          <w:footerReference w:type="default" r:id="rId8"/>
          <w:pgSz w:w="11907" w:h="16839" w:code="9"/>
          <w:pgMar w:top="1418" w:right="1134" w:bottom="1814" w:left="1134" w:header="720" w:footer="1134" w:gutter="0"/>
          <w:cols w:space="720"/>
          <w:docGrid w:linePitch="360"/>
        </w:sectPr>
      </w:pPr>
    </w:p>
    <w:p w:rsidR="00AD546B" w:rsidRDefault="00AD546B" w:rsidP="00AD546B">
      <w:pPr>
        <w:tabs>
          <w:tab w:val="left" w:pos="426"/>
          <w:tab w:val="left" w:pos="851"/>
        </w:tabs>
        <w:spacing w:before="200" w:line="264" w:lineRule="auto"/>
        <w:ind w:left="1701"/>
        <w:jc w:val="both"/>
        <w:rPr>
          <w:sz w:val="24"/>
          <w:lang w:val="en-ZA"/>
        </w:rPr>
      </w:pPr>
      <w:r w:rsidRPr="0020337E">
        <w:rPr>
          <w:sz w:val="24"/>
          <w:lang w:val="en-ZA"/>
        </w:rPr>
        <w:lastRenderedPageBreak/>
        <w:t xml:space="preserve">Figure 2 summarises the progress of the </w:t>
      </w:r>
      <w:proofErr w:type="spellStart"/>
      <w:r w:rsidRPr="0020337E">
        <w:rPr>
          <w:sz w:val="24"/>
          <w:lang w:val="en-ZA"/>
        </w:rPr>
        <w:t>GeneXpert</w:t>
      </w:r>
      <w:proofErr w:type="spellEnd"/>
      <w:r w:rsidRPr="0020337E">
        <w:rPr>
          <w:sz w:val="24"/>
          <w:lang w:val="en-ZA"/>
        </w:rPr>
        <w:t xml:space="preserve"> program over time from March 2011 to September 2019. </w:t>
      </w:r>
      <w:r>
        <w:rPr>
          <w:sz w:val="24"/>
          <w:lang w:val="en-ZA"/>
        </w:rPr>
        <w:t xml:space="preserve"> </w:t>
      </w:r>
      <w:r w:rsidRPr="0020337E">
        <w:rPr>
          <w:sz w:val="24"/>
          <w:lang w:val="en-ZA"/>
        </w:rPr>
        <w:t>This was generated using the monthly data provided to the R</w:t>
      </w:r>
      <w:r>
        <w:rPr>
          <w:sz w:val="24"/>
          <w:lang w:val="en-ZA"/>
        </w:rPr>
        <w:t xml:space="preserve">esearch and Development </w:t>
      </w:r>
      <w:r w:rsidRPr="0020337E">
        <w:rPr>
          <w:sz w:val="24"/>
          <w:lang w:val="en-ZA"/>
        </w:rPr>
        <w:t xml:space="preserve">team by the NPP. The figure shows a general decrease of both </w:t>
      </w:r>
      <w:r>
        <w:rPr>
          <w:sz w:val="24"/>
          <w:lang w:val="en-ZA"/>
        </w:rPr>
        <w:t>Mycobacterium Tuberculosis (</w:t>
      </w:r>
      <w:r w:rsidRPr="0020337E">
        <w:rPr>
          <w:sz w:val="24"/>
          <w:lang w:val="en-ZA"/>
        </w:rPr>
        <w:t>MTB</w:t>
      </w:r>
      <w:r>
        <w:rPr>
          <w:sz w:val="24"/>
          <w:lang w:val="en-ZA"/>
        </w:rPr>
        <w:t>)</w:t>
      </w:r>
      <w:r w:rsidRPr="0020337E">
        <w:rPr>
          <w:sz w:val="24"/>
          <w:lang w:val="en-ZA"/>
        </w:rPr>
        <w:t xml:space="preserve"> detection (despite seasonal trends of increased MTB detection in the winter months) and </w:t>
      </w:r>
      <w:proofErr w:type="spellStart"/>
      <w:r>
        <w:rPr>
          <w:sz w:val="24"/>
          <w:lang w:val="en-ZA"/>
        </w:rPr>
        <w:t>Refampicin</w:t>
      </w:r>
      <w:proofErr w:type="spellEnd"/>
      <w:r>
        <w:rPr>
          <w:sz w:val="24"/>
          <w:lang w:val="en-ZA"/>
        </w:rPr>
        <w:t>-resistant Tuberculosis (</w:t>
      </w:r>
      <w:r w:rsidRPr="0020337E">
        <w:rPr>
          <w:sz w:val="24"/>
          <w:lang w:val="en-ZA"/>
        </w:rPr>
        <w:t>RIF</w:t>
      </w:r>
      <w:r>
        <w:rPr>
          <w:sz w:val="24"/>
          <w:lang w:val="en-ZA"/>
        </w:rPr>
        <w:t>)</w:t>
      </w:r>
      <w:r w:rsidRPr="0020337E">
        <w:rPr>
          <w:sz w:val="24"/>
          <w:lang w:val="en-ZA"/>
        </w:rPr>
        <w:t xml:space="preserve"> resistance. The “trace”/MTB Indeterminate rate is relatively consistent.</w:t>
      </w:r>
    </w:p>
    <w:p w:rsidR="00AD546B" w:rsidRPr="0020337E" w:rsidRDefault="00AD546B" w:rsidP="00AD546B">
      <w:pPr>
        <w:tabs>
          <w:tab w:val="left" w:pos="426"/>
          <w:tab w:val="left" w:pos="851"/>
        </w:tabs>
        <w:spacing w:before="200" w:line="264" w:lineRule="auto"/>
        <w:ind w:left="1701" w:hanging="1701"/>
        <w:jc w:val="both"/>
        <w:rPr>
          <w:sz w:val="24"/>
          <w:lang w:val="en-ZA"/>
        </w:rPr>
      </w:pPr>
      <w:r>
        <w:rPr>
          <w:sz w:val="24"/>
          <w:lang w:val="en-ZA"/>
        </w:rPr>
        <w:tab/>
      </w:r>
      <w:r>
        <w:rPr>
          <w:sz w:val="24"/>
          <w:lang w:val="en-ZA"/>
        </w:rPr>
        <w:tab/>
      </w:r>
      <w:r>
        <w:rPr>
          <w:sz w:val="24"/>
          <w:lang w:val="en-ZA"/>
        </w:rPr>
        <w:tab/>
      </w:r>
      <w:r w:rsidRPr="0020337E">
        <w:rPr>
          <w:sz w:val="24"/>
          <w:lang w:val="en-ZA"/>
        </w:rPr>
        <w:t xml:space="preserve">The yearly NPP reported figures for the </w:t>
      </w:r>
      <w:proofErr w:type="spellStart"/>
      <w:r w:rsidRPr="0020337E">
        <w:rPr>
          <w:sz w:val="24"/>
          <w:lang w:val="en-ZA"/>
        </w:rPr>
        <w:t>GeneXpert</w:t>
      </w:r>
      <w:proofErr w:type="spellEnd"/>
      <w:r w:rsidRPr="0020337E">
        <w:rPr>
          <w:sz w:val="24"/>
          <w:lang w:val="en-ZA"/>
        </w:rPr>
        <w:t xml:space="preserve"> program are shown in Tables 2 and 3. Table 2 shows the operational programmatic indicators for test outcomes. Table 3 shows the RIF outcomes for MTB detected tests.</w:t>
      </w:r>
    </w:p>
    <w:p w:rsidR="00AD546B" w:rsidRDefault="00AD546B" w:rsidP="00AD546B">
      <w:pPr>
        <w:keepNext/>
      </w:pPr>
      <w:r>
        <w:rPr>
          <w:noProof/>
          <w:lang w:val="en-ZA" w:eastAsia="en-ZA"/>
        </w:rPr>
        <w:tab/>
      </w:r>
      <w:r>
        <w:rPr>
          <w:noProof/>
          <w:lang w:val="en-ZA" w:eastAsia="en-ZA"/>
        </w:rPr>
        <w:drawing>
          <wp:inline distT="0" distB="0" distL="0" distR="0" wp14:anchorId="273465AA" wp14:editId="202CE80D">
            <wp:extent cx="8037499" cy="3384605"/>
            <wp:effectExtent l="19050" t="0" r="1601"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0427" cy="3385838"/>
                    </a:xfrm>
                    <a:prstGeom prst="rect">
                      <a:avLst/>
                    </a:prstGeom>
                    <a:noFill/>
                    <a:ln>
                      <a:noFill/>
                    </a:ln>
                  </pic:spPr>
                </pic:pic>
              </a:graphicData>
            </a:graphic>
          </wp:inline>
        </w:drawing>
      </w:r>
    </w:p>
    <w:p w:rsidR="00AD546B" w:rsidRPr="003A4166" w:rsidRDefault="00AD546B" w:rsidP="00AD546B">
      <w:pPr>
        <w:pStyle w:val="Caption"/>
        <w:ind w:left="1134" w:hanging="1134"/>
        <w:jc w:val="both"/>
        <w:rPr>
          <w:sz w:val="24"/>
          <w:szCs w:val="24"/>
        </w:rPr>
      </w:pPr>
      <w:r w:rsidRPr="003A4166">
        <w:rPr>
          <w:b/>
          <w:sz w:val="24"/>
          <w:szCs w:val="24"/>
        </w:rPr>
        <w:t xml:space="preserve">Figure </w:t>
      </w:r>
      <w:r w:rsidRPr="003A4166">
        <w:rPr>
          <w:b/>
          <w:sz w:val="24"/>
          <w:szCs w:val="24"/>
        </w:rPr>
        <w:fldChar w:fldCharType="begin"/>
      </w:r>
      <w:r w:rsidRPr="003A4166">
        <w:rPr>
          <w:b/>
          <w:sz w:val="24"/>
          <w:szCs w:val="24"/>
        </w:rPr>
        <w:instrText xml:space="preserve"> SEQ Figure \* ARABIC </w:instrText>
      </w:r>
      <w:r w:rsidRPr="003A4166">
        <w:rPr>
          <w:b/>
          <w:sz w:val="24"/>
          <w:szCs w:val="24"/>
        </w:rPr>
        <w:fldChar w:fldCharType="separate"/>
      </w:r>
      <w:r w:rsidRPr="003A4166">
        <w:rPr>
          <w:b/>
          <w:noProof/>
          <w:sz w:val="24"/>
          <w:szCs w:val="24"/>
        </w:rPr>
        <w:t>2</w:t>
      </w:r>
      <w:r w:rsidRPr="003A4166">
        <w:rPr>
          <w:b/>
          <w:sz w:val="24"/>
          <w:szCs w:val="24"/>
        </w:rPr>
        <w:fldChar w:fldCharType="end"/>
      </w:r>
      <w:r w:rsidRPr="003A4166">
        <w:rPr>
          <w:b/>
          <w:sz w:val="24"/>
          <w:szCs w:val="24"/>
        </w:rPr>
        <w:t>:</w:t>
      </w:r>
      <w:r w:rsidRPr="003A4166">
        <w:rPr>
          <w:b/>
          <w:sz w:val="24"/>
          <w:szCs w:val="24"/>
        </w:rPr>
        <w:tab/>
        <w:t xml:space="preserve">The temporal progression of the </w:t>
      </w:r>
      <w:proofErr w:type="spellStart"/>
      <w:r w:rsidRPr="003A4166">
        <w:rPr>
          <w:b/>
          <w:sz w:val="24"/>
          <w:szCs w:val="24"/>
        </w:rPr>
        <w:t>GeneXpert</w:t>
      </w:r>
      <w:proofErr w:type="spellEnd"/>
      <w:r w:rsidRPr="003A4166">
        <w:rPr>
          <w:b/>
          <w:sz w:val="24"/>
          <w:szCs w:val="24"/>
        </w:rPr>
        <w:t xml:space="preserve"> program at national level. The figure shows the number of tests (for both </w:t>
      </w:r>
      <w:proofErr w:type="spellStart"/>
      <w:r w:rsidRPr="003A4166">
        <w:rPr>
          <w:b/>
          <w:sz w:val="24"/>
          <w:szCs w:val="24"/>
        </w:rPr>
        <w:t>Xpert</w:t>
      </w:r>
      <w:proofErr w:type="spellEnd"/>
      <w:r w:rsidRPr="003A4166">
        <w:rPr>
          <w:b/>
          <w:sz w:val="24"/>
          <w:szCs w:val="24"/>
        </w:rPr>
        <w:t xml:space="preserve"> MTB/RIF and </w:t>
      </w:r>
      <w:proofErr w:type="spellStart"/>
      <w:r w:rsidRPr="003A4166">
        <w:rPr>
          <w:b/>
          <w:sz w:val="24"/>
          <w:szCs w:val="24"/>
        </w:rPr>
        <w:t>Xpert</w:t>
      </w:r>
      <w:proofErr w:type="spellEnd"/>
      <w:r w:rsidRPr="003A4166">
        <w:rPr>
          <w:b/>
          <w:sz w:val="24"/>
          <w:szCs w:val="24"/>
        </w:rPr>
        <w:t xml:space="preserve"> MTB/RIF Ultra), the MTB detection rate, “trace”/MTB Indeterminate rate and RIF resistance rate</w:t>
      </w:r>
      <w:r w:rsidRPr="003A4166">
        <w:rPr>
          <w:sz w:val="24"/>
          <w:szCs w:val="24"/>
        </w:rPr>
        <w:t>.</w:t>
      </w:r>
    </w:p>
    <w:p w:rsidR="00AD546B" w:rsidRDefault="00AD546B" w:rsidP="00AD546B">
      <w:pPr>
        <w:pStyle w:val="ListParagraph"/>
        <w:spacing w:before="200"/>
        <w:ind w:left="567" w:hanging="567"/>
        <w:jc w:val="both"/>
        <w:rPr>
          <w:sz w:val="24"/>
        </w:rPr>
        <w:sectPr w:rsidR="00AD546B" w:rsidSect="00F27B88">
          <w:headerReference w:type="default" r:id="rId10"/>
          <w:footerReference w:type="default" r:id="rId11"/>
          <w:pgSz w:w="16838" w:h="11906" w:orient="landscape"/>
          <w:pgMar w:top="1134" w:right="1440" w:bottom="1134" w:left="1418" w:header="709" w:footer="709" w:gutter="0"/>
          <w:cols w:space="708"/>
          <w:docGrid w:linePitch="360"/>
        </w:sectPr>
      </w:pPr>
    </w:p>
    <w:p w:rsidR="00AD546B" w:rsidRDefault="00AD546B" w:rsidP="00AD546B">
      <w:pPr>
        <w:pStyle w:val="BodyText"/>
        <w:spacing w:before="200"/>
        <w:rPr>
          <w:b/>
          <w:sz w:val="24"/>
          <w:lang w:val="en-GB"/>
        </w:rPr>
      </w:pPr>
      <w:r w:rsidRPr="003A4166">
        <w:rPr>
          <w:b/>
          <w:noProof/>
          <w:sz w:val="24"/>
          <w:lang w:val="en-ZA" w:eastAsia="en-ZA"/>
        </w:rPr>
        <w:lastRenderedPageBreak/>
        <w:drawing>
          <wp:inline distT="0" distB="0" distL="0" distR="0" wp14:anchorId="75CF0486" wp14:editId="21ED85AA">
            <wp:extent cx="6409604" cy="209005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9224" cy="2089933"/>
                    </a:xfrm>
                    <a:prstGeom prst="rect">
                      <a:avLst/>
                    </a:prstGeom>
                    <a:noFill/>
                    <a:ln>
                      <a:noFill/>
                    </a:ln>
                  </pic:spPr>
                </pic:pic>
              </a:graphicData>
            </a:graphic>
          </wp:inline>
        </w:drawing>
      </w:r>
    </w:p>
    <w:p w:rsidR="00AD546B" w:rsidRDefault="00AD546B" w:rsidP="00AD546B">
      <w:pPr>
        <w:pStyle w:val="BodyText"/>
        <w:spacing w:before="200"/>
        <w:rPr>
          <w:b/>
          <w:sz w:val="24"/>
          <w:lang w:val="en-GB"/>
        </w:rPr>
      </w:pPr>
      <w:r w:rsidRPr="00BA71E3">
        <w:rPr>
          <w:b/>
          <w:noProof/>
          <w:sz w:val="24"/>
          <w:lang w:val="en-ZA" w:eastAsia="en-ZA"/>
        </w:rPr>
        <w:drawing>
          <wp:inline distT="0" distB="0" distL="0" distR="0" wp14:anchorId="302D7D56" wp14:editId="5C2E1705">
            <wp:extent cx="6120130" cy="2259327"/>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259327"/>
                    </a:xfrm>
                    <a:prstGeom prst="rect">
                      <a:avLst/>
                    </a:prstGeom>
                    <a:noFill/>
                    <a:ln>
                      <a:noFill/>
                    </a:ln>
                  </pic:spPr>
                </pic:pic>
              </a:graphicData>
            </a:graphic>
          </wp:inline>
        </w:drawing>
      </w:r>
    </w:p>
    <w:p w:rsidR="00AD546B" w:rsidRDefault="00AD546B" w:rsidP="00AD546B">
      <w:pPr>
        <w:pStyle w:val="BodyText"/>
        <w:spacing w:before="200"/>
        <w:rPr>
          <w:b/>
          <w:sz w:val="24"/>
          <w:lang w:val="en-GB"/>
        </w:rPr>
      </w:pPr>
    </w:p>
    <w:p w:rsidR="00AD546B" w:rsidRDefault="00AD546B" w:rsidP="00A01223">
      <w:pPr>
        <w:pStyle w:val="BodyText"/>
        <w:rPr>
          <w:sz w:val="24"/>
          <w:lang w:val="en-GB"/>
        </w:rPr>
      </w:pPr>
    </w:p>
    <w:p w:rsidR="00E238C2" w:rsidRPr="008526C9" w:rsidRDefault="00E238C2" w:rsidP="00A01223">
      <w:pPr>
        <w:pStyle w:val="BodyText"/>
        <w:rPr>
          <w:b/>
          <w:bCs/>
          <w:sz w:val="24"/>
          <w:lang w:val="en-GB"/>
        </w:rPr>
      </w:pPr>
      <w:bookmarkStart w:id="0" w:name="_GoBack"/>
      <w:bookmarkEnd w:id="0"/>
      <w:r w:rsidRPr="008526C9">
        <w:rPr>
          <w:sz w:val="24"/>
          <w:lang w:val="en-GB"/>
        </w:rPr>
        <w:t>END.</w:t>
      </w:r>
    </w:p>
    <w:sectPr w:rsidR="00E238C2" w:rsidRPr="008526C9" w:rsidSect="00430D20">
      <w:footerReference w:type="even" r:id="rId14"/>
      <w:footerReference w:type="default" r:id="rId15"/>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A4" w:rsidRDefault="005E0BA4">
      <w:r>
        <w:separator/>
      </w:r>
    </w:p>
  </w:endnote>
  <w:endnote w:type="continuationSeparator" w:id="0">
    <w:p w:rsidR="005E0BA4" w:rsidRDefault="005E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6B" w:rsidRPr="00F27B88" w:rsidRDefault="00AD546B" w:rsidP="00F27B88">
    <w:pPr>
      <w:pStyle w:val="Footer"/>
      <w:rPr>
        <w:sz w:val="16"/>
        <w:szCs w:val="16"/>
      </w:rPr>
    </w:pPr>
    <w:r w:rsidRPr="00F27B88">
      <w:rPr>
        <w:sz w:val="16"/>
        <w:szCs w:val="16"/>
      </w:rPr>
      <w:t>Parliamentary Question 1634 (22 November 2019)</w:t>
    </w:r>
  </w:p>
  <w:p w:rsidR="00AD546B" w:rsidRPr="00F27B88" w:rsidRDefault="00AD546B" w:rsidP="00F27B88">
    <w:pPr>
      <w:pStyle w:val="Footer"/>
      <w:jc w:val="right"/>
      <w:rPr>
        <w:sz w:val="16"/>
        <w:szCs w:val="16"/>
      </w:rPr>
    </w:pPr>
    <w:r w:rsidRPr="00F27B88">
      <w:rPr>
        <w:sz w:val="16"/>
        <w:szCs w:val="16"/>
      </w:rPr>
      <w:t xml:space="preserve">Page </w:t>
    </w:r>
    <w:sdt>
      <w:sdtPr>
        <w:rPr>
          <w:sz w:val="16"/>
          <w:szCs w:val="16"/>
        </w:rPr>
        <w:id w:val="-475615777"/>
        <w:docPartObj>
          <w:docPartGallery w:val="Page Numbers (Bottom of Page)"/>
          <w:docPartUnique/>
        </w:docPartObj>
      </w:sdtPr>
      <w:sdtContent>
        <w:r w:rsidRPr="00F27B88">
          <w:rPr>
            <w:sz w:val="16"/>
            <w:szCs w:val="16"/>
          </w:rPr>
          <w:fldChar w:fldCharType="begin"/>
        </w:r>
        <w:r w:rsidRPr="00F27B88">
          <w:rPr>
            <w:sz w:val="16"/>
            <w:szCs w:val="16"/>
          </w:rPr>
          <w:instrText xml:space="preserve"> PAGE   \* MERGEFORMAT </w:instrText>
        </w:r>
        <w:r w:rsidRPr="00F27B88">
          <w:rPr>
            <w:sz w:val="16"/>
            <w:szCs w:val="16"/>
          </w:rPr>
          <w:fldChar w:fldCharType="separate"/>
        </w:r>
        <w:r>
          <w:rPr>
            <w:noProof/>
            <w:sz w:val="16"/>
            <w:szCs w:val="16"/>
          </w:rPr>
          <w:t>6</w:t>
        </w:r>
        <w:r w:rsidRPr="00F27B88">
          <w:rPr>
            <w:sz w:val="16"/>
            <w:szCs w:val="16"/>
          </w:rPr>
          <w:fldChar w:fldCharType="end"/>
        </w:r>
        <w:r w:rsidRPr="00F27B88">
          <w:rPr>
            <w:sz w:val="16"/>
            <w:szCs w:val="16"/>
          </w:rPr>
          <w:t xml:space="preserve"> of </w:t>
        </w:r>
        <w:r>
          <w:rPr>
            <w:sz w:val="16"/>
            <w:szCs w:val="16"/>
          </w:rPr>
          <w:t>7</w:t>
        </w:r>
        <w:r w:rsidRPr="00F27B88">
          <w:rPr>
            <w:sz w:val="16"/>
            <w:szCs w:val="16"/>
          </w:rPr>
          <w:t xml:space="preserve"> pages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6B" w:rsidRPr="008725E9" w:rsidRDefault="00AD546B" w:rsidP="006F4670">
    <w:pPr>
      <w:pStyle w:val="Footer"/>
      <w:rPr>
        <w:sz w:val="16"/>
        <w:szCs w:val="16"/>
      </w:rPr>
    </w:pPr>
    <w:r w:rsidRPr="008725E9">
      <w:rPr>
        <w:sz w:val="16"/>
        <w:szCs w:val="16"/>
      </w:rPr>
      <w:t xml:space="preserve">Parliamentary Question </w:t>
    </w:r>
    <w:r>
      <w:rPr>
        <w:sz w:val="16"/>
        <w:szCs w:val="16"/>
      </w:rPr>
      <w:t>1634</w:t>
    </w:r>
    <w:r w:rsidRPr="008725E9">
      <w:rPr>
        <w:sz w:val="16"/>
        <w:szCs w:val="16"/>
      </w:rPr>
      <w:t xml:space="preserve"> (</w:t>
    </w:r>
    <w:r>
      <w:rPr>
        <w:sz w:val="16"/>
        <w:szCs w:val="16"/>
      </w:rPr>
      <w:t>22</w:t>
    </w:r>
    <w:r w:rsidRPr="008725E9">
      <w:rPr>
        <w:sz w:val="16"/>
        <w:szCs w:val="16"/>
      </w:rPr>
      <w:t xml:space="preserve"> November 2019)</w:t>
    </w:r>
  </w:p>
  <w:p w:rsidR="00AD546B" w:rsidRPr="008725E9" w:rsidRDefault="00AD546B">
    <w:pPr>
      <w:pStyle w:val="Footer"/>
      <w:jc w:val="right"/>
      <w:rPr>
        <w:sz w:val="16"/>
        <w:szCs w:val="16"/>
      </w:rPr>
    </w:pPr>
    <w:r w:rsidRPr="008725E9">
      <w:rPr>
        <w:sz w:val="16"/>
        <w:szCs w:val="16"/>
      </w:rPr>
      <w:t xml:space="preserve">Page </w:t>
    </w:r>
    <w:sdt>
      <w:sdtPr>
        <w:rPr>
          <w:sz w:val="16"/>
          <w:szCs w:val="16"/>
        </w:rPr>
        <w:id w:val="-1433226474"/>
        <w:docPartObj>
          <w:docPartGallery w:val="Page Numbers (Bottom of Page)"/>
          <w:docPartUnique/>
        </w:docPartObj>
      </w:sdtPr>
      <w:sdtContent>
        <w:r w:rsidRPr="008725E9">
          <w:rPr>
            <w:sz w:val="16"/>
            <w:szCs w:val="16"/>
          </w:rPr>
          <w:fldChar w:fldCharType="begin"/>
        </w:r>
        <w:r w:rsidRPr="008725E9">
          <w:rPr>
            <w:sz w:val="16"/>
            <w:szCs w:val="16"/>
          </w:rPr>
          <w:instrText xml:space="preserve"> PAGE   \* MERGEFORMAT </w:instrText>
        </w:r>
        <w:r w:rsidRPr="008725E9">
          <w:rPr>
            <w:sz w:val="16"/>
            <w:szCs w:val="16"/>
          </w:rPr>
          <w:fldChar w:fldCharType="separate"/>
        </w:r>
        <w:r>
          <w:rPr>
            <w:noProof/>
            <w:sz w:val="16"/>
            <w:szCs w:val="16"/>
          </w:rPr>
          <w:t>7</w:t>
        </w:r>
        <w:r w:rsidRPr="008725E9">
          <w:rPr>
            <w:noProof/>
            <w:sz w:val="16"/>
            <w:szCs w:val="16"/>
          </w:rPr>
          <w:fldChar w:fldCharType="end"/>
        </w:r>
        <w:r w:rsidRPr="008725E9">
          <w:rPr>
            <w:sz w:val="16"/>
            <w:szCs w:val="16"/>
          </w:rPr>
          <w:t xml:space="preserve"> of </w:t>
        </w:r>
        <w:r>
          <w:rPr>
            <w:sz w:val="16"/>
            <w:szCs w:val="16"/>
          </w:rPr>
          <w:t>7</w:t>
        </w:r>
        <w:r w:rsidRPr="008725E9">
          <w:rPr>
            <w:sz w:val="16"/>
            <w:szCs w:val="16"/>
          </w:rPr>
          <w:t xml:space="preserve"> page</w:t>
        </w:r>
      </w:sdtContent>
    </w:sdt>
  </w:p>
  <w:p w:rsidR="00AD546B" w:rsidRDefault="00AD54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F38AC">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A4" w:rsidRDefault="005E0BA4">
      <w:r>
        <w:separator/>
      </w:r>
    </w:p>
  </w:footnote>
  <w:footnote w:type="continuationSeparator" w:id="0">
    <w:p w:rsidR="005E0BA4" w:rsidRDefault="005E0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6B" w:rsidRDefault="00AD546B">
    <w:pPr>
      <w:pStyle w:val="Header"/>
    </w:pPr>
    <w:r>
      <w:tab/>
    </w:r>
    <w:r>
      <w:tab/>
    </w:r>
  </w:p>
  <w:p w:rsidR="00AD546B" w:rsidRDefault="00AD54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5E53"/>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864CA"/>
    <w:rsid w:val="00186E43"/>
    <w:rsid w:val="0018733B"/>
    <w:rsid w:val="001934EC"/>
    <w:rsid w:val="001976A7"/>
    <w:rsid w:val="001A0439"/>
    <w:rsid w:val="001A5759"/>
    <w:rsid w:val="001A5BBB"/>
    <w:rsid w:val="001A6132"/>
    <w:rsid w:val="001B62F5"/>
    <w:rsid w:val="001B67CA"/>
    <w:rsid w:val="001B7AA5"/>
    <w:rsid w:val="001C0252"/>
    <w:rsid w:val="001C2FB1"/>
    <w:rsid w:val="001C433A"/>
    <w:rsid w:val="001C4B60"/>
    <w:rsid w:val="001C6528"/>
    <w:rsid w:val="001D2959"/>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2C6C"/>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090F"/>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0BA4"/>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B1A27"/>
    <w:rsid w:val="006B544B"/>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8751E"/>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C4446"/>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46B"/>
    <w:rsid w:val="00AD5F10"/>
    <w:rsid w:val="00AD6B02"/>
    <w:rsid w:val="00AE3C22"/>
    <w:rsid w:val="00AF43A2"/>
    <w:rsid w:val="00AF6A49"/>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9D8"/>
    <w:rsid w:val="00BF7ACB"/>
    <w:rsid w:val="00BF7F80"/>
    <w:rsid w:val="00C0227C"/>
    <w:rsid w:val="00C063AA"/>
    <w:rsid w:val="00C22F6B"/>
    <w:rsid w:val="00C26148"/>
    <w:rsid w:val="00C31DA3"/>
    <w:rsid w:val="00C3756F"/>
    <w:rsid w:val="00C41194"/>
    <w:rsid w:val="00C444DD"/>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0EC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18EE"/>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CAC"/>
    <w:rsid w:val="00E64D2A"/>
    <w:rsid w:val="00E65552"/>
    <w:rsid w:val="00E70BD1"/>
    <w:rsid w:val="00E82ED2"/>
    <w:rsid w:val="00E85240"/>
    <w:rsid w:val="00EA05F0"/>
    <w:rsid w:val="00EA40E2"/>
    <w:rsid w:val="00EA464E"/>
    <w:rsid w:val="00EA7CB0"/>
    <w:rsid w:val="00EB211A"/>
    <w:rsid w:val="00EB241F"/>
    <w:rsid w:val="00EB5ECD"/>
    <w:rsid w:val="00EB704C"/>
    <w:rsid w:val="00EC59CB"/>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11B8"/>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B169B"/>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D546B"/>
    <w:rPr>
      <w:rFonts w:ascii="Arial" w:hAnsi="Arial" w:cs="Arial"/>
      <w:sz w:val="22"/>
      <w:szCs w:val="24"/>
      <w:lang w:val="en-GB" w:eastAsia="en-US"/>
    </w:rPr>
  </w:style>
  <w:style w:type="paragraph" w:styleId="Caption">
    <w:name w:val="caption"/>
    <w:basedOn w:val="Normal"/>
    <w:next w:val="Normal"/>
    <w:uiPriority w:val="35"/>
    <w:unhideWhenUsed/>
    <w:qFormat/>
    <w:rsid w:val="00AD546B"/>
    <w:pPr>
      <w:spacing w:after="200" w:line="360" w:lineRule="auto"/>
      <w:jc w:val="center"/>
    </w:pPr>
    <w:rPr>
      <w:rFonts w:eastAsiaTheme="minorHAnsi" w:cstheme="minorBidi"/>
      <w:iCs/>
      <w:szCs w:val="18"/>
      <w:lang w:val="en-ZA"/>
    </w:rPr>
  </w:style>
  <w:style w:type="table" w:customStyle="1" w:styleId="GridTable5Dark-Accent31">
    <w:name w:val="Grid Table 5 Dark - Accent 31"/>
    <w:basedOn w:val="TableNormal"/>
    <w:uiPriority w:val="50"/>
    <w:rsid w:val="00AD546B"/>
    <w:pPr>
      <w:ind w:left="170" w:hanging="170"/>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2019-11-07T11:56:00Z</cp:lastPrinted>
  <dcterms:created xsi:type="dcterms:W3CDTF">2019-11-22T19:30:00Z</dcterms:created>
  <dcterms:modified xsi:type="dcterms:W3CDTF">2019-11-27T20:30:00Z</dcterms:modified>
</cp:coreProperties>
</file>