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B55CF">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B61F70">
        <w:rPr>
          <w:rFonts w:ascii="Arial" w:hAnsi="Arial" w:cs="Arial"/>
          <w:b/>
          <w:bCs/>
        </w:rPr>
        <w:t>1629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B61F70" w:rsidRPr="00711767" w:rsidRDefault="00B61F70" w:rsidP="00711767">
      <w:pPr>
        <w:spacing w:line="360" w:lineRule="auto"/>
        <w:ind w:left="851" w:hanging="851"/>
        <w:jc w:val="both"/>
        <w:outlineLvl w:val="0"/>
        <w:rPr>
          <w:rFonts w:ascii="Arial" w:hAnsi="Arial" w:cs="Arial"/>
          <w:b/>
          <w:lang w:val="en-ZA"/>
        </w:rPr>
      </w:pPr>
      <w:r w:rsidRPr="00711767">
        <w:rPr>
          <w:rFonts w:ascii="Arial" w:hAnsi="Arial" w:cs="Arial"/>
          <w:b/>
          <w:lang w:val="en-ZA"/>
        </w:rPr>
        <w:t>Mr D America (DA) to ask the Minister of Higher Education and Training:</w:t>
      </w:r>
    </w:p>
    <w:p w:rsidR="004929F6" w:rsidRPr="00711767" w:rsidRDefault="00B61F70" w:rsidP="001122DF">
      <w:pPr>
        <w:numPr>
          <w:ilvl w:val="0"/>
          <w:numId w:val="1"/>
        </w:numPr>
        <w:spacing w:line="360" w:lineRule="auto"/>
        <w:ind w:left="540" w:hanging="540"/>
        <w:jc w:val="both"/>
        <w:rPr>
          <w:rFonts w:ascii="Arial" w:hAnsi="Arial" w:cs="Arial"/>
          <w:lang w:val="en-ZA"/>
        </w:rPr>
      </w:pPr>
      <w:r w:rsidRPr="00711767">
        <w:rPr>
          <w:rFonts w:ascii="Arial" w:hAnsi="Arial" w:cs="Arial"/>
          <w:lang w:val="en-ZA"/>
        </w:rPr>
        <w:t>Which (i) universities and (ii) technical and vocational education and training colleges are considered by his department to be in financial distress and (b) what plans has his department put in place to alleviate the distress in each case?</w:t>
      </w:r>
      <w:r w:rsidRPr="00711767">
        <w:rPr>
          <w:rFonts w:ascii="Arial" w:hAnsi="Arial" w:cs="Arial"/>
          <w:lang w:val="en-ZA"/>
        </w:rPr>
        <w:tab/>
      </w:r>
    </w:p>
    <w:p w:rsidR="00B61F70" w:rsidRPr="00711767" w:rsidRDefault="00B61F70" w:rsidP="00711767">
      <w:pPr>
        <w:spacing w:line="360" w:lineRule="auto"/>
        <w:ind w:left="7200" w:firstLine="720"/>
        <w:jc w:val="both"/>
        <w:rPr>
          <w:rFonts w:ascii="Arial" w:hAnsi="Arial" w:cs="Arial"/>
          <w:b/>
          <w:lang w:val="en-ZA"/>
        </w:rPr>
      </w:pPr>
      <w:r w:rsidRPr="00711767">
        <w:rPr>
          <w:rFonts w:ascii="Arial" w:hAnsi="Arial" w:cs="Arial"/>
          <w:b/>
          <w:noProof/>
          <w:lang w:val="af-ZA"/>
        </w:rPr>
        <w:t>NW1835E</w:t>
      </w:r>
    </w:p>
    <w:p w:rsidR="00F63256" w:rsidRPr="00711767" w:rsidRDefault="00F63256" w:rsidP="00711767">
      <w:pPr>
        <w:spacing w:line="360" w:lineRule="auto"/>
        <w:ind w:left="7291" w:firstLine="629"/>
        <w:jc w:val="both"/>
        <w:outlineLvl w:val="0"/>
        <w:rPr>
          <w:rFonts w:ascii="Arial" w:hAnsi="Arial" w:cs="Arial"/>
          <w:b/>
          <w:lang w:val="en-ZA"/>
        </w:rPr>
      </w:pPr>
    </w:p>
    <w:p w:rsidR="00A2288C" w:rsidRPr="00711767" w:rsidRDefault="00A2288C" w:rsidP="00711767">
      <w:pPr>
        <w:spacing w:line="360" w:lineRule="auto"/>
        <w:ind w:left="7920"/>
        <w:jc w:val="both"/>
        <w:rPr>
          <w:rFonts w:ascii="Arial" w:hAnsi="Arial" w:cs="Arial"/>
          <w:b/>
          <w:lang w:val="en-ZA"/>
        </w:rPr>
      </w:pPr>
    </w:p>
    <w:p w:rsidR="000C558D" w:rsidRPr="00711767" w:rsidRDefault="000C558D" w:rsidP="00711767">
      <w:pPr>
        <w:tabs>
          <w:tab w:val="left" w:pos="432"/>
          <w:tab w:val="left" w:pos="720"/>
        </w:tabs>
        <w:spacing w:line="360" w:lineRule="auto"/>
        <w:ind w:left="1440" w:hanging="720"/>
        <w:jc w:val="both"/>
        <w:rPr>
          <w:rFonts w:ascii="Arial" w:eastAsia="Times New Roman" w:hAnsi="Arial" w:cs="Arial"/>
          <w:b/>
        </w:rPr>
      </w:pPr>
    </w:p>
    <w:p w:rsidR="00053765" w:rsidRPr="00711767" w:rsidRDefault="00053765" w:rsidP="00711767">
      <w:pPr>
        <w:spacing w:line="360" w:lineRule="auto"/>
        <w:jc w:val="both"/>
        <w:outlineLvl w:val="0"/>
        <w:rPr>
          <w:rFonts w:ascii="Arial" w:hAnsi="Arial" w:cs="Arial"/>
          <w:b/>
          <w:lang w:val="en-ZA"/>
        </w:rPr>
      </w:pPr>
    </w:p>
    <w:p w:rsidR="00C61E5B" w:rsidRPr="00711767" w:rsidRDefault="00C61E5B" w:rsidP="00711767">
      <w:pPr>
        <w:spacing w:line="360" w:lineRule="auto"/>
        <w:jc w:val="both"/>
        <w:outlineLvl w:val="0"/>
        <w:rPr>
          <w:rFonts w:ascii="Arial" w:hAnsi="Arial" w:cs="Arial"/>
          <w:b/>
        </w:rPr>
      </w:pPr>
    </w:p>
    <w:p w:rsidR="004929F6" w:rsidRPr="00711767" w:rsidRDefault="004929F6" w:rsidP="00711767">
      <w:pPr>
        <w:spacing w:line="360" w:lineRule="auto"/>
        <w:jc w:val="both"/>
        <w:outlineLvl w:val="0"/>
        <w:rPr>
          <w:rFonts w:ascii="Arial" w:hAnsi="Arial" w:cs="Arial"/>
          <w:b/>
        </w:rPr>
      </w:pPr>
    </w:p>
    <w:p w:rsidR="004929F6" w:rsidRPr="00711767" w:rsidRDefault="004929F6" w:rsidP="00711767">
      <w:pPr>
        <w:spacing w:line="360" w:lineRule="auto"/>
        <w:jc w:val="both"/>
        <w:outlineLvl w:val="0"/>
        <w:rPr>
          <w:rFonts w:ascii="Arial" w:hAnsi="Arial" w:cs="Arial"/>
          <w:b/>
        </w:rPr>
      </w:pPr>
    </w:p>
    <w:p w:rsidR="004B55CF" w:rsidRDefault="004B55CF" w:rsidP="00711767">
      <w:pPr>
        <w:spacing w:line="360" w:lineRule="auto"/>
        <w:jc w:val="both"/>
        <w:outlineLvl w:val="0"/>
        <w:rPr>
          <w:rFonts w:ascii="Arial" w:hAnsi="Arial" w:cs="Arial"/>
          <w:b/>
        </w:rPr>
      </w:pPr>
    </w:p>
    <w:p w:rsidR="004B55CF" w:rsidRDefault="004B55CF" w:rsidP="00711767">
      <w:pPr>
        <w:spacing w:line="360" w:lineRule="auto"/>
        <w:jc w:val="both"/>
        <w:outlineLvl w:val="0"/>
        <w:rPr>
          <w:rFonts w:ascii="Arial" w:hAnsi="Arial" w:cs="Arial"/>
          <w:b/>
        </w:rPr>
      </w:pPr>
    </w:p>
    <w:p w:rsidR="004B55CF" w:rsidRDefault="004B55CF" w:rsidP="00711767">
      <w:pPr>
        <w:spacing w:line="360" w:lineRule="auto"/>
        <w:jc w:val="both"/>
        <w:outlineLvl w:val="0"/>
        <w:rPr>
          <w:rFonts w:ascii="Arial" w:hAnsi="Arial" w:cs="Arial"/>
          <w:b/>
        </w:rPr>
      </w:pPr>
    </w:p>
    <w:p w:rsidR="004B55CF" w:rsidRDefault="004B55CF" w:rsidP="00711767">
      <w:pPr>
        <w:spacing w:line="360" w:lineRule="auto"/>
        <w:jc w:val="both"/>
        <w:outlineLvl w:val="0"/>
        <w:rPr>
          <w:rFonts w:ascii="Arial" w:hAnsi="Arial" w:cs="Arial"/>
          <w:b/>
        </w:rPr>
      </w:pPr>
    </w:p>
    <w:p w:rsidR="004B55CF" w:rsidRDefault="004B55CF" w:rsidP="00711767">
      <w:pPr>
        <w:spacing w:line="360" w:lineRule="auto"/>
        <w:jc w:val="both"/>
        <w:outlineLvl w:val="0"/>
        <w:rPr>
          <w:rFonts w:ascii="Arial" w:hAnsi="Arial" w:cs="Arial"/>
          <w:b/>
        </w:rPr>
      </w:pPr>
    </w:p>
    <w:p w:rsidR="00711767" w:rsidRPr="00711767" w:rsidRDefault="00711767" w:rsidP="00711767">
      <w:pPr>
        <w:spacing w:line="360" w:lineRule="auto"/>
        <w:jc w:val="both"/>
        <w:outlineLvl w:val="0"/>
        <w:rPr>
          <w:rFonts w:ascii="Arial" w:hAnsi="Arial" w:cs="Arial"/>
          <w:b/>
        </w:rPr>
      </w:pPr>
      <w:r w:rsidRPr="00711767">
        <w:rPr>
          <w:rFonts w:ascii="Arial" w:hAnsi="Arial" w:cs="Arial"/>
          <w:b/>
        </w:rPr>
        <w:lastRenderedPageBreak/>
        <w:t>REPLY:</w:t>
      </w:r>
    </w:p>
    <w:p w:rsidR="00711767" w:rsidRPr="00711767" w:rsidRDefault="00711767" w:rsidP="00A450BC">
      <w:pPr>
        <w:numPr>
          <w:ilvl w:val="0"/>
          <w:numId w:val="2"/>
        </w:numPr>
        <w:tabs>
          <w:tab w:val="left" w:pos="284"/>
        </w:tabs>
        <w:spacing w:line="360" w:lineRule="auto"/>
        <w:ind w:hanging="720"/>
        <w:jc w:val="both"/>
        <w:outlineLvl w:val="0"/>
        <w:rPr>
          <w:rFonts w:ascii="Arial" w:hAnsi="Arial" w:cs="Arial"/>
          <w:b/>
        </w:rPr>
      </w:pPr>
      <w:r>
        <w:rPr>
          <w:rFonts w:ascii="Arial" w:hAnsi="Arial" w:cs="Arial"/>
        </w:rPr>
        <w:t>(i)</w:t>
      </w:r>
      <w:r>
        <w:rPr>
          <w:rFonts w:ascii="Arial" w:hAnsi="Arial" w:cs="Arial"/>
        </w:rPr>
        <w:tab/>
      </w:r>
      <w:r w:rsidRPr="00711767">
        <w:rPr>
          <w:rFonts w:ascii="Arial" w:hAnsi="Arial" w:cs="Arial"/>
        </w:rPr>
        <w:t xml:space="preserve">The Department has </w:t>
      </w:r>
      <w:r w:rsidR="00B47CF4" w:rsidRPr="00711767">
        <w:rPr>
          <w:rFonts w:ascii="Arial" w:hAnsi="Arial" w:cs="Arial"/>
        </w:rPr>
        <w:t>assessed</w:t>
      </w:r>
      <w:r w:rsidRPr="00711767">
        <w:rPr>
          <w:rFonts w:ascii="Arial" w:hAnsi="Arial" w:cs="Arial"/>
        </w:rPr>
        <w:t xml:space="preserve"> all universities’ ability to continue as going concerns and has no reason to believe that any university will not be a going concern in the years ahead.</w:t>
      </w:r>
      <w:r w:rsidRPr="00711767">
        <w:rPr>
          <w:rFonts w:ascii="Arial" w:hAnsi="Arial" w:cs="Arial"/>
          <w:shd w:val="clear" w:color="auto" w:fill="FFFFFF"/>
        </w:rPr>
        <w:t xml:space="preserve"> Nevertheless</w:t>
      </w:r>
      <w:r w:rsidR="00666E94">
        <w:rPr>
          <w:rFonts w:ascii="Arial" w:hAnsi="Arial" w:cs="Arial"/>
          <w:shd w:val="clear" w:color="auto" w:fill="FFFFFF"/>
        </w:rPr>
        <w:t>,</w:t>
      </w:r>
      <w:r w:rsidRPr="00711767">
        <w:rPr>
          <w:rFonts w:ascii="Arial" w:hAnsi="Arial" w:cs="Arial"/>
          <w:shd w:val="clear" w:color="auto" w:fill="FFFFFF"/>
        </w:rPr>
        <w:t xml:space="preserve"> some universities are experiencing some financial distress. </w:t>
      </w:r>
      <w:r w:rsidRPr="00711767">
        <w:rPr>
          <w:rFonts w:ascii="Arial" w:hAnsi="Arial" w:cs="Arial"/>
        </w:rPr>
        <w:t>One of the key financial indicators to determine if an institution is suffering financial distress is the total surplus/deficits generated by an ins</w:t>
      </w:r>
      <w:r w:rsidR="00666E94">
        <w:rPr>
          <w:rFonts w:ascii="Arial" w:hAnsi="Arial" w:cs="Arial"/>
        </w:rPr>
        <w:t>titution on their unrestricted C</w:t>
      </w:r>
      <w:r w:rsidRPr="00711767">
        <w:rPr>
          <w:rFonts w:ascii="Arial" w:hAnsi="Arial" w:cs="Arial"/>
        </w:rPr>
        <w:t xml:space="preserve">ouncil controlled funds over the previous </w:t>
      </w:r>
      <w:r w:rsidR="00B47CF4" w:rsidRPr="00711767">
        <w:rPr>
          <w:rFonts w:ascii="Arial" w:hAnsi="Arial" w:cs="Arial"/>
        </w:rPr>
        <w:t>3-year</w:t>
      </w:r>
      <w:r w:rsidRPr="00711767">
        <w:rPr>
          <w:rFonts w:ascii="Arial" w:hAnsi="Arial" w:cs="Arial"/>
        </w:rPr>
        <w:t xml:space="preserve"> period. The table below shows the 13 universities that have been experiencing some financial distress and indicates the surplus/ deficit for the 2013, 2014 and 2015 financial years. </w:t>
      </w:r>
    </w:p>
    <w:p w:rsidR="00711767" w:rsidRPr="00711767" w:rsidRDefault="00E50312" w:rsidP="00711767">
      <w:pPr>
        <w:spacing w:line="360" w:lineRule="auto"/>
        <w:ind w:left="90" w:hanging="90"/>
        <w:jc w:val="center"/>
        <w:outlineLvl w:val="0"/>
        <w:rPr>
          <w:rFonts w:ascii="Arial" w:hAnsi="Arial" w:cs="Arial"/>
        </w:rPr>
      </w:pPr>
      <w:r>
        <w:rPr>
          <w:rFonts w:ascii="Arial" w:hAnsi="Arial" w:cs="Arial"/>
          <w:noProof/>
          <w:lang w:val="en-ZA" w:eastAsia="en-ZA"/>
        </w:rPr>
        <w:drawing>
          <wp:inline distT="0" distB="0" distL="0" distR="0">
            <wp:extent cx="5972175" cy="3724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72175" cy="3724275"/>
                    </a:xfrm>
                    <a:prstGeom prst="rect">
                      <a:avLst/>
                    </a:prstGeom>
                    <a:noFill/>
                    <a:ln w="9525">
                      <a:noFill/>
                      <a:miter lim="800000"/>
                      <a:headEnd/>
                      <a:tailEnd/>
                    </a:ln>
                  </pic:spPr>
                </pic:pic>
              </a:graphicData>
            </a:graphic>
          </wp:inline>
        </w:drawing>
      </w:r>
    </w:p>
    <w:p w:rsidR="00711767" w:rsidRPr="00666E94" w:rsidRDefault="00B47CF4" w:rsidP="00B47CF4">
      <w:pPr>
        <w:numPr>
          <w:ilvl w:val="0"/>
          <w:numId w:val="2"/>
        </w:numPr>
        <w:tabs>
          <w:tab w:val="left" w:pos="284"/>
        </w:tabs>
        <w:spacing w:line="360" w:lineRule="auto"/>
        <w:ind w:hanging="720"/>
        <w:jc w:val="both"/>
        <w:rPr>
          <w:rFonts w:ascii="Arial" w:hAnsi="Arial" w:cs="Arial"/>
        </w:rPr>
      </w:pPr>
      <w:r>
        <w:rPr>
          <w:rFonts w:ascii="Arial" w:hAnsi="Arial" w:cs="Arial"/>
          <w:color w:val="333333"/>
          <w:shd w:val="clear" w:color="auto" w:fill="FFFFFF"/>
        </w:rPr>
        <w:t xml:space="preserve">(i) </w:t>
      </w:r>
      <w:r>
        <w:rPr>
          <w:rFonts w:ascii="Arial" w:hAnsi="Arial" w:cs="Arial"/>
          <w:color w:val="333333"/>
          <w:shd w:val="clear" w:color="auto" w:fill="FFFFFF"/>
        </w:rPr>
        <w:tab/>
      </w:r>
      <w:r w:rsidR="00711767" w:rsidRPr="00711767">
        <w:rPr>
          <w:rFonts w:ascii="Arial" w:hAnsi="Arial" w:cs="Arial"/>
          <w:color w:val="333333"/>
          <w:shd w:val="clear" w:color="auto" w:fill="FFFFFF"/>
        </w:rPr>
        <w:t>The Department provides financial support to each institution through the funding framework for universities. This is made up of a block grant subsidy and a range of earmarked grants, including National Student Financial Aid Scheme (NSFAS) funding. Block grant funds are Council controlled unrestricted funds mainly used to fund teaching and learning, and operational activities. Earmarked funds are utilised to steer developments in the system, for example, access to higher education to previously excluded groups through NSFAS, and infrastructure renewal and development. It is the fiduciary responsibility of each university to ensure that they manage their finances effectively and efficiently. Institutions receive funding from different sources, including the Department and must work within their budgets to ensure their long-term sustainability. A m</w:t>
      </w:r>
      <w:r>
        <w:rPr>
          <w:rFonts w:ascii="Arial" w:hAnsi="Arial" w:cs="Arial"/>
          <w:color w:val="333333"/>
          <w:shd w:val="clear" w:color="auto" w:fill="FFFFFF"/>
        </w:rPr>
        <w:t xml:space="preserve">ajor factor that is causing financial stress is </w:t>
      </w:r>
      <w:r w:rsidR="00711767" w:rsidRPr="00711767">
        <w:rPr>
          <w:rFonts w:ascii="Arial" w:hAnsi="Arial" w:cs="Arial"/>
          <w:color w:val="333333"/>
          <w:shd w:val="clear" w:color="auto" w:fill="FFFFFF"/>
        </w:rPr>
        <w:t>increasing student debt. This is being alleviated through substantial additional funds to support studen</w:t>
      </w:r>
      <w:r>
        <w:rPr>
          <w:rFonts w:ascii="Arial" w:hAnsi="Arial" w:cs="Arial"/>
          <w:color w:val="333333"/>
          <w:shd w:val="clear" w:color="auto" w:fill="FFFFFF"/>
        </w:rPr>
        <w:t xml:space="preserve">ts to pay their fees though </w:t>
      </w:r>
      <w:r w:rsidR="00711767" w:rsidRPr="00711767">
        <w:rPr>
          <w:rFonts w:ascii="Arial" w:hAnsi="Arial" w:cs="Arial"/>
          <w:color w:val="333333"/>
          <w:shd w:val="clear" w:color="auto" w:fill="FFFFFF"/>
        </w:rPr>
        <w:t xml:space="preserve">NSFAS. </w:t>
      </w:r>
    </w:p>
    <w:p w:rsidR="000A57B9" w:rsidRPr="00711767" w:rsidRDefault="00711767" w:rsidP="00B47CF4">
      <w:pPr>
        <w:tabs>
          <w:tab w:val="left" w:pos="284"/>
        </w:tabs>
        <w:spacing w:line="360" w:lineRule="auto"/>
        <w:ind w:left="720" w:hanging="720"/>
        <w:jc w:val="both"/>
        <w:rPr>
          <w:rFonts w:ascii="Arial" w:hAnsi="Arial" w:cs="Arial"/>
        </w:rPr>
      </w:pPr>
      <w:r>
        <w:rPr>
          <w:rFonts w:ascii="Arial" w:hAnsi="Arial" w:cs="Arial"/>
        </w:rPr>
        <w:t>(a)(ii)</w:t>
      </w:r>
      <w:r>
        <w:rPr>
          <w:rFonts w:ascii="Arial" w:hAnsi="Arial" w:cs="Arial"/>
        </w:rPr>
        <w:tab/>
        <w:t>In terms of the N</w:t>
      </w:r>
      <w:r w:rsidR="009B2770" w:rsidRPr="00711767">
        <w:rPr>
          <w:rFonts w:ascii="Arial" w:hAnsi="Arial" w:cs="Arial"/>
        </w:rPr>
        <w:t xml:space="preserve">ational Norms and Standards for Funding TVET Colleges (NNSF-TVET </w:t>
      </w:r>
      <w:r w:rsidR="000C6949" w:rsidRPr="00711767">
        <w:rPr>
          <w:rFonts w:ascii="Arial" w:hAnsi="Arial" w:cs="Arial"/>
        </w:rPr>
        <w:t xml:space="preserve">Colleges), the Department </w:t>
      </w:r>
      <w:r w:rsidR="00A450BC">
        <w:rPr>
          <w:rFonts w:ascii="Arial" w:hAnsi="Arial" w:cs="Arial"/>
        </w:rPr>
        <w:t xml:space="preserve">is required to fund </w:t>
      </w:r>
      <w:r w:rsidR="00B47CF4" w:rsidRPr="00711767">
        <w:rPr>
          <w:rFonts w:ascii="Arial" w:hAnsi="Arial" w:cs="Arial"/>
        </w:rPr>
        <w:t>Ministerial approved programmes</w:t>
      </w:r>
      <w:r w:rsidR="00B47CF4">
        <w:rPr>
          <w:rFonts w:ascii="Arial" w:hAnsi="Arial" w:cs="Arial"/>
        </w:rPr>
        <w:t xml:space="preserve"> </w:t>
      </w:r>
      <w:r w:rsidR="000C6949" w:rsidRPr="00711767">
        <w:rPr>
          <w:rFonts w:ascii="Arial" w:hAnsi="Arial" w:cs="Arial"/>
        </w:rPr>
        <w:t xml:space="preserve">at </w:t>
      </w:r>
      <w:r w:rsidR="00A450BC">
        <w:rPr>
          <w:rFonts w:ascii="Arial" w:hAnsi="Arial" w:cs="Arial"/>
        </w:rPr>
        <w:t>80% of the full programme c</w:t>
      </w:r>
      <w:r w:rsidR="009B2770" w:rsidRPr="00711767">
        <w:rPr>
          <w:rFonts w:ascii="Arial" w:hAnsi="Arial" w:cs="Arial"/>
        </w:rPr>
        <w:t>osts. However</w:t>
      </w:r>
      <w:r w:rsidR="000C6949" w:rsidRPr="00711767">
        <w:rPr>
          <w:rFonts w:ascii="Arial" w:hAnsi="Arial" w:cs="Arial"/>
        </w:rPr>
        <w:t>, due to financial constraints and over-en</w:t>
      </w:r>
      <w:r w:rsidR="00814A91" w:rsidRPr="00711767">
        <w:rPr>
          <w:rFonts w:ascii="Arial" w:hAnsi="Arial" w:cs="Arial"/>
        </w:rPr>
        <w:t xml:space="preserve">rolment in the TVET system, the Department </w:t>
      </w:r>
      <w:r w:rsidR="00B47CF4">
        <w:rPr>
          <w:rFonts w:ascii="Arial" w:hAnsi="Arial" w:cs="Arial"/>
        </w:rPr>
        <w:t xml:space="preserve">can </w:t>
      </w:r>
      <w:r w:rsidR="000C6949" w:rsidRPr="00711767">
        <w:rPr>
          <w:rFonts w:ascii="Arial" w:hAnsi="Arial" w:cs="Arial"/>
        </w:rPr>
        <w:t xml:space="preserve">only </w:t>
      </w:r>
      <w:r w:rsidR="00B47CF4">
        <w:rPr>
          <w:rFonts w:ascii="Arial" w:hAnsi="Arial" w:cs="Arial"/>
        </w:rPr>
        <w:t>fund TVET colleges</w:t>
      </w:r>
      <w:r w:rsidR="000C6949" w:rsidRPr="00711767">
        <w:rPr>
          <w:rFonts w:ascii="Arial" w:hAnsi="Arial" w:cs="Arial"/>
        </w:rPr>
        <w:t xml:space="preserve"> at a </w:t>
      </w:r>
      <w:r w:rsidR="009B2770" w:rsidRPr="00711767">
        <w:rPr>
          <w:rFonts w:ascii="Arial" w:hAnsi="Arial" w:cs="Arial"/>
        </w:rPr>
        <w:t>57%</w:t>
      </w:r>
      <w:r w:rsidR="00814A91" w:rsidRPr="00711767">
        <w:rPr>
          <w:rFonts w:ascii="Arial" w:hAnsi="Arial" w:cs="Arial"/>
        </w:rPr>
        <w:t xml:space="preserve"> funding level</w:t>
      </w:r>
      <w:r w:rsidR="009B2770" w:rsidRPr="00711767">
        <w:rPr>
          <w:rFonts w:ascii="Arial" w:hAnsi="Arial" w:cs="Arial"/>
        </w:rPr>
        <w:t xml:space="preserve">. </w:t>
      </w:r>
      <w:r w:rsidR="00D84674" w:rsidRPr="00711767">
        <w:rPr>
          <w:rFonts w:ascii="Arial" w:hAnsi="Arial" w:cs="Arial"/>
        </w:rPr>
        <w:t>This</w:t>
      </w:r>
      <w:r w:rsidR="004C61A6" w:rsidRPr="00711767">
        <w:rPr>
          <w:rFonts w:ascii="Arial" w:hAnsi="Arial" w:cs="Arial"/>
        </w:rPr>
        <w:t xml:space="preserve"> therefore require</w:t>
      </w:r>
      <w:r>
        <w:rPr>
          <w:rFonts w:ascii="Arial" w:hAnsi="Arial" w:cs="Arial"/>
        </w:rPr>
        <w:t>s</w:t>
      </w:r>
      <w:r w:rsidR="004C61A6" w:rsidRPr="00711767">
        <w:rPr>
          <w:rFonts w:ascii="Arial" w:hAnsi="Arial" w:cs="Arial"/>
        </w:rPr>
        <w:t xml:space="preserve"> TVET </w:t>
      </w:r>
      <w:r w:rsidR="009B2770" w:rsidRPr="00711767">
        <w:rPr>
          <w:rFonts w:ascii="Arial" w:hAnsi="Arial" w:cs="Arial"/>
        </w:rPr>
        <w:t xml:space="preserve">colleges </w:t>
      </w:r>
      <w:r w:rsidR="004C61A6" w:rsidRPr="00711767">
        <w:rPr>
          <w:rFonts w:ascii="Arial" w:hAnsi="Arial" w:cs="Arial"/>
        </w:rPr>
        <w:t xml:space="preserve">to subsidise </w:t>
      </w:r>
      <w:r w:rsidR="00A450BC">
        <w:rPr>
          <w:rFonts w:ascii="Arial" w:hAnsi="Arial" w:cs="Arial"/>
        </w:rPr>
        <w:t>S</w:t>
      </w:r>
      <w:r w:rsidR="009B2770" w:rsidRPr="00711767">
        <w:rPr>
          <w:rFonts w:ascii="Arial" w:hAnsi="Arial" w:cs="Arial"/>
        </w:rPr>
        <w:t>tate funded programmes from other</w:t>
      </w:r>
      <w:r w:rsidR="00A450BC">
        <w:rPr>
          <w:rFonts w:ascii="Arial" w:hAnsi="Arial" w:cs="Arial"/>
        </w:rPr>
        <w:t xml:space="preserve"> private sources of funding and/</w:t>
      </w:r>
      <w:r w:rsidR="009B2770" w:rsidRPr="00711767">
        <w:rPr>
          <w:rFonts w:ascii="Arial" w:hAnsi="Arial" w:cs="Arial"/>
        </w:rPr>
        <w:t xml:space="preserve">or available </w:t>
      </w:r>
      <w:r w:rsidR="004C61A6" w:rsidRPr="00711767">
        <w:rPr>
          <w:rFonts w:ascii="Arial" w:hAnsi="Arial" w:cs="Arial"/>
        </w:rPr>
        <w:t xml:space="preserve">cash </w:t>
      </w:r>
      <w:r w:rsidR="009B2770" w:rsidRPr="00711767">
        <w:rPr>
          <w:rFonts w:ascii="Arial" w:hAnsi="Arial" w:cs="Arial"/>
        </w:rPr>
        <w:t xml:space="preserve">reserves. This will </w:t>
      </w:r>
      <w:r w:rsidR="004C61A6" w:rsidRPr="00711767">
        <w:rPr>
          <w:rFonts w:ascii="Arial" w:hAnsi="Arial" w:cs="Arial"/>
        </w:rPr>
        <w:t>eventually lead to cash-flow constraints and financial distress.</w:t>
      </w:r>
    </w:p>
    <w:p w:rsidR="000A57B9" w:rsidRPr="00711767" w:rsidRDefault="00D84674" w:rsidP="00B47CF4">
      <w:pPr>
        <w:spacing w:line="360" w:lineRule="auto"/>
        <w:ind w:left="709"/>
        <w:jc w:val="both"/>
        <w:rPr>
          <w:rFonts w:ascii="Arial" w:hAnsi="Arial" w:cs="Arial"/>
        </w:rPr>
      </w:pPr>
      <w:r w:rsidRPr="00711767">
        <w:rPr>
          <w:rFonts w:ascii="Arial" w:hAnsi="Arial" w:cs="Arial"/>
        </w:rPr>
        <w:t xml:space="preserve">The </w:t>
      </w:r>
      <w:r w:rsidR="00B47CF4" w:rsidRPr="00711767">
        <w:rPr>
          <w:rFonts w:ascii="Arial" w:hAnsi="Arial" w:cs="Arial"/>
        </w:rPr>
        <w:t>Department</w:t>
      </w:r>
      <w:r w:rsidRPr="00711767">
        <w:rPr>
          <w:rFonts w:ascii="Arial" w:hAnsi="Arial" w:cs="Arial"/>
        </w:rPr>
        <w:t xml:space="preserve"> retains funds, annually, from the subsidy allocation to public TVET colle</w:t>
      </w:r>
      <w:r w:rsidR="00B47CF4">
        <w:rPr>
          <w:rFonts w:ascii="Arial" w:hAnsi="Arial" w:cs="Arial"/>
        </w:rPr>
        <w:t xml:space="preserve">ges, in order to remunerate </w:t>
      </w:r>
      <w:r w:rsidRPr="00711767">
        <w:rPr>
          <w:rFonts w:ascii="Arial" w:hAnsi="Arial" w:cs="Arial"/>
        </w:rPr>
        <w:t>employees in posts establishe</w:t>
      </w:r>
      <w:r w:rsidR="00A450BC">
        <w:rPr>
          <w:rFonts w:ascii="Arial" w:hAnsi="Arial" w:cs="Arial"/>
        </w:rPr>
        <w:t>d by the Minister for the TVET c</w:t>
      </w:r>
      <w:r w:rsidRPr="00711767">
        <w:rPr>
          <w:rFonts w:ascii="Arial" w:hAnsi="Arial" w:cs="Arial"/>
        </w:rPr>
        <w:t xml:space="preserve">ollege. The portion of the subsidy allocation retained by </w:t>
      </w:r>
      <w:r w:rsidR="00711767">
        <w:rPr>
          <w:rFonts w:ascii="Arial" w:hAnsi="Arial" w:cs="Arial"/>
        </w:rPr>
        <w:t xml:space="preserve">the Department </w:t>
      </w:r>
      <w:r w:rsidRPr="00711767">
        <w:rPr>
          <w:rFonts w:ascii="Arial" w:hAnsi="Arial" w:cs="Arial"/>
        </w:rPr>
        <w:t xml:space="preserve">is 63% of the </w:t>
      </w:r>
      <w:r w:rsidR="009B2770" w:rsidRPr="00711767">
        <w:rPr>
          <w:rFonts w:ascii="Arial" w:hAnsi="Arial" w:cs="Arial"/>
        </w:rPr>
        <w:t xml:space="preserve">full </w:t>
      </w:r>
      <w:r w:rsidRPr="00711767">
        <w:rPr>
          <w:rFonts w:ascii="Arial" w:hAnsi="Arial" w:cs="Arial"/>
        </w:rPr>
        <w:t xml:space="preserve">cost of the TVET funded programmes according to </w:t>
      </w:r>
      <w:r w:rsidR="009B2770" w:rsidRPr="00711767">
        <w:rPr>
          <w:rFonts w:ascii="Arial" w:hAnsi="Arial" w:cs="Arial"/>
        </w:rPr>
        <w:t xml:space="preserve">paragraph 117 of </w:t>
      </w:r>
      <w:r w:rsidRPr="00711767">
        <w:rPr>
          <w:rFonts w:ascii="Arial" w:hAnsi="Arial" w:cs="Arial"/>
        </w:rPr>
        <w:t>the NNSF-TVET Colleges. The Department then transfers the remaining 37% o</w:t>
      </w:r>
      <w:r w:rsidR="00B47CF4">
        <w:rPr>
          <w:rFonts w:ascii="Arial" w:hAnsi="Arial" w:cs="Arial"/>
        </w:rPr>
        <w:t xml:space="preserve">f the subsidy allocation to </w:t>
      </w:r>
      <w:r w:rsidRPr="00711767">
        <w:rPr>
          <w:rFonts w:ascii="Arial" w:hAnsi="Arial" w:cs="Arial"/>
        </w:rPr>
        <w:t xml:space="preserve">TVET </w:t>
      </w:r>
      <w:r w:rsidR="004C61A6" w:rsidRPr="00711767">
        <w:rPr>
          <w:rFonts w:ascii="Arial" w:hAnsi="Arial" w:cs="Arial"/>
        </w:rPr>
        <w:t>colleges for operational costs.</w:t>
      </w:r>
    </w:p>
    <w:p w:rsidR="000A57B9" w:rsidRPr="00711767" w:rsidRDefault="009B2770" w:rsidP="00B47CF4">
      <w:pPr>
        <w:spacing w:line="360" w:lineRule="auto"/>
        <w:ind w:left="709"/>
        <w:jc w:val="both"/>
        <w:rPr>
          <w:rFonts w:ascii="Arial" w:hAnsi="Arial" w:cs="Arial"/>
        </w:rPr>
      </w:pPr>
      <w:r w:rsidRPr="00711767">
        <w:rPr>
          <w:rFonts w:ascii="Arial" w:hAnsi="Arial" w:cs="Arial"/>
        </w:rPr>
        <w:t>In terms of para</w:t>
      </w:r>
      <w:r w:rsidR="004C61A6" w:rsidRPr="00711767">
        <w:rPr>
          <w:rFonts w:ascii="Arial" w:hAnsi="Arial" w:cs="Arial"/>
        </w:rPr>
        <w:t>graph</w:t>
      </w:r>
      <w:r w:rsidRPr="00711767">
        <w:rPr>
          <w:rFonts w:ascii="Arial" w:hAnsi="Arial" w:cs="Arial"/>
        </w:rPr>
        <w:t xml:space="preserve"> 117 of the NNSF-TVET Co</w:t>
      </w:r>
      <w:r w:rsidR="00160A31" w:rsidRPr="00711767">
        <w:rPr>
          <w:rFonts w:ascii="Arial" w:hAnsi="Arial" w:cs="Arial"/>
        </w:rPr>
        <w:t>lleges, the unspent funds on Compensation of Employees (CoE)</w:t>
      </w:r>
      <w:r w:rsidR="00A450BC">
        <w:rPr>
          <w:rFonts w:ascii="Arial" w:hAnsi="Arial" w:cs="Arial"/>
        </w:rPr>
        <w:t xml:space="preserve"> must be paid back to TVET c</w:t>
      </w:r>
      <w:r w:rsidRPr="00711767">
        <w:rPr>
          <w:rFonts w:ascii="Arial" w:hAnsi="Arial" w:cs="Arial"/>
        </w:rPr>
        <w:t xml:space="preserve">olleges on a claim basis by 31 March of each year. The utilisation of the unspent funds will be as per the conditions prescribed in the </w:t>
      </w:r>
      <w:r w:rsidR="00160A31" w:rsidRPr="00711767">
        <w:rPr>
          <w:rFonts w:ascii="Arial" w:hAnsi="Arial" w:cs="Arial"/>
        </w:rPr>
        <w:t xml:space="preserve">funding </w:t>
      </w:r>
      <w:r w:rsidRPr="00711767">
        <w:rPr>
          <w:rFonts w:ascii="Arial" w:hAnsi="Arial" w:cs="Arial"/>
        </w:rPr>
        <w:t xml:space="preserve">norms. </w:t>
      </w:r>
      <w:r w:rsidR="00D84674" w:rsidRPr="00711767">
        <w:rPr>
          <w:rFonts w:ascii="Arial" w:hAnsi="Arial" w:cs="Arial"/>
        </w:rPr>
        <w:t xml:space="preserve"> </w:t>
      </w:r>
    </w:p>
    <w:p w:rsidR="004F3A69" w:rsidRPr="00711767" w:rsidRDefault="004F3A69" w:rsidP="00B47CF4">
      <w:pPr>
        <w:spacing w:line="360" w:lineRule="auto"/>
        <w:ind w:left="709"/>
        <w:jc w:val="both"/>
        <w:rPr>
          <w:rFonts w:ascii="Arial" w:hAnsi="Arial" w:cs="Arial"/>
        </w:rPr>
      </w:pPr>
      <w:r w:rsidRPr="00711767">
        <w:rPr>
          <w:rFonts w:ascii="Arial" w:hAnsi="Arial" w:cs="Arial"/>
        </w:rPr>
        <w:t>The followin</w:t>
      </w:r>
      <w:r w:rsidR="00A450BC">
        <w:rPr>
          <w:rFonts w:ascii="Arial" w:hAnsi="Arial" w:cs="Arial"/>
        </w:rPr>
        <w:t>g table provide</w:t>
      </w:r>
      <w:r w:rsidR="00B47CF4">
        <w:rPr>
          <w:rFonts w:ascii="Arial" w:hAnsi="Arial" w:cs="Arial"/>
        </w:rPr>
        <w:t>s a list of</w:t>
      </w:r>
      <w:r w:rsidR="00A450BC">
        <w:rPr>
          <w:rFonts w:ascii="Arial" w:hAnsi="Arial" w:cs="Arial"/>
        </w:rPr>
        <w:t xml:space="preserve"> potential TVET c</w:t>
      </w:r>
      <w:r w:rsidRPr="00711767">
        <w:rPr>
          <w:rFonts w:ascii="Arial" w:hAnsi="Arial" w:cs="Arial"/>
        </w:rPr>
        <w:t xml:space="preserve">olleges in financial distress </w:t>
      </w:r>
      <w:r w:rsidR="00C57F99" w:rsidRPr="00711767">
        <w:rPr>
          <w:rFonts w:ascii="Arial" w:hAnsi="Arial" w:cs="Arial"/>
        </w:rPr>
        <w:t>due to excessive CoE expenditure (above the 63% retention budget)</w:t>
      </w:r>
      <w:r w:rsidR="00B47CF4">
        <w:rPr>
          <w:rFonts w:ascii="Arial" w:hAnsi="Arial" w:cs="Arial"/>
        </w:rPr>
        <w:t xml:space="preserve"> as well as cash reserves below </w:t>
      </w:r>
      <w:r w:rsidR="003844CF" w:rsidRPr="00711767">
        <w:rPr>
          <w:rFonts w:ascii="Arial" w:hAnsi="Arial" w:cs="Arial"/>
        </w:rPr>
        <w:t>R20 million</w:t>
      </w:r>
      <w:r w:rsidR="00C57F99" w:rsidRPr="00711767">
        <w:rPr>
          <w:rFonts w:ascii="Arial" w:hAnsi="Arial" w:cs="Arial"/>
        </w:rPr>
        <w:t xml:space="preserve"> which will in-adversely reduce the College subsidy and contribute to</w:t>
      </w:r>
      <w:r w:rsidR="003844CF" w:rsidRPr="00711767">
        <w:rPr>
          <w:rFonts w:ascii="Arial" w:hAnsi="Arial" w:cs="Arial"/>
        </w:rPr>
        <w:t xml:space="preserve"> increased cash-f</w:t>
      </w:r>
      <w:r w:rsidR="00A44EC6" w:rsidRPr="00711767">
        <w:rPr>
          <w:rFonts w:ascii="Arial" w:hAnsi="Arial" w:cs="Arial"/>
        </w:rPr>
        <w:t>low challenges:</w:t>
      </w:r>
    </w:p>
    <w:p w:rsidR="009D696B" w:rsidRDefault="009D696B" w:rsidP="00711767">
      <w:pPr>
        <w:spacing w:line="360" w:lineRule="auto"/>
        <w:jc w:val="both"/>
        <w:rPr>
          <w:rFonts w:ascii="Arial" w:hAnsi="Arial" w:cs="Arial"/>
          <w:b/>
          <w:bCs/>
          <w:u w:val="single"/>
        </w:rPr>
      </w:pPr>
    </w:p>
    <w:p w:rsidR="00B47CF4" w:rsidRDefault="00B47CF4" w:rsidP="00711767">
      <w:pPr>
        <w:spacing w:line="360" w:lineRule="auto"/>
        <w:jc w:val="both"/>
        <w:rPr>
          <w:rFonts w:ascii="Arial" w:hAnsi="Arial" w:cs="Arial"/>
          <w:b/>
          <w:bCs/>
          <w:u w:val="single"/>
        </w:rPr>
      </w:pPr>
    </w:p>
    <w:p w:rsidR="00B47CF4" w:rsidRDefault="00B47CF4" w:rsidP="00711767">
      <w:pPr>
        <w:spacing w:line="360" w:lineRule="auto"/>
        <w:jc w:val="both"/>
        <w:rPr>
          <w:rFonts w:ascii="Arial" w:hAnsi="Arial" w:cs="Arial"/>
          <w:b/>
          <w:bCs/>
          <w:u w:val="single"/>
        </w:rPr>
      </w:pPr>
    </w:p>
    <w:p w:rsidR="00B47CF4" w:rsidRPr="00711767" w:rsidRDefault="00B47CF4" w:rsidP="00711767">
      <w:pPr>
        <w:spacing w:line="360" w:lineRule="auto"/>
        <w:jc w:val="both"/>
        <w:rPr>
          <w:rFonts w:ascii="Arial" w:hAnsi="Arial" w:cs="Arial"/>
          <w:b/>
          <w:bCs/>
          <w:u w:val="single"/>
        </w:rPr>
      </w:pPr>
    </w:p>
    <w:p w:rsidR="00D84674" w:rsidRPr="00711767" w:rsidRDefault="00BB7024" w:rsidP="00711767">
      <w:pPr>
        <w:spacing w:line="360" w:lineRule="auto"/>
        <w:jc w:val="both"/>
        <w:rPr>
          <w:rFonts w:ascii="Arial" w:hAnsi="Arial" w:cs="Arial"/>
        </w:rPr>
      </w:pPr>
      <w:r w:rsidRPr="00711767">
        <w:rPr>
          <w:rFonts w:ascii="Arial" w:hAnsi="Arial" w:cs="Arial"/>
          <w:b/>
          <w:bCs/>
          <w:u w:val="single"/>
        </w:rPr>
        <w:t>TVET Colleges CoE analysis:</w:t>
      </w:r>
      <w:r w:rsidR="00D84674" w:rsidRPr="00711767">
        <w:rPr>
          <w:rFonts w:ascii="Arial" w:hAnsi="Arial" w:cs="Arial"/>
          <w:b/>
          <w:bCs/>
          <w:u w:val="single"/>
        </w:rPr>
        <w:t xml:space="preserve"> 31 March 2017</w:t>
      </w:r>
      <w:r w:rsidR="00A44EC6" w:rsidRPr="00711767">
        <w:rPr>
          <w:rFonts w:ascii="Arial" w:hAnsi="Arial" w:cs="Arial"/>
          <w:b/>
          <w:bCs/>
          <w:u w:val="single"/>
        </w:rPr>
        <w:t xml:space="preserve"> including low cash reserves (&lt;R20 Million)</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691"/>
        <w:gridCol w:w="1985"/>
        <w:gridCol w:w="1559"/>
        <w:gridCol w:w="1701"/>
        <w:gridCol w:w="1593"/>
      </w:tblGrid>
      <w:tr w:rsidR="009D696B" w:rsidRPr="00711767" w:rsidTr="00A450BC">
        <w:trPr>
          <w:trHeight w:val="983"/>
        </w:trPr>
        <w:tc>
          <w:tcPr>
            <w:tcW w:w="1819" w:type="dxa"/>
            <w:shd w:val="clear" w:color="auto" w:fill="auto"/>
            <w:vAlign w:val="center"/>
            <w:hideMark/>
          </w:tcPr>
          <w:p w:rsidR="009D696B" w:rsidRPr="00711767" w:rsidRDefault="009D696B" w:rsidP="00A450BC">
            <w:pPr>
              <w:spacing w:before="60" w:after="60" w:line="240" w:lineRule="auto"/>
              <w:jc w:val="center"/>
              <w:rPr>
                <w:rFonts w:ascii="Arial" w:hAnsi="Arial" w:cs="Arial"/>
                <w:b/>
                <w:bCs/>
                <w:lang w:val="en-ZA"/>
              </w:rPr>
            </w:pPr>
            <w:r w:rsidRPr="00711767">
              <w:rPr>
                <w:rFonts w:ascii="Arial" w:hAnsi="Arial" w:cs="Arial"/>
                <w:b/>
                <w:bCs/>
              </w:rPr>
              <w:t>TVET College</w:t>
            </w:r>
          </w:p>
        </w:tc>
        <w:tc>
          <w:tcPr>
            <w:tcW w:w="1691" w:type="dxa"/>
            <w:shd w:val="clear" w:color="auto" w:fill="auto"/>
            <w:vAlign w:val="center"/>
            <w:hideMark/>
          </w:tcPr>
          <w:p w:rsidR="009D696B" w:rsidRPr="00711767" w:rsidRDefault="009D696B" w:rsidP="00A450BC">
            <w:pPr>
              <w:spacing w:before="60" w:after="60" w:line="240" w:lineRule="auto"/>
              <w:jc w:val="center"/>
              <w:rPr>
                <w:rFonts w:ascii="Arial" w:hAnsi="Arial" w:cs="Arial"/>
                <w:b/>
                <w:bCs/>
              </w:rPr>
            </w:pPr>
            <w:r w:rsidRPr="00711767">
              <w:rPr>
                <w:rFonts w:ascii="Arial" w:hAnsi="Arial" w:cs="Arial"/>
                <w:b/>
                <w:bCs/>
              </w:rPr>
              <w:t>CoE Budget</w:t>
            </w:r>
          </w:p>
        </w:tc>
        <w:tc>
          <w:tcPr>
            <w:tcW w:w="1985" w:type="dxa"/>
            <w:shd w:val="clear" w:color="auto" w:fill="auto"/>
            <w:vAlign w:val="center"/>
            <w:hideMark/>
          </w:tcPr>
          <w:p w:rsidR="009D696B" w:rsidRPr="00711767" w:rsidRDefault="009D696B" w:rsidP="00A450BC">
            <w:pPr>
              <w:spacing w:before="60" w:after="60" w:line="240" w:lineRule="auto"/>
              <w:jc w:val="center"/>
              <w:rPr>
                <w:rFonts w:ascii="Arial" w:hAnsi="Arial" w:cs="Arial"/>
                <w:b/>
                <w:bCs/>
              </w:rPr>
            </w:pPr>
            <w:r w:rsidRPr="00711767">
              <w:rPr>
                <w:rFonts w:ascii="Arial" w:hAnsi="Arial" w:cs="Arial"/>
                <w:b/>
                <w:bCs/>
              </w:rPr>
              <w:t xml:space="preserve">CoE Expenditure for the </w:t>
            </w:r>
            <w:r w:rsidR="009D2D88" w:rsidRPr="00711767">
              <w:rPr>
                <w:rFonts w:ascii="Arial" w:hAnsi="Arial" w:cs="Arial"/>
                <w:b/>
                <w:bCs/>
              </w:rPr>
              <w:t xml:space="preserve">2016/17 </w:t>
            </w:r>
            <w:r w:rsidRPr="00711767">
              <w:rPr>
                <w:rFonts w:ascii="Arial" w:hAnsi="Arial" w:cs="Arial"/>
                <w:b/>
                <w:bCs/>
              </w:rPr>
              <w:t>year</w:t>
            </w:r>
          </w:p>
        </w:tc>
        <w:tc>
          <w:tcPr>
            <w:tcW w:w="1559" w:type="dxa"/>
            <w:shd w:val="clear" w:color="auto" w:fill="auto"/>
            <w:vAlign w:val="center"/>
            <w:hideMark/>
          </w:tcPr>
          <w:p w:rsidR="009D696B" w:rsidRPr="00711767" w:rsidRDefault="009D696B" w:rsidP="00A450BC">
            <w:pPr>
              <w:spacing w:before="60" w:after="60" w:line="240" w:lineRule="auto"/>
              <w:jc w:val="center"/>
              <w:rPr>
                <w:rFonts w:ascii="Arial" w:hAnsi="Arial" w:cs="Arial"/>
                <w:b/>
                <w:bCs/>
              </w:rPr>
            </w:pPr>
            <w:r w:rsidRPr="00711767">
              <w:rPr>
                <w:rFonts w:ascii="Arial" w:hAnsi="Arial" w:cs="Arial"/>
                <w:b/>
                <w:bCs/>
              </w:rPr>
              <w:t>Over-expenditure</w:t>
            </w:r>
          </w:p>
        </w:tc>
        <w:tc>
          <w:tcPr>
            <w:tcW w:w="1701" w:type="dxa"/>
            <w:shd w:val="clear" w:color="auto" w:fill="auto"/>
            <w:vAlign w:val="center"/>
            <w:hideMark/>
          </w:tcPr>
          <w:p w:rsidR="009D696B" w:rsidRPr="00711767" w:rsidRDefault="009D2D88" w:rsidP="00A450BC">
            <w:pPr>
              <w:spacing w:before="60" w:after="60" w:line="240" w:lineRule="auto"/>
              <w:jc w:val="center"/>
              <w:rPr>
                <w:rFonts w:ascii="Arial" w:hAnsi="Arial" w:cs="Arial"/>
                <w:b/>
                <w:bCs/>
              </w:rPr>
            </w:pPr>
            <w:r w:rsidRPr="00711767">
              <w:rPr>
                <w:rFonts w:ascii="Arial" w:hAnsi="Arial" w:cs="Arial"/>
                <w:b/>
                <w:bCs/>
              </w:rPr>
              <w:t>% Expenditure r</w:t>
            </w:r>
            <w:r w:rsidR="009D696B" w:rsidRPr="00711767">
              <w:rPr>
                <w:rFonts w:ascii="Arial" w:hAnsi="Arial" w:cs="Arial"/>
                <w:b/>
                <w:bCs/>
              </w:rPr>
              <w:t>atio (above 63%)</w:t>
            </w:r>
          </w:p>
        </w:tc>
        <w:tc>
          <w:tcPr>
            <w:tcW w:w="1593" w:type="dxa"/>
            <w:shd w:val="clear" w:color="auto" w:fill="auto"/>
            <w:vAlign w:val="center"/>
          </w:tcPr>
          <w:p w:rsidR="009D696B" w:rsidRPr="00711767" w:rsidRDefault="009D696B" w:rsidP="00A450BC">
            <w:pPr>
              <w:spacing w:before="60" w:after="60" w:line="240" w:lineRule="auto"/>
              <w:jc w:val="center"/>
              <w:rPr>
                <w:rFonts w:ascii="Arial" w:hAnsi="Arial" w:cs="Arial"/>
                <w:b/>
                <w:bCs/>
              </w:rPr>
            </w:pPr>
            <w:r w:rsidRPr="00711767">
              <w:rPr>
                <w:rFonts w:ascii="Arial" w:hAnsi="Arial" w:cs="Arial"/>
                <w:b/>
                <w:bCs/>
              </w:rPr>
              <w:t>Cash Balances as at 3</w:t>
            </w:r>
            <w:r w:rsidR="00C8195A" w:rsidRPr="00711767">
              <w:rPr>
                <w:rFonts w:ascii="Arial" w:hAnsi="Arial" w:cs="Arial"/>
                <w:b/>
                <w:bCs/>
              </w:rPr>
              <w:t xml:space="preserve">0 April </w:t>
            </w:r>
            <w:r w:rsidRPr="00711767">
              <w:rPr>
                <w:rFonts w:ascii="Arial" w:hAnsi="Arial" w:cs="Arial"/>
                <w:b/>
                <w:bCs/>
              </w:rPr>
              <w:t>2017</w:t>
            </w:r>
          </w:p>
        </w:tc>
      </w:tr>
      <w:tr w:rsidR="009D696B" w:rsidRPr="00711767" w:rsidTr="00A450BC">
        <w:trPr>
          <w:trHeight w:val="330"/>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Mthashana</w:t>
            </w:r>
          </w:p>
        </w:tc>
        <w:tc>
          <w:tcPr>
            <w:tcW w:w="1691"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60 195 273</w:t>
            </w:r>
          </w:p>
        </w:tc>
        <w:tc>
          <w:tcPr>
            <w:tcW w:w="1985"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66 469 495</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6 274 222</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69.57%</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C8195A" w:rsidRPr="00711767">
              <w:rPr>
                <w:rFonts w:ascii="Arial" w:hAnsi="Arial" w:cs="Arial"/>
              </w:rPr>
              <w:t>17 851 371</w:t>
            </w:r>
          </w:p>
        </w:tc>
      </w:tr>
      <w:tr w:rsidR="009D696B" w:rsidRPr="00711767" w:rsidTr="00A450BC">
        <w:trPr>
          <w:trHeight w:val="330"/>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Esayidi</w:t>
            </w:r>
          </w:p>
        </w:tc>
        <w:tc>
          <w:tcPr>
            <w:tcW w:w="1691" w:type="dxa"/>
            <w:shd w:val="clear" w:color="auto" w:fill="auto"/>
            <w:noWrap/>
            <w:vAlign w:val="center"/>
            <w:hideMark/>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9D696B" w:rsidRPr="00711767">
              <w:rPr>
                <w:rFonts w:ascii="Arial" w:hAnsi="Arial" w:cs="Arial"/>
              </w:rPr>
              <w:t>107 485 328</w:t>
            </w:r>
          </w:p>
        </w:tc>
        <w:tc>
          <w:tcPr>
            <w:tcW w:w="1985" w:type="dxa"/>
            <w:shd w:val="clear" w:color="auto" w:fill="auto"/>
            <w:noWrap/>
            <w:vAlign w:val="center"/>
            <w:hideMark/>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9D696B" w:rsidRPr="00711767">
              <w:rPr>
                <w:rFonts w:ascii="Arial" w:hAnsi="Arial" w:cs="Arial"/>
              </w:rPr>
              <w:t>116 505 712</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9 020 384</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68.29%</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C8195A" w:rsidRPr="00711767">
              <w:rPr>
                <w:rFonts w:ascii="Arial" w:hAnsi="Arial" w:cs="Arial"/>
              </w:rPr>
              <w:t>19 220 168</w:t>
            </w:r>
          </w:p>
        </w:tc>
      </w:tr>
      <w:tr w:rsidR="009D696B" w:rsidRPr="00711767" w:rsidTr="00A450BC">
        <w:trPr>
          <w:trHeight w:val="330"/>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Umgungundlovu</w:t>
            </w:r>
          </w:p>
        </w:tc>
        <w:tc>
          <w:tcPr>
            <w:tcW w:w="1691"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62 253 685</w:t>
            </w:r>
          </w:p>
        </w:tc>
        <w:tc>
          <w:tcPr>
            <w:tcW w:w="1985"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66 791 851</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4 538 165</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67.59%</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C8195A" w:rsidRPr="00711767">
              <w:rPr>
                <w:rFonts w:ascii="Arial" w:hAnsi="Arial" w:cs="Arial"/>
              </w:rPr>
              <w:t>18 764 908</w:t>
            </w:r>
          </w:p>
        </w:tc>
      </w:tr>
      <w:tr w:rsidR="009D696B" w:rsidRPr="00711767" w:rsidTr="00A450BC">
        <w:trPr>
          <w:trHeight w:val="330"/>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Thekwini</w:t>
            </w:r>
          </w:p>
        </w:tc>
        <w:tc>
          <w:tcPr>
            <w:tcW w:w="1691"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71 925 729</w:t>
            </w:r>
          </w:p>
        </w:tc>
        <w:tc>
          <w:tcPr>
            <w:tcW w:w="1985"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75 969 102</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4 043 373</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66.54%</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4C0B98" w:rsidRPr="00711767">
              <w:rPr>
                <w:rFonts w:ascii="Arial" w:hAnsi="Arial" w:cs="Arial"/>
              </w:rPr>
              <w:t>10 127 935</w:t>
            </w:r>
          </w:p>
        </w:tc>
      </w:tr>
      <w:tr w:rsidR="009D696B" w:rsidRPr="00711767" w:rsidTr="00A450BC">
        <w:trPr>
          <w:trHeight w:val="330"/>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Sekhukhune</w:t>
            </w:r>
          </w:p>
        </w:tc>
        <w:tc>
          <w:tcPr>
            <w:tcW w:w="1691"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61 544 424</w:t>
            </w:r>
          </w:p>
        </w:tc>
        <w:tc>
          <w:tcPr>
            <w:tcW w:w="1985"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62 773 431</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1 229 007</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64.26%</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4C0B98" w:rsidRPr="00711767">
              <w:rPr>
                <w:rFonts w:ascii="Arial" w:hAnsi="Arial" w:cs="Arial"/>
              </w:rPr>
              <w:t>9 384 104</w:t>
            </w:r>
          </w:p>
        </w:tc>
      </w:tr>
      <w:tr w:rsidR="009D696B" w:rsidRPr="00711767" w:rsidTr="00A450BC">
        <w:trPr>
          <w:trHeight w:val="347"/>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Goldfields</w:t>
            </w:r>
          </w:p>
        </w:tc>
        <w:tc>
          <w:tcPr>
            <w:tcW w:w="1691"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51 997 586</w:t>
            </w:r>
          </w:p>
        </w:tc>
        <w:tc>
          <w:tcPr>
            <w:tcW w:w="1985"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52 709 601</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712 015</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63.86%</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4C0B98" w:rsidRPr="00711767">
              <w:rPr>
                <w:rFonts w:ascii="Arial" w:hAnsi="Arial" w:cs="Arial"/>
              </w:rPr>
              <w:t>10 009 350</w:t>
            </w:r>
          </w:p>
        </w:tc>
      </w:tr>
      <w:tr w:rsidR="009D696B" w:rsidRPr="00711767" w:rsidTr="00A450BC">
        <w:trPr>
          <w:trHeight w:val="330"/>
        </w:trPr>
        <w:tc>
          <w:tcPr>
            <w:tcW w:w="1819" w:type="dxa"/>
            <w:shd w:val="clear" w:color="auto" w:fill="auto"/>
            <w:noWrap/>
            <w:hideMark/>
          </w:tcPr>
          <w:p w:rsidR="009D696B" w:rsidRPr="00711767" w:rsidRDefault="009D696B" w:rsidP="00A450BC">
            <w:pPr>
              <w:spacing w:before="60" w:after="60" w:line="240" w:lineRule="auto"/>
              <w:jc w:val="both"/>
              <w:rPr>
                <w:rFonts w:ascii="Arial" w:hAnsi="Arial" w:cs="Arial"/>
              </w:rPr>
            </w:pPr>
            <w:r w:rsidRPr="00711767">
              <w:rPr>
                <w:rFonts w:ascii="Arial" w:hAnsi="Arial" w:cs="Arial"/>
              </w:rPr>
              <w:t>Ikhala</w:t>
            </w:r>
          </w:p>
        </w:tc>
        <w:tc>
          <w:tcPr>
            <w:tcW w:w="1691"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65 189 168</w:t>
            </w:r>
          </w:p>
        </w:tc>
        <w:tc>
          <w:tcPr>
            <w:tcW w:w="1985"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65 962 526</w:t>
            </w:r>
          </w:p>
        </w:tc>
        <w:tc>
          <w:tcPr>
            <w:tcW w:w="1559" w:type="dxa"/>
            <w:shd w:val="clear" w:color="auto" w:fill="auto"/>
            <w:noWrap/>
            <w:vAlign w:val="center"/>
            <w:hideMark/>
          </w:tcPr>
          <w:p w:rsidR="009D696B" w:rsidRPr="00711767" w:rsidRDefault="009D696B" w:rsidP="00A450BC">
            <w:pPr>
              <w:spacing w:before="60" w:after="60" w:line="240" w:lineRule="auto"/>
              <w:jc w:val="right"/>
              <w:rPr>
                <w:rFonts w:ascii="Arial" w:hAnsi="Arial" w:cs="Arial"/>
              </w:rPr>
            </w:pPr>
            <w:r w:rsidRPr="00711767">
              <w:rPr>
                <w:rFonts w:ascii="Arial" w:hAnsi="Arial" w:cs="Arial"/>
              </w:rPr>
              <w:t>-R 773 358</w:t>
            </w:r>
          </w:p>
        </w:tc>
        <w:tc>
          <w:tcPr>
            <w:tcW w:w="1701" w:type="dxa"/>
            <w:shd w:val="clear" w:color="auto" w:fill="auto"/>
            <w:noWrap/>
            <w:vAlign w:val="center"/>
            <w:hideMark/>
          </w:tcPr>
          <w:p w:rsidR="009D696B" w:rsidRPr="00711767" w:rsidRDefault="009D696B" w:rsidP="00A450BC">
            <w:pPr>
              <w:spacing w:before="60" w:after="60" w:line="240" w:lineRule="auto"/>
              <w:jc w:val="center"/>
              <w:rPr>
                <w:rFonts w:ascii="Arial" w:hAnsi="Arial" w:cs="Arial"/>
              </w:rPr>
            </w:pPr>
            <w:r w:rsidRPr="00711767">
              <w:rPr>
                <w:rFonts w:ascii="Arial" w:hAnsi="Arial" w:cs="Arial"/>
              </w:rPr>
              <w:t>63.75%</w:t>
            </w:r>
          </w:p>
        </w:tc>
        <w:tc>
          <w:tcPr>
            <w:tcW w:w="1593" w:type="dxa"/>
            <w:shd w:val="clear" w:color="auto" w:fill="auto"/>
            <w:vAlign w:val="center"/>
          </w:tcPr>
          <w:p w:rsidR="009D696B" w:rsidRPr="00711767" w:rsidRDefault="00A450BC" w:rsidP="00A450BC">
            <w:pPr>
              <w:spacing w:before="60" w:after="60" w:line="240" w:lineRule="auto"/>
              <w:jc w:val="right"/>
              <w:rPr>
                <w:rFonts w:ascii="Arial" w:hAnsi="Arial" w:cs="Arial"/>
              </w:rPr>
            </w:pPr>
            <w:r>
              <w:rPr>
                <w:rFonts w:ascii="Arial" w:hAnsi="Arial" w:cs="Arial"/>
              </w:rPr>
              <w:t xml:space="preserve">R </w:t>
            </w:r>
            <w:r w:rsidR="001122DF">
              <w:rPr>
                <w:rFonts w:ascii="Arial" w:hAnsi="Arial" w:cs="Arial"/>
              </w:rPr>
              <w:t>8 0</w:t>
            </w:r>
            <w:r w:rsidR="004C0B98" w:rsidRPr="00711767">
              <w:rPr>
                <w:rFonts w:ascii="Arial" w:hAnsi="Arial" w:cs="Arial"/>
              </w:rPr>
              <w:t>42 623</w:t>
            </w:r>
          </w:p>
        </w:tc>
      </w:tr>
    </w:tbl>
    <w:p w:rsidR="003C1AB1" w:rsidRPr="00711767" w:rsidRDefault="003C1AB1" w:rsidP="00711767">
      <w:pPr>
        <w:spacing w:line="360" w:lineRule="auto"/>
        <w:jc w:val="both"/>
        <w:rPr>
          <w:rFonts w:ascii="Arial" w:hAnsi="Arial" w:cs="Arial"/>
        </w:rPr>
      </w:pPr>
    </w:p>
    <w:p w:rsidR="00B47CF4" w:rsidRDefault="00B47CF4" w:rsidP="00B47CF4">
      <w:pPr>
        <w:tabs>
          <w:tab w:val="left" w:pos="142"/>
        </w:tabs>
        <w:spacing w:line="360" w:lineRule="auto"/>
        <w:ind w:left="709" w:hanging="799"/>
        <w:jc w:val="both"/>
        <w:rPr>
          <w:rFonts w:ascii="Arial" w:hAnsi="Arial" w:cs="Arial"/>
        </w:rPr>
      </w:pPr>
      <w:r>
        <w:rPr>
          <w:rFonts w:ascii="Arial" w:hAnsi="Arial" w:cs="Arial"/>
        </w:rPr>
        <w:t xml:space="preserve">(b)(ii) </w:t>
      </w:r>
      <w:r>
        <w:rPr>
          <w:rFonts w:ascii="Arial" w:hAnsi="Arial" w:cs="Arial"/>
        </w:rPr>
        <w:tab/>
      </w:r>
      <w:r w:rsidR="000A57B9" w:rsidRPr="00711767">
        <w:rPr>
          <w:rFonts w:ascii="Arial" w:hAnsi="Arial" w:cs="Arial"/>
        </w:rPr>
        <w:t xml:space="preserve">The liquidity ratios of TVET colleges are monitored by the Department on a monthly basis to be able to identify </w:t>
      </w:r>
      <w:r w:rsidR="00B8159C">
        <w:rPr>
          <w:rFonts w:ascii="Arial" w:hAnsi="Arial" w:cs="Arial"/>
        </w:rPr>
        <w:t xml:space="preserve">upfront </w:t>
      </w:r>
      <w:r w:rsidR="000A57B9" w:rsidRPr="00711767">
        <w:rPr>
          <w:rFonts w:ascii="Arial" w:hAnsi="Arial" w:cs="Arial"/>
        </w:rPr>
        <w:t xml:space="preserve">colleges with potential cash-flow challenges.  In addition to the monthly monitoring, the Department has set aside R200 million (funded as an unconditional grant from </w:t>
      </w:r>
      <w:r w:rsidR="00B8159C">
        <w:rPr>
          <w:rFonts w:ascii="Arial" w:hAnsi="Arial" w:cs="Arial"/>
        </w:rPr>
        <w:t>the National Skills Fund</w:t>
      </w:r>
      <w:r w:rsidR="000A57B9" w:rsidRPr="00711767">
        <w:rPr>
          <w:rFonts w:ascii="Arial" w:hAnsi="Arial" w:cs="Arial"/>
        </w:rPr>
        <w:t>) as a contingency measure to deal with emergenc</w:t>
      </w:r>
      <w:r w:rsidR="00A450BC">
        <w:rPr>
          <w:rFonts w:ascii="Arial" w:hAnsi="Arial" w:cs="Arial"/>
        </w:rPr>
        <w:t>y cash-flow challenges at TVET c</w:t>
      </w:r>
      <w:r w:rsidR="000A57B9" w:rsidRPr="00711767">
        <w:rPr>
          <w:rFonts w:ascii="Arial" w:hAnsi="Arial" w:cs="Arial"/>
        </w:rPr>
        <w:t>olleges. However, this mitigation is not sustainab</w:t>
      </w:r>
      <w:r w:rsidR="00A450BC">
        <w:rPr>
          <w:rFonts w:ascii="Arial" w:hAnsi="Arial" w:cs="Arial"/>
        </w:rPr>
        <w:t>le over the long term and TVET c</w:t>
      </w:r>
      <w:r w:rsidR="000A57B9" w:rsidRPr="00711767">
        <w:rPr>
          <w:rFonts w:ascii="Arial" w:hAnsi="Arial" w:cs="Arial"/>
        </w:rPr>
        <w:t>olleges ar</w:t>
      </w:r>
      <w:r w:rsidR="00B8159C">
        <w:rPr>
          <w:rFonts w:ascii="Arial" w:hAnsi="Arial" w:cs="Arial"/>
        </w:rPr>
        <w:t xml:space="preserve">e required to budget and </w:t>
      </w:r>
      <w:r w:rsidR="000A57B9" w:rsidRPr="00711767">
        <w:rPr>
          <w:rFonts w:ascii="Arial" w:hAnsi="Arial" w:cs="Arial"/>
        </w:rPr>
        <w:t xml:space="preserve">effectively </w:t>
      </w:r>
      <w:r w:rsidR="00B8159C">
        <w:rPr>
          <w:rFonts w:ascii="Arial" w:hAnsi="Arial" w:cs="Arial"/>
        </w:rPr>
        <w:t xml:space="preserve">manage </w:t>
      </w:r>
      <w:r w:rsidR="000A57B9" w:rsidRPr="00711767">
        <w:rPr>
          <w:rFonts w:ascii="Arial" w:hAnsi="Arial" w:cs="Arial"/>
        </w:rPr>
        <w:t xml:space="preserve">their financial </w:t>
      </w:r>
      <w:r w:rsidR="00B8159C">
        <w:rPr>
          <w:rFonts w:ascii="Arial" w:hAnsi="Arial" w:cs="Arial"/>
        </w:rPr>
        <w:t>resources</w:t>
      </w:r>
      <w:r w:rsidR="000A57B9" w:rsidRPr="00711767">
        <w:rPr>
          <w:rFonts w:ascii="Arial" w:hAnsi="Arial" w:cs="Arial"/>
        </w:rPr>
        <w:t xml:space="preserve">. </w:t>
      </w:r>
    </w:p>
    <w:p w:rsidR="00B47CF4" w:rsidRDefault="00B47CF4" w:rsidP="00B47CF4">
      <w:pPr>
        <w:tabs>
          <w:tab w:val="left" w:pos="142"/>
        </w:tabs>
        <w:spacing w:line="360" w:lineRule="auto"/>
        <w:ind w:left="709" w:hanging="799"/>
        <w:jc w:val="both"/>
        <w:rPr>
          <w:rFonts w:ascii="Arial" w:hAnsi="Arial" w:cs="Arial"/>
        </w:rPr>
      </w:pPr>
      <w:r>
        <w:rPr>
          <w:rFonts w:ascii="Arial" w:hAnsi="Arial" w:cs="Arial"/>
        </w:rPr>
        <w:tab/>
      </w:r>
      <w:r>
        <w:rPr>
          <w:rFonts w:ascii="Arial" w:hAnsi="Arial" w:cs="Arial"/>
        </w:rPr>
        <w:tab/>
      </w:r>
      <w:r w:rsidR="000A57B9" w:rsidRPr="00711767">
        <w:rPr>
          <w:rFonts w:ascii="Arial" w:hAnsi="Arial" w:cs="Arial"/>
        </w:rPr>
        <w:t>The emergency cash-grant only provides for critical operational requirements such as emergency and cri</w:t>
      </w:r>
      <w:r w:rsidR="00A450BC">
        <w:rPr>
          <w:rFonts w:ascii="Arial" w:hAnsi="Arial" w:cs="Arial"/>
        </w:rPr>
        <w:t>tical repairs to infrastructure,</w:t>
      </w:r>
      <w:r w:rsidR="000A57B9" w:rsidRPr="00711767">
        <w:rPr>
          <w:rFonts w:ascii="Arial" w:hAnsi="Arial" w:cs="Arial"/>
        </w:rPr>
        <w:t xml:space="preserve"> payments to creditors (for items related to teaching and learning materials, text books</w:t>
      </w:r>
      <w:r w:rsidR="00B8159C">
        <w:rPr>
          <w:rFonts w:ascii="Arial" w:hAnsi="Arial" w:cs="Arial"/>
        </w:rPr>
        <w:t>,</w:t>
      </w:r>
      <w:r w:rsidR="000A57B9" w:rsidRPr="00711767">
        <w:rPr>
          <w:rFonts w:ascii="Arial" w:hAnsi="Arial" w:cs="Arial"/>
        </w:rPr>
        <w:t xml:space="preserve"> etc. including consumables) as well as urgent services</w:t>
      </w:r>
      <w:r>
        <w:rPr>
          <w:rFonts w:ascii="Arial" w:hAnsi="Arial" w:cs="Arial"/>
        </w:rPr>
        <w:t xml:space="preserve"> such as water and electricity.</w:t>
      </w:r>
    </w:p>
    <w:p w:rsidR="00B51AE9" w:rsidRPr="00711767" w:rsidRDefault="00B47CF4" w:rsidP="00B47CF4">
      <w:pPr>
        <w:tabs>
          <w:tab w:val="left" w:pos="142"/>
        </w:tabs>
        <w:spacing w:line="360" w:lineRule="auto"/>
        <w:ind w:left="709" w:hanging="799"/>
        <w:jc w:val="both"/>
        <w:rPr>
          <w:rFonts w:ascii="Arial" w:hAnsi="Arial" w:cs="Arial"/>
        </w:rPr>
      </w:pPr>
      <w:r>
        <w:rPr>
          <w:rFonts w:ascii="Arial" w:hAnsi="Arial" w:cs="Arial"/>
        </w:rPr>
        <w:tab/>
      </w:r>
      <w:r>
        <w:rPr>
          <w:rFonts w:ascii="Arial" w:hAnsi="Arial" w:cs="Arial"/>
        </w:rPr>
        <w:tab/>
      </w:r>
      <w:r w:rsidR="000A57B9" w:rsidRPr="00711767">
        <w:rPr>
          <w:rFonts w:ascii="Arial" w:hAnsi="Arial" w:cs="Arial"/>
        </w:rPr>
        <w:t>In addition to the emergency cash-flow grant, t</w:t>
      </w:r>
      <w:r w:rsidR="00B51AE9" w:rsidRPr="00711767">
        <w:rPr>
          <w:rFonts w:ascii="Arial" w:hAnsi="Arial" w:cs="Arial"/>
        </w:rPr>
        <w:t xml:space="preserve">he </w:t>
      </w:r>
      <w:r w:rsidR="00B51AE9" w:rsidRPr="00580D42">
        <w:rPr>
          <w:rFonts w:ascii="Arial" w:hAnsi="Arial" w:cs="Arial"/>
          <w:color w:val="000000"/>
        </w:rPr>
        <w:t xml:space="preserve">Department </w:t>
      </w:r>
      <w:r w:rsidR="00A450BC" w:rsidRPr="00580D42">
        <w:rPr>
          <w:rFonts w:ascii="Arial" w:hAnsi="Arial" w:cs="Arial"/>
          <w:color w:val="000000"/>
        </w:rPr>
        <w:t>submits</w:t>
      </w:r>
      <w:r w:rsidR="00B51AE9" w:rsidRPr="00580D42">
        <w:rPr>
          <w:rFonts w:ascii="Arial" w:hAnsi="Arial" w:cs="Arial"/>
          <w:color w:val="000000"/>
        </w:rPr>
        <w:t xml:space="preserve"> requests for</w:t>
      </w:r>
      <w:r w:rsidR="000A57B9" w:rsidRPr="00580D42">
        <w:rPr>
          <w:rFonts w:ascii="Arial" w:hAnsi="Arial" w:cs="Arial"/>
          <w:color w:val="000000"/>
        </w:rPr>
        <w:t xml:space="preserve"> additional funding to National </w:t>
      </w:r>
      <w:r w:rsidR="00B51AE9" w:rsidRPr="00580D42">
        <w:rPr>
          <w:rFonts w:ascii="Arial" w:hAnsi="Arial" w:cs="Arial"/>
          <w:color w:val="000000"/>
        </w:rPr>
        <w:t>Treasury</w:t>
      </w:r>
      <w:r w:rsidR="00FC4C95" w:rsidRPr="00580D42">
        <w:rPr>
          <w:rFonts w:ascii="Arial" w:hAnsi="Arial" w:cs="Arial"/>
          <w:color w:val="000000"/>
        </w:rPr>
        <w:t xml:space="preserve"> on an annual basis</w:t>
      </w:r>
      <w:r w:rsidR="00B51AE9" w:rsidRPr="00580D42">
        <w:rPr>
          <w:rFonts w:ascii="Arial" w:hAnsi="Arial" w:cs="Arial"/>
          <w:color w:val="000000"/>
        </w:rPr>
        <w:t xml:space="preserve"> through the Medium Term Expenditure </w:t>
      </w:r>
      <w:r w:rsidR="00580D42" w:rsidRPr="00580D42">
        <w:rPr>
          <w:rFonts w:ascii="Arial" w:hAnsi="Arial" w:cs="Arial"/>
          <w:color w:val="000000"/>
        </w:rPr>
        <w:t>Framework</w:t>
      </w:r>
      <w:r w:rsidR="00B51AE9" w:rsidRPr="00580D42">
        <w:rPr>
          <w:rFonts w:ascii="Arial" w:hAnsi="Arial" w:cs="Arial"/>
          <w:color w:val="000000"/>
        </w:rPr>
        <w:t xml:space="preserve"> </w:t>
      </w:r>
      <w:r w:rsidR="004A7F0C" w:rsidRPr="00580D42">
        <w:rPr>
          <w:rFonts w:ascii="Arial" w:hAnsi="Arial" w:cs="Arial"/>
          <w:color w:val="000000"/>
        </w:rPr>
        <w:t>(</w:t>
      </w:r>
      <w:r w:rsidR="00580D42" w:rsidRPr="00580D42">
        <w:rPr>
          <w:rFonts w:ascii="Arial" w:hAnsi="Arial" w:cs="Arial"/>
          <w:color w:val="000000"/>
        </w:rPr>
        <w:t>MTEF</w:t>
      </w:r>
      <w:r w:rsidR="000A57B9" w:rsidRPr="00580D42">
        <w:rPr>
          <w:rFonts w:ascii="Arial" w:hAnsi="Arial" w:cs="Arial"/>
          <w:color w:val="000000"/>
        </w:rPr>
        <w:t>) processes</w:t>
      </w:r>
      <w:r w:rsidR="00242180" w:rsidRPr="00580D42">
        <w:rPr>
          <w:rFonts w:ascii="Arial" w:hAnsi="Arial" w:cs="Arial"/>
          <w:color w:val="000000"/>
        </w:rPr>
        <w:t>.</w:t>
      </w:r>
    </w:p>
    <w:p w:rsidR="00C654A2" w:rsidRPr="00711767" w:rsidRDefault="000C3B00" w:rsidP="00711767">
      <w:pPr>
        <w:spacing w:line="360" w:lineRule="auto"/>
        <w:jc w:val="both"/>
        <w:rPr>
          <w:rFonts w:ascii="Arial" w:hAnsi="Arial" w:cs="Arial"/>
        </w:rPr>
      </w:pPr>
      <w:r w:rsidRPr="00711767">
        <w:rPr>
          <w:rFonts w:ascii="Arial" w:hAnsi="Arial" w:cs="Arial"/>
        </w:rPr>
        <w:br w:type="page"/>
      </w:r>
      <w:r w:rsidR="00CC27E4" w:rsidRPr="00711767">
        <w:rPr>
          <w:rFonts w:ascii="Arial" w:hAnsi="Arial" w:cs="Arial"/>
        </w:rPr>
        <w:t>COMPILER/CONTACT PERSONS:</w:t>
      </w:r>
      <w:r w:rsidR="00B51AE9" w:rsidRPr="00711767">
        <w:rPr>
          <w:rFonts w:ascii="Arial" w:hAnsi="Arial" w:cs="Arial"/>
        </w:rPr>
        <w:t xml:space="preserve"> </w:t>
      </w:r>
    </w:p>
    <w:p w:rsidR="00C3677B" w:rsidRPr="00711767" w:rsidRDefault="00CC27E4" w:rsidP="00711767">
      <w:pPr>
        <w:spacing w:line="360" w:lineRule="auto"/>
        <w:jc w:val="both"/>
        <w:rPr>
          <w:rFonts w:ascii="Arial" w:hAnsi="Arial" w:cs="Arial"/>
        </w:rPr>
      </w:pPr>
      <w:r w:rsidRPr="00711767">
        <w:rPr>
          <w:rFonts w:ascii="Arial" w:hAnsi="Arial" w:cs="Arial"/>
        </w:rPr>
        <w:t>EXT:</w:t>
      </w:r>
      <w:r w:rsidR="00B51AE9" w:rsidRPr="00711767">
        <w:rPr>
          <w:rFonts w:ascii="Arial" w:hAnsi="Arial" w:cs="Arial"/>
        </w:rPr>
        <w:t xml:space="preserve"> </w:t>
      </w:r>
    </w:p>
    <w:p w:rsidR="00C3677B" w:rsidRPr="00711767" w:rsidRDefault="00C3677B" w:rsidP="00711767">
      <w:pPr>
        <w:spacing w:line="360" w:lineRule="auto"/>
        <w:jc w:val="both"/>
        <w:rPr>
          <w:rFonts w:ascii="Arial" w:hAnsi="Arial" w:cs="Arial"/>
        </w:rPr>
      </w:pPr>
    </w:p>
    <w:p w:rsidR="000C3B00" w:rsidRPr="00711767" w:rsidRDefault="000C3B00" w:rsidP="00711767">
      <w:pPr>
        <w:spacing w:line="360" w:lineRule="auto"/>
        <w:jc w:val="both"/>
        <w:rPr>
          <w:rFonts w:ascii="Arial" w:hAnsi="Arial" w:cs="Arial"/>
        </w:rPr>
      </w:pPr>
    </w:p>
    <w:p w:rsidR="00C3677B" w:rsidRPr="00711767" w:rsidRDefault="00C3677B" w:rsidP="00711767">
      <w:pPr>
        <w:spacing w:line="360" w:lineRule="auto"/>
        <w:jc w:val="both"/>
        <w:rPr>
          <w:rFonts w:ascii="Arial" w:hAnsi="Arial" w:cs="Arial"/>
        </w:rPr>
      </w:pPr>
      <w:r w:rsidRPr="00711767">
        <w:rPr>
          <w:rFonts w:ascii="Arial" w:hAnsi="Arial" w:cs="Arial"/>
        </w:rPr>
        <w:t>DIRECTOR –</w:t>
      </w:r>
      <w:r w:rsidR="00DE6F6F" w:rsidRPr="00711767">
        <w:rPr>
          <w:rFonts w:ascii="Arial" w:hAnsi="Arial" w:cs="Arial"/>
        </w:rPr>
        <w:t xml:space="preserve"> </w:t>
      </w:r>
      <w:r w:rsidRPr="00711767">
        <w:rPr>
          <w:rFonts w:ascii="Arial" w:hAnsi="Arial" w:cs="Arial"/>
        </w:rPr>
        <w:t>GENERAL</w:t>
      </w:r>
    </w:p>
    <w:p w:rsidR="00C3677B" w:rsidRPr="00711767" w:rsidRDefault="00C3677B" w:rsidP="00711767">
      <w:pPr>
        <w:spacing w:line="360" w:lineRule="auto"/>
        <w:jc w:val="both"/>
        <w:rPr>
          <w:rFonts w:ascii="Arial" w:hAnsi="Arial" w:cs="Arial"/>
        </w:rPr>
      </w:pPr>
      <w:r w:rsidRPr="00711767">
        <w:rPr>
          <w:rFonts w:ascii="Arial" w:hAnsi="Arial" w:cs="Arial"/>
        </w:rPr>
        <w:t>STATUS:</w:t>
      </w:r>
    </w:p>
    <w:p w:rsidR="00C3677B" w:rsidRPr="00711767" w:rsidRDefault="00C3677B" w:rsidP="00711767">
      <w:pPr>
        <w:spacing w:line="360" w:lineRule="auto"/>
        <w:jc w:val="both"/>
        <w:rPr>
          <w:rFonts w:ascii="Arial" w:hAnsi="Arial" w:cs="Arial"/>
        </w:rPr>
      </w:pPr>
      <w:r w:rsidRPr="00711767">
        <w:rPr>
          <w:rFonts w:ascii="Arial" w:hAnsi="Arial" w:cs="Arial"/>
        </w:rPr>
        <w:t>DATE:</w:t>
      </w:r>
    </w:p>
    <w:p w:rsidR="004A7F0C" w:rsidRPr="00711767" w:rsidRDefault="004A7F0C" w:rsidP="00711767">
      <w:pPr>
        <w:spacing w:line="360" w:lineRule="auto"/>
        <w:jc w:val="both"/>
        <w:rPr>
          <w:rFonts w:ascii="Arial" w:hAnsi="Arial" w:cs="Arial"/>
        </w:rPr>
      </w:pPr>
    </w:p>
    <w:p w:rsidR="000C3B00" w:rsidRPr="00711767" w:rsidRDefault="000C3B00" w:rsidP="00711767">
      <w:pPr>
        <w:spacing w:line="360" w:lineRule="auto"/>
        <w:jc w:val="both"/>
        <w:rPr>
          <w:rFonts w:ascii="Arial" w:hAnsi="Arial" w:cs="Arial"/>
        </w:rPr>
      </w:pPr>
    </w:p>
    <w:p w:rsidR="00C3677B" w:rsidRPr="00711767" w:rsidRDefault="00C3677B" w:rsidP="00711767">
      <w:pPr>
        <w:spacing w:line="360" w:lineRule="auto"/>
        <w:jc w:val="both"/>
        <w:rPr>
          <w:rFonts w:ascii="Arial" w:hAnsi="Arial" w:cs="Arial"/>
        </w:rPr>
      </w:pPr>
      <w:r w:rsidRPr="00711767">
        <w:rPr>
          <w:rFonts w:ascii="Arial" w:hAnsi="Arial" w:cs="Arial"/>
        </w:rPr>
        <w:t xml:space="preserve">QUESTION </w:t>
      </w:r>
      <w:r w:rsidR="00F63256" w:rsidRPr="00711767">
        <w:rPr>
          <w:rFonts w:ascii="Arial" w:hAnsi="Arial" w:cs="Arial"/>
        </w:rPr>
        <w:t>1</w:t>
      </w:r>
      <w:r w:rsidR="00B61F70" w:rsidRPr="00711767">
        <w:rPr>
          <w:rFonts w:ascii="Arial" w:hAnsi="Arial" w:cs="Arial"/>
        </w:rPr>
        <w:t>629</w:t>
      </w:r>
      <w:r w:rsidR="005C6ED1" w:rsidRPr="00711767">
        <w:rPr>
          <w:rFonts w:ascii="Arial" w:hAnsi="Arial" w:cs="Arial"/>
        </w:rPr>
        <w:t xml:space="preserve"> </w:t>
      </w:r>
      <w:r w:rsidRPr="00711767">
        <w:rPr>
          <w:rFonts w:ascii="Arial" w:hAnsi="Arial" w:cs="Arial"/>
        </w:rPr>
        <w:t xml:space="preserve">APPROVED/NOT APPROVED/AMENDED </w:t>
      </w:r>
    </w:p>
    <w:p w:rsidR="004A7F0C" w:rsidRPr="00711767" w:rsidRDefault="004A7F0C" w:rsidP="00711767">
      <w:pPr>
        <w:spacing w:line="360" w:lineRule="auto"/>
        <w:jc w:val="both"/>
        <w:rPr>
          <w:rFonts w:ascii="Arial" w:hAnsi="Arial" w:cs="Arial"/>
        </w:rPr>
      </w:pPr>
    </w:p>
    <w:p w:rsidR="000C3B00" w:rsidRPr="00711767" w:rsidRDefault="000C3B00" w:rsidP="00711767">
      <w:pPr>
        <w:spacing w:line="360" w:lineRule="auto"/>
        <w:jc w:val="both"/>
        <w:rPr>
          <w:rFonts w:ascii="Arial" w:hAnsi="Arial" w:cs="Arial"/>
        </w:rPr>
      </w:pPr>
    </w:p>
    <w:p w:rsidR="000C3B00" w:rsidRPr="00711767" w:rsidRDefault="000C3B00" w:rsidP="00711767">
      <w:pPr>
        <w:spacing w:line="360" w:lineRule="auto"/>
        <w:jc w:val="both"/>
        <w:rPr>
          <w:rFonts w:ascii="Arial" w:hAnsi="Arial" w:cs="Arial"/>
        </w:rPr>
      </w:pPr>
    </w:p>
    <w:p w:rsidR="000C3B00" w:rsidRPr="00711767" w:rsidRDefault="000C3B00" w:rsidP="00711767">
      <w:pPr>
        <w:spacing w:line="360" w:lineRule="auto"/>
        <w:jc w:val="both"/>
        <w:rPr>
          <w:rFonts w:ascii="Arial" w:hAnsi="Arial" w:cs="Arial"/>
        </w:rPr>
      </w:pPr>
    </w:p>
    <w:p w:rsidR="00C3677B" w:rsidRPr="00711767" w:rsidRDefault="00C3677B" w:rsidP="00711767">
      <w:pPr>
        <w:spacing w:line="360" w:lineRule="auto"/>
        <w:jc w:val="both"/>
        <w:rPr>
          <w:rFonts w:ascii="Arial" w:hAnsi="Arial" w:cs="Arial"/>
        </w:rPr>
      </w:pPr>
      <w:r w:rsidRPr="00711767">
        <w:rPr>
          <w:rFonts w:ascii="Arial" w:hAnsi="Arial" w:cs="Arial"/>
        </w:rPr>
        <w:t>Dr B</w:t>
      </w:r>
      <w:r w:rsidR="000C3B00" w:rsidRPr="00711767">
        <w:rPr>
          <w:rFonts w:ascii="Arial" w:hAnsi="Arial" w:cs="Arial"/>
        </w:rPr>
        <w:t>E</w:t>
      </w:r>
      <w:r w:rsidRPr="00711767">
        <w:rPr>
          <w:rFonts w:ascii="Arial" w:hAnsi="Arial" w:cs="Arial"/>
        </w:rPr>
        <w:t xml:space="preserve"> NZIMANDE, MP</w:t>
      </w:r>
    </w:p>
    <w:p w:rsidR="00C3677B" w:rsidRPr="00711767" w:rsidRDefault="00C3677B" w:rsidP="00711767">
      <w:pPr>
        <w:spacing w:line="360" w:lineRule="auto"/>
        <w:jc w:val="both"/>
        <w:rPr>
          <w:rFonts w:ascii="Arial" w:hAnsi="Arial" w:cs="Arial"/>
        </w:rPr>
      </w:pPr>
      <w:r w:rsidRPr="00711767">
        <w:rPr>
          <w:rFonts w:ascii="Arial" w:hAnsi="Arial" w:cs="Arial"/>
        </w:rPr>
        <w:t>MINISTER OF HIGHER EDUCATION AND TRAINING</w:t>
      </w:r>
    </w:p>
    <w:p w:rsidR="00C3677B" w:rsidRPr="00711767" w:rsidRDefault="00C3677B" w:rsidP="00711767">
      <w:pPr>
        <w:spacing w:line="360" w:lineRule="auto"/>
        <w:jc w:val="both"/>
        <w:rPr>
          <w:rFonts w:ascii="Arial" w:hAnsi="Arial" w:cs="Arial"/>
        </w:rPr>
      </w:pPr>
      <w:r w:rsidRPr="00711767">
        <w:rPr>
          <w:rFonts w:ascii="Arial" w:hAnsi="Arial" w:cs="Arial"/>
        </w:rPr>
        <w:t>STATUS:</w:t>
      </w:r>
    </w:p>
    <w:p w:rsidR="00C3677B" w:rsidRPr="00711767" w:rsidRDefault="00C3677B" w:rsidP="00711767">
      <w:pPr>
        <w:spacing w:line="360" w:lineRule="auto"/>
        <w:jc w:val="both"/>
        <w:rPr>
          <w:rFonts w:ascii="Arial" w:hAnsi="Arial" w:cs="Arial"/>
        </w:rPr>
      </w:pPr>
      <w:r w:rsidRPr="00711767">
        <w:rPr>
          <w:rFonts w:ascii="Arial" w:hAnsi="Arial" w:cs="Arial"/>
        </w:rPr>
        <w:t>DATE:</w:t>
      </w:r>
    </w:p>
    <w:sectPr w:rsidR="00C3677B" w:rsidRPr="00711767"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6E6B"/>
    <w:multiLevelType w:val="hybridMultilevel"/>
    <w:tmpl w:val="9BC67C6A"/>
    <w:lvl w:ilvl="0" w:tplc="E5464D8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3F7282D"/>
    <w:multiLevelType w:val="hybridMultilevel"/>
    <w:tmpl w:val="23864A5E"/>
    <w:lvl w:ilvl="0" w:tplc="03088614">
      <w:start w:val="1"/>
      <w:numFmt w:val="lowerLetter"/>
      <w:lvlText w:val="(%1)"/>
      <w:lvlJc w:val="left"/>
      <w:pPr>
        <w:ind w:left="1241" w:hanging="3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ZA" w:vendorID="64" w:dllVersion="131078" w:nlCheck="1" w:checkStyle="1"/>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A57B9"/>
    <w:rsid w:val="000B620C"/>
    <w:rsid w:val="000B7F3D"/>
    <w:rsid w:val="000C3B00"/>
    <w:rsid w:val="000C558D"/>
    <w:rsid w:val="000C6949"/>
    <w:rsid w:val="000E58BD"/>
    <w:rsid w:val="000F2117"/>
    <w:rsid w:val="000F7AC3"/>
    <w:rsid w:val="00100FB2"/>
    <w:rsid w:val="00102241"/>
    <w:rsid w:val="0010402E"/>
    <w:rsid w:val="0010795D"/>
    <w:rsid w:val="001122DF"/>
    <w:rsid w:val="001124D5"/>
    <w:rsid w:val="00122F09"/>
    <w:rsid w:val="00125282"/>
    <w:rsid w:val="001256E4"/>
    <w:rsid w:val="00135E62"/>
    <w:rsid w:val="0014191A"/>
    <w:rsid w:val="00141CFF"/>
    <w:rsid w:val="001447C9"/>
    <w:rsid w:val="00147BA4"/>
    <w:rsid w:val="00151C1D"/>
    <w:rsid w:val="001527E6"/>
    <w:rsid w:val="0015436C"/>
    <w:rsid w:val="00160A31"/>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2788"/>
    <w:rsid w:val="001E36DF"/>
    <w:rsid w:val="001F4B7D"/>
    <w:rsid w:val="001F7966"/>
    <w:rsid w:val="00203DEF"/>
    <w:rsid w:val="0020779F"/>
    <w:rsid w:val="00215455"/>
    <w:rsid w:val="0021665A"/>
    <w:rsid w:val="00217678"/>
    <w:rsid w:val="0022116B"/>
    <w:rsid w:val="002264C4"/>
    <w:rsid w:val="00227702"/>
    <w:rsid w:val="0023412A"/>
    <w:rsid w:val="00242180"/>
    <w:rsid w:val="00245A6B"/>
    <w:rsid w:val="002474F7"/>
    <w:rsid w:val="002476A9"/>
    <w:rsid w:val="00256281"/>
    <w:rsid w:val="00264295"/>
    <w:rsid w:val="00265A26"/>
    <w:rsid w:val="00265A88"/>
    <w:rsid w:val="002670F8"/>
    <w:rsid w:val="00270825"/>
    <w:rsid w:val="002738E2"/>
    <w:rsid w:val="00274B28"/>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732E"/>
    <w:rsid w:val="003844CF"/>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E707D"/>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9F6"/>
    <w:rsid w:val="00492A36"/>
    <w:rsid w:val="004944AF"/>
    <w:rsid w:val="004965B4"/>
    <w:rsid w:val="004A7F0C"/>
    <w:rsid w:val="004B55CF"/>
    <w:rsid w:val="004B7E13"/>
    <w:rsid w:val="004C0B98"/>
    <w:rsid w:val="004C4F38"/>
    <w:rsid w:val="004C61A6"/>
    <w:rsid w:val="004D2BE1"/>
    <w:rsid w:val="004D74FD"/>
    <w:rsid w:val="004E0458"/>
    <w:rsid w:val="004E7607"/>
    <w:rsid w:val="004F37DA"/>
    <w:rsid w:val="004F3A69"/>
    <w:rsid w:val="00504B93"/>
    <w:rsid w:val="00506E45"/>
    <w:rsid w:val="005127E5"/>
    <w:rsid w:val="005223B8"/>
    <w:rsid w:val="005237E8"/>
    <w:rsid w:val="0053292C"/>
    <w:rsid w:val="00544C9F"/>
    <w:rsid w:val="00552E00"/>
    <w:rsid w:val="005577D9"/>
    <w:rsid w:val="00561493"/>
    <w:rsid w:val="00571740"/>
    <w:rsid w:val="00571C3F"/>
    <w:rsid w:val="00574DBC"/>
    <w:rsid w:val="00580D42"/>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6E94"/>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1767"/>
    <w:rsid w:val="007141FA"/>
    <w:rsid w:val="00714E5D"/>
    <w:rsid w:val="00714E82"/>
    <w:rsid w:val="0071591A"/>
    <w:rsid w:val="00716487"/>
    <w:rsid w:val="00717ECA"/>
    <w:rsid w:val="00730B8E"/>
    <w:rsid w:val="00736643"/>
    <w:rsid w:val="00740B88"/>
    <w:rsid w:val="0075140E"/>
    <w:rsid w:val="00752D39"/>
    <w:rsid w:val="0075414E"/>
    <w:rsid w:val="00754F3E"/>
    <w:rsid w:val="0075646D"/>
    <w:rsid w:val="00763A07"/>
    <w:rsid w:val="00765683"/>
    <w:rsid w:val="00766ABE"/>
    <w:rsid w:val="00766ADD"/>
    <w:rsid w:val="00770DA0"/>
    <w:rsid w:val="007775FD"/>
    <w:rsid w:val="007810CD"/>
    <w:rsid w:val="00781F6C"/>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7715"/>
    <w:rsid w:val="00810FD4"/>
    <w:rsid w:val="00812391"/>
    <w:rsid w:val="008135B9"/>
    <w:rsid w:val="00814A91"/>
    <w:rsid w:val="00814FBE"/>
    <w:rsid w:val="008255C2"/>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2DE8"/>
    <w:rsid w:val="009849D9"/>
    <w:rsid w:val="009943BE"/>
    <w:rsid w:val="009954C4"/>
    <w:rsid w:val="009A0102"/>
    <w:rsid w:val="009A0326"/>
    <w:rsid w:val="009A0F27"/>
    <w:rsid w:val="009A4385"/>
    <w:rsid w:val="009B0E09"/>
    <w:rsid w:val="009B2770"/>
    <w:rsid w:val="009B29A6"/>
    <w:rsid w:val="009B4543"/>
    <w:rsid w:val="009C017F"/>
    <w:rsid w:val="009C1C15"/>
    <w:rsid w:val="009C4DFB"/>
    <w:rsid w:val="009D010F"/>
    <w:rsid w:val="009D0817"/>
    <w:rsid w:val="009D2D88"/>
    <w:rsid w:val="009D3C33"/>
    <w:rsid w:val="009D3C62"/>
    <w:rsid w:val="009D696B"/>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44EC6"/>
    <w:rsid w:val="00A450BC"/>
    <w:rsid w:val="00A51526"/>
    <w:rsid w:val="00A54620"/>
    <w:rsid w:val="00A55D7A"/>
    <w:rsid w:val="00A667C5"/>
    <w:rsid w:val="00A6736B"/>
    <w:rsid w:val="00A738A8"/>
    <w:rsid w:val="00A8120A"/>
    <w:rsid w:val="00A859B7"/>
    <w:rsid w:val="00A909F3"/>
    <w:rsid w:val="00A94B99"/>
    <w:rsid w:val="00A9633F"/>
    <w:rsid w:val="00A969C9"/>
    <w:rsid w:val="00AA246C"/>
    <w:rsid w:val="00AA3944"/>
    <w:rsid w:val="00AB01C3"/>
    <w:rsid w:val="00AB0621"/>
    <w:rsid w:val="00AC5B0F"/>
    <w:rsid w:val="00AD7365"/>
    <w:rsid w:val="00AE0682"/>
    <w:rsid w:val="00AE3241"/>
    <w:rsid w:val="00AE42CB"/>
    <w:rsid w:val="00AE7CF5"/>
    <w:rsid w:val="00AF2779"/>
    <w:rsid w:val="00AF4993"/>
    <w:rsid w:val="00AF776A"/>
    <w:rsid w:val="00B06FCC"/>
    <w:rsid w:val="00B122E9"/>
    <w:rsid w:val="00B12389"/>
    <w:rsid w:val="00B13598"/>
    <w:rsid w:val="00B16C29"/>
    <w:rsid w:val="00B20AA2"/>
    <w:rsid w:val="00B27B17"/>
    <w:rsid w:val="00B32FD8"/>
    <w:rsid w:val="00B4178D"/>
    <w:rsid w:val="00B42D63"/>
    <w:rsid w:val="00B43DD3"/>
    <w:rsid w:val="00B47CF4"/>
    <w:rsid w:val="00B50B04"/>
    <w:rsid w:val="00B51AE9"/>
    <w:rsid w:val="00B61F70"/>
    <w:rsid w:val="00B659EA"/>
    <w:rsid w:val="00B65EC5"/>
    <w:rsid w:val="00B757E2"/>
    <w:rsid w:val="00B8067B"/>
    <w:rsid w:val="00B8159C"/>
    <w:rsid w:val="00B8505E"/>
    <w:rsid w:val="00B9731E"/>
    <w:rsid w:val="00BB2B7E"/>
    <w:rsid w:val="00BB7024"/>
    <w:rsid w:val="00BC272D"/>
    <w:rsid w:val="00BC6170"/>
    <w:rsid w:val="00BD032F"/>
    <w:rsid w:val="00BD057C"/>
    <w:rsid w:val="00BD5A93"/>
    <w:rsid w:val="00BE1AAF"/>
    <w:rsid w:val="00BE2524"/>
    <w:rsid w:val="00BE2F66"/>
    <w:rsid w:val="00C07223"/>
    <w:rsid w:val="00C15AF7"/>
    <w:rsid w:val="00C20C70"/>
    <w:rsid w:val="00C31C40"/>
    <w:rsid w:val="00C32FB4"/>
    <w:rsid w:val="00C357BA"/>
    <w:rsid w:val="00C3677B"/>
    <w:rsid w:val="00C42323"/>
    <w:rsid w:val="00C441E6"/>
    <w:rsid w:val="00C45FBD"/>
    <w:rsid w:val="00C50064"/>
    <w:rsid w:val="00C5638F"/>
    <w:rsid w:val="00C5785E"/>
    <w:rsid w:val="00C57F99"/>
    <w:rsid w:val="00C61E5B"/>
    <w:rsid w:val="00C62B07"/>
    <w:rsid w:val="00C63A62"/>
    <w:rsid w:val="00C654A2"/>
    <w:rsid w:val="00C669B6"/>
    <w:rsid w:val="00C670E6"/>
    <w:rsid w:val="00C72AC2"/>
    <w:rsid w:val="00C73D89"/>
    <w:rsid w:val="00C8195A"/>
    <w:rsid w:val="00C82A4E"/>
    <w:rsid w:val="00C83965"/>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674"/>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360EA"/>
    <w:rsid w:val="00E41378"/>
    <w:rsid w:val="00E4274D"/>
    <w:rsid w:val="00E47EF7"/>
    <w:rsid w:val="00E50312"/>
    <w:rsid w:val="00E50360"/>
    <w:rsid w:val="00E550F0"/>
    <w:rsid w:val="00E56C21"/>
    <w:rsid w:val="00E601E4"/>
    <w:rsid w:val="00E67736"/>
    <w:rsid w:val="00E730D5"/>
    <w:rsid w:val="00E7334C"/>
    <w:rsid w:val="00E73AA7"/>
    <w:rsid w:val="00E7405F"/>
    <w:rsid w:val="00E838AF"/>
    <w:rsid w:val="00E84848"/>
    <w:rsid w:val="00E91847"/>
    <w:rsid w:val="00E9261A"/>
    <w:rsid w:val="00E933DE"/>
    <w:rsid w:val="00EA2661"/>
    <w:rsid w:val="00EA2B3A"/>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6A57"/>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C4C95"/>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D84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8856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234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C5B1-30DE-452E-9BC0-A6028BF6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2017-07-05T09:21:00Z</dcterms:created>
  <dcterms:modified xsi:type="dcterms:W3CDTF">2017-07-05T09:21:00Z</dcterms:modified>
</cp:coreProperties>
</file>