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465EF">
        <w:rPr>
          <w:b/>
          <w:bCs/>
          <w:sz w:val="24"/>
          <w:u w:val="single"/>
        </w:rPr>
        <w:t>162</w:t>
      </w:r>
      <w:r w:rsidR="00B3377E">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65EF">
        <w:rPr>
          <w:b/>
          <w:bCs/>
          <w:sz w:val="24"/>
          <w:u w:val="single"/>
        </w:rPr>
        <w:t>25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465EF">
        <w:rPr>
          <w:b/>
          <w:bCs/>
          <w:sz w:val="24"/>
          <w:u w:val="single"/>
        </w:rPr>
        <w:t>18</w:t>
      </w:r>
      <w:r w:rsidRPr="00294557">
        <w:rPr>
          <w:b/>
          <w:bCs/>
          <w:sz w:val="24"/>
          <w:u w:val="single"/>
        </w:rPr>
        <w:t>)</w:t>
      </w:r>
    </w:p>
    <w:p w:rsidR="00B3377E" w:rsidRPr="00B3377E" w:rsidRDefault="00B3377E" w:rsidP="00B3377E">
      <w:pPr>
        <w:spacing w:before="100" w:beforeAutospacing="1" w:after="100" w:afterAutospacing="1"/>
        <w:ind w:left="720" w:hanging="720"/>
        <w:jc w:val="both"/>
        <w:outlineLvl w:val="0"/>
        <w:rPr>
          <w:b/>
          <w:sz w:val="24"/>
          <w:u w:val="single"/>
        </w:rPr>
      </w:pPr>
      <w:r w:rsidRPr="00B3377E">
        <w:rPr>
          <w:b/>
          <w:sz w:val="24"/>
          <w:u w:val="single"/>
        </w:rPr>
        <w:t>Ms S P Kopane (DA) to ask the Minister of Health:</w:t>
      </w:r>
    </w:p>
    <w:p w:rsidR="00B3377E" w:rsidRPr="00B3377E" w:rsidRDefault="00B3377E" w:rsidP="00B3377E">
      <w:pPr>
        <w:spacing w:before="100" w:beforeAutospacing="1" w:after="100" w:afterAutospacing="1"/>
        <w:ind w:left="709" w:hanging="720"/>
        <w:jc w:val="both"/>
        <w:rPr>
          <w:sz w:val="24"/>
        </w:rPr>
      </w:pPr>
      <w:r w:rsidRPr="00B3377E">
        <w:rPr>
          <w:sz w:val="24"/>
        </w:rPr>
        <w:t>(1)</w:t>
      </w:r>
      <w:r w:rsidRPr="00B3377E">
        <w:rPr>
          <w:sz w:val="24"/>
        </w:rPr>
        <w:tab/>
        <w:t>What (a)(i) are the details of the methodology used by his department to assess the 3 400 public healthcare facilities to determine their functionality, (ii) is the total number of assessors who were involved, (b) criteria were used to identify each facility and (c) are the details of the outcome of the assessment;</w:t>
      </w:r>
    </w:p>
    <w:p w:rsidR="00786C98" w:rsidRPr="00B3377E" w:rsidRDefault="00B3377E" w:rsidP="00B3377E">
      <w:pPr>
        <w:pBdr>
          <w:top w:val="nil"/>
          <w:left w:val="nil"/>
          <w:bottom w:val="nil"/>
          <w:right w:val="nil"/>
          <w:between w:val="nil"/>
        </w:pBdr>
        <w:spacing w:before="100" w:beforeAutospacing="1" w:after="100" w:afterAutospacing="1"/>
        <w:jc w:val="both"/>
        <w:rPr>
          <w:sz w:val="24"/>
        </w:rPr>
      </w:pPr>
      <w:r w:rsidRPr="00B3377E">
        <w:rPr>
          <w:sz w:val="24"/>
        </w:rPr>
        <w:t>(2)</w:t>
      </w:r>
      <w:r w:rsidRPr="00B3377E">
        <w:rPr>
          <w:sz w:val="24"/>
        </w:rPr>
        <w:tab/>
        <w:t xml:space="preserve">whether any consultants were used to conduct the assessment; if not, why not; if so, </w:t>
      </w:r>
      <w:r>
        <w:rPr>
          <w:sz w:val="24"/>
        </w:rPr>
        <w:tab/>
      </w:r>
      <w:r w:rsidRPr="00B3377E">
        <w:rPr>
          <w:sz w:val="24"/>
        </w:rPr>
        <w:t>wha</w:t>
      </w:r>
      <w:r>
        <w:rPr>
          <w:sz w:val="24"/>
        </w:rPr>
        <w:t>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465EF">
        <w:rPr>
          <w:color w:val="000000"/>
        </w:rPr>
        <w:t>177</w:t>
      </w:r>
      <w:r w:rsidR="00B3377E">
        <w:rPr>
          <w:color w:val="000000"/>
        </w:rPr>
        <w:t>2</w:t>
      </w:r>
      <w:r w:rsidR="00590E40">
        <w:rPr>
          <w:color w:val="000000"/>
        </w:rPr>
        <w:t>E</w:t>
      </w:r>
      <w:r w:rsidR="00E238C2">
        <w:rPr>
          <w:color w:val="000000"/>
          <w:szCs w:val="20"/>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F8478A" w:rsidRPr="008743D4" w:rsidRDefault="00F8478A" w:rsidP="008743D4">
      <w:pPr>
        <w:rPr>
          <w:b/>
          <w:bCs/>
          <w:sz w:val="24"/>
          <w:u w:val="single"/>
          <w:lang w:val="en-US"/>
        </w:rPr>
      </w:pPr>
    </w:p>
    <w:p w:rsidR="00F8478A" w:rsidRPr="00F8478A" w:rsidRDefault="00F8478A" w:rsidP="00F8478A">
      <w:pPr>
        <w:pStyle w:val="ListParagraph"/>
        <w:widowControl w:val="0"/>
        <w:numPr>
          <w:ilvl w:val="0"/>
          <w:numId w:val="49"/>
        </w:numPr>
        <w:tabs>
          <w:tab w:val="left" w:pos="720"/>
          <w:tab w:val="left" w:pos="1440"/>
          <w:tab w:val="left" w:pos="2160"/>
        </w:tabs>
        <w:autoSpaceDE w:val="0"/>
        <w:autoSpaceDN w:val="0"/>
        <w:adjustRightInd w:val="0"/>
        <w:spacing w:after="240"/>
        <w:ind w:left="2160" w:hanging="2160"/>
        <w:jc w:val="both"/>
        <w:rPr>
          <w:sz w:val="24"/>
          <w:lang w:val="en-ZA"/>
        </w:rPr>
      </w:pPr>
      <w:r w:rsidRPr="00F8478A">
        <w:rPr>
          <w:sz w:val="24"/>
          <w:lang w:val="en-ZA"/>
        </w:rPr>
        <w:t xml:space="preserve">(a) </w:t>
      </w:r>
      <w:r>
        <w:rPr>
          <w:sz w:val="24"/>
          <w:lang w:val="en-ZA"/>
        </w:rPr>
        <w:tab/>
      </w:r>
      <w:r w:rsidRPr="00F8478A">
        <w:rPr>
          <w:sz w:val="24"/>
          <w:lang w:val="en-ZA"/>
        </w:rPr>
        <w:t>(i)</w:t>
      </w:r>
      <w:r w:rsidRPr="00F8478A">
        <w:rPr>
          <w:sz w:val="24"/>
          <w:lang w:val="en-ZA"/>
        </w:rPr>
        <w:tab/>
        <w:t xml:space="preserve">The functionality of the 3480 public health facilities are assessed using the Ideal Clinic Realisation and Maintenance Tool developed by the department of health </w:t>
      </w:r>
      <w:r w:rsidRPr="00F8478A">
        <w:rPr>
          <w:sz w:val="24"/>
          <w:lang w:val="en-ZA"/>
        </w:rPr>
        <w:tab/>
        <w:t xml:space="preserve">as part of the Operation Phakisa Ideal Clinic Laboratory. </w:t>
      </w:r>
      <w:r w:rsidRPr="00F8478A">
        <w:rPr>
          <w:sz w:val="24"/>
        </w:rPr>
        <w:t xml:space="preserve">In preparation for the introduction of National Health Insurance (NHI), the Ideal Clinic programme is setting in place a systematic approach to transform all PHC facilities to meet national standards when inspected by the Office of Health Standards Compliance (OHSC). </w:t>
      </w:r>
      <w:r w:rsidRPr="00F8478A">
        <w:rPr>
          <w:sz w:val="24"/>
          <w:lang w:val="en-ZA"/>
        </w:rPr>
        <w:t xml:space="preserve"> </w:t>
      </w:r>
      <w:r w:rsidRPr="00F8478A">
        <w:rPr>
          <w:sz w:val="24"/>
        </w:rPr>
        <w:t>The National Health Amendment Act (12 of 2013) mandates the OHSC to protect and promote the health and safety of health service users through monitoring and enforcing compliance with prescribed norms and standards</w:t>
      </w:r>
      <w:r w:rsidRPr="00F8478A">
        <w:rPr>
          <w:rStyle w:val="EndnoteReference"/>
          <w:sz w:val="24"/>
        </w:rPr>
        <w:endnoteReference w:id="2"/>
      </w:r>
      <w:r w:rsidRPr="00F8478A">
        <w:rPr>
          <w:sz w:val="24"/>
        </w:rPr>
        <w:t>. The Ideal Clinic programme is the NDoH’s internal mechanism for ensuring PHC facilities’ compliance with these norms and standards in order to satisfy the needs of South African communities.</w:t>
      </w:r>
    </w:p>
    <w:p w:rsidR="00F8478A" w:rsidRDefault="00F8478A" w:rsidP="00F8478A">
      <w:pPr>
        <w:widowControl w:val="0"/>
        <w:autoSpaceDE w:val="0"/>
        <w:autoSpaceDN w:val="0"/>
        <w:adjustRightInd w:val="0"/>
        <w:spacing w:after="240"/>
        <w:ind w:left="2160"/>
        <w:jc w:val="both"/>
        <w:rPr>
          <w:position w:val="8"/>
        </w:rPr>
      </w:pPr>
      <w:r w:rsidRPr="00F8478A">
        <w:rPr>
          <w:position w:val="8"/>
          <w:sz w:val="24"/>
        </w:rPr>
        <w:t xml:space="preserve">A dashboard, using the standard traffic-light colours, was developed. The figure below depicts the arrangement of 32 sub-components under 10 components. The 32 sub-components are further subdivided into 206 elements. The number of elements change on an annual basis as the national team receive feedback from clinical staff and managers on clinic and district level about how to improve the framework. Elements are assigned a green colour when they are fully functional, an orange colour if they are partially functional and corrective actions are under way, and a red colour if the element is absent or non-functional. </w:t>
      </w:r>
    </w:p>
    <w:p w:rsidR="00F8478A" w:rsidRPr="00666197" w:rsidRDefault="00F8478A" w:rsidP="00F8478A">
      <w:pPr>
        <w:pStyle w:val="ListParagraph"/>
        <w:spacing w:before="100" w:beforeAutospacing="1" w:after="100" w:afterAutospacing="1" w:line="276" w:lineRule="auto"/>
        <w:ind w:left="0"/>
        <w:jc w:val="both"/>
        <w:rPr>
          <w:b/>
        </w:rPr>
      </w:pPr>
    </w:p>
    <w:p w:rsidR="00F8478A" w:rsidRDefault="00F8478A" w:rsidP="00F8478A">
      <w:pPr>
        <w:pStyle w:val="ListParagraph"/>
        <w:spacing w:before="100" w:beforeAutospacing="1" w:after="100" w:afterAutospacing="1" w:line="276" w:lineRule="auto"/>
        <w:ind w:left="0"/>
        <w:jc w:val="both"/>
        <w:rPr>
          <w:b/>
        </w:rPr>
      </w:pPr>
    </w:p>
    <w:p w:rsidR="00F8478A" w:rsidRDefault="00F8478A" w:rsidP="00F8478A">
      <w:pPr>
        <w:pStyle w:val="ListParagraph"/>
        <w:spacing w:before="100" w:beforeAutospacing="1" w:after="100" w:afterAutospacing="1" w:line="276" w:lineRule="auto"/>
        <w:ind w:left="0"/>
        <w:jc w:val="both"/>
        <w:rPr>
          <w:b/>
        </w:rPr>
      </w:pPr>
      <w:r w:rsidRPr="003B64DA">
        <w:rPr>
          <w:b/>
          <w:noProof/>
        </w:rPr>
        <w:lastRenderedPageBreak/>
        <w:drawing>
          <wp:inline distT="0" distB="0" distL="0" distR="0">
            <wp:extent cx="5943600" cy="412559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srcRect/>
                    <a:stretch>
                      <a:fillRect/>
                    </a:stretch>
                  </pic:blipFill>
                  <pic:spPr bwMode="auto">
                    <a:xfrm>
                      <a:off x="0" y="0"/>
                      <a:ext cx="5943600" cy="4125595"/>
                    </a:xfrm>
                    <a:prstGeom prst="rect">
                      <a:avLst/>
                    </a:prstGeom>
                    <a:noFill/>
                    <a:ln w="9525">
                      <a:noFill/>
                      <a:miter lim="800000"/>
                      <a:headEnd/>
                      <a:tailEnd/>
                    </a:ln>
                  </pic:spPr>
                </pic:pic>
              </a:graphicData>
            </a:graphic>
          </wp:inline>
        </w:drawing>
      </w:r>
    </w:p>
    <w:p w:rsidR="00F8478A" w:rsidRDefault="00F8478A" w:rsidP="00F8478A">
      <w:pPr>
        <w:pStyle w:val="ListParagraph"/>
        <w:spacing w:before="100" w:beforeAutospacing="1" w:after="100" w:afterAutospacing="1" w:line="276" w:lineRule="auto"/>
        <w:ind w:left="0"/>
        <w:jc w:val="both"/>
        <w:rPr>
          <w:b/>
        </w:rPr>
      </w:pPr>
      <w:r>
        <w:rPr>
          <w:b/>
        </w:rPr>
        <w:t xml:space="preserve">                                                                                       </w:t>
      </w:r>
      <w:r w:rsidRPr="00666197">
        <w:rPr>
          <w:b/>
          <w:noProof/>
        </w:rPr>
        <w:drawing>
          <wp:inline distT="0" distB="0" distL="0" distR="0">
            <wp:extent cx="2256317" cy="60605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28392" cy="923330"/>
                      <a:chOff x="5076056" y="5445224"/>
                      <a:chExt cx="3528392" cy="923330"/>
                    </a:xfrm>
                  </a:grpSpPr>
                  <a:sp>
                    <a:nvSpPr>
                      <a:cNvPr id="5" name="TextBox 4"/>
                      <a:cNvSpPr txBox="1"/>
                    </a:nvSpPr>
                    <a:spPr>
                      <a:xfrm>
                        <a:off x="5076056" y="5445224"/>
                        <a:ext cx="3528392" cy="923330"/>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b="1" dirty="0"/>
                            <a:t>10     Components</a:t>
                          </a:r>
                        </a:p>
                        <a:p>
                          <a:r>
                            <a:rPr lang="en-US" b="1" dirty="0"/>
                            <a:t>32     Sub components</a:t>
                          </a:r>
                        </a:p>
                        <a:p>
                          <a:r>
                            <a:rPr lang="en-US" b="1" dirty="0"/>
                            <a:t>206   Elements</a:t>
                          </a: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F8478A" w:rsidRDefault="00F8478A" w:rsidP="00F8478A">
      <w:pPr>
        <w:pStyle w:val="ListParagraph"/>
        <w:spacing w:before="100" w:beforeAutospacing="1" w:after="100" w:afterAutospacing="1" w:line="276" w:lineRule="auto"/>
        <w:ind w:left="0"/>
        <w:jc w:val="both"/>
        <w:rPr>
          <w:b/>
        </w:rPr>
      </w:pPr>
    </w:p>
    <w:p w:rsidR="00F8478A" w:rsidRDefault="00F8478A" w:rsidP="00F8478A">
      <w:pPr>
        <w:pStyle w:val="ListParagraph"/>
        <w:spacing w:before="100" w:beforeAutospacing="1" w:after="100" w:afterAutospacing="1" w:line="276" w:lineRule="auto"/>
        <w:ind w:left="0"/>
        <w:jc w:val="both"/>
        <w:rPr>
          <w:b/>
        </w:rPr>
      </w:pPr>
    </w:p>
    <w:p w:rsidR="00F8478A" w:rsidRDefault="00F8478A" w:rsidP="00F8478A">
      <w:pPr>
        <w:pStyle w:val="ListParagraph"/>
        <w:spacing w:before="100" w:beforeAutospacing="1" w:after="100" w:afterAutospacing="1" w:line="276" w:lineRule="auto"/>
        <w:ind w:left="0"/>
        <w:jc w:val="both"/>
      </w:pPr>
    </w:p>
    <w:p w:rsidR="00F8478A" w:rsidRDefault="00F8478A" w:rsidP="00F8478A">
      <w:pPr>
        <w:pStyle w:val="ListParagraph"/>
        <w:spacing w:before="100" w:beforeAutospacing="1" w:after="100" w:afterAutospacing="1" w:line="276" w:lineRule="auto"/>
        <w:ind w:left="0"/>
        <w:jc w:val="both"/>
      </w:pPr>
    </w:p>
    <w:p w:rsidR="00F8478A" w:rsidRDefault="00F8478A" w:rsidP="00F8478A">
      <w:pPr>
        <w:pStyle w:val="ListParagraph"/>
        <w:spacing w:before="100" w:beforeAutospacing="1" w:after="100" w:afterAutospacing="1" w:line="276" w:lineRule="auto"/>
        <w:ind w:left="0"/>
        <w:jc w:val="both"/>
      </w:pPr>
    </w:p>
    <w:p w:rsidR="00F8478A" w:rsidRDefault="00F8478A" w:rsidP="00F8478A">
      <w:pPr>
        <w:pStyle w:val="ListParagraph"/>
        <w:spacing w:before="100" w:beforeAutospacing="1" w:after="100" w:afterAutospacing="1" w:line="276" w:lineRule="auto"/>
        <w:ind w:left="0"/>
        <w:jc w:val="both"/>
      </w:pPr>
    </w:p>
    <w:p w:rsidR="00F8478A" w:rsidRDefault="00F8478A" w:rsidP="00F8478A">
      <w:pPr>
        <w:pStyle w:val="ListParagraph"/>
        <w:spacing w:before="100" w:beforeAutospacing="1" w:after="100" w:afterAutospacing="1" w:line="276" w:lineRule="auto"/>
        <w:ind w:left="0"/>
        <w:jc w:val="both"/>
      </w:pPr>
      <w:r w:rsidRPr="004972E0">
        <w:t xml:space="preserve">The elements are </w:t>
      </w:r>
      <w:r>
        <w:t>assigned a vital, essential or important weight in line with the definitions below.</w:t>
      </w:r>
    </w:p>
    <w:p w:rsidR="00F8478A" w:rsidRDefault="00F8478A" w:rsidP="00F8478A">
      <w:pPr>
        <w:pStyle w:val="ListParagraph"/>
        <w:spacing w:before="100" w:beforeAutospacing="1" w:after="100" w:afterAutospacing="1" w:line="276" w:lineRule="auto"/>
        <w:ind w:left="0"/>
        <w:jc w:val="both"/>
      </w:pPr>
    </w:p>
    <w:p w:rsidR="00F8478A" w:rsidRDefault="00F8478A" w:rsidP="00F8478A">
      <w:pPr>
        <w:pStyle w:val="ListParagraph"/>
        <w:spacing w:before="100" w:beforeAutospacing="1" w:after="100" w:afterAutospacing="1" w:line="276" w:lineRule="auto"/>
        <w:ind w:left="0"/>
        <w:jc w:val="both"/>
      </w:pPr>
      <w:r w:rsidRPr="00233950">
        <w:rPr>
          <w:noProof/>
        </w:rPr>
        <w:lastRenderedPageBreak/>
        <w:drawing>
          <wp:inline distT="0" distB="0" distL="0" distR="0">
            <wp:extent cx="5850122" cy="5730949"/>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97719" cy="5733256"/>
                      <a:chOff x="5220071" y="1124744"/>
                      <a:chExt cx="3897719" cy="5733256"/>
                    </a:xfrm>
                  </a:grpSpPr>
                  <a:sp>
                    <a:nvSpPr>
                      <a:cNvPr id="2" name="Text Box 139"/>
                      <a:cNvSpPr txBox="1">
                        <a:spLocks/>
                      </a:cNvSpPr>
                    </a:nvSpPr>
                    <a:spPr>
                      <a:xfrm>
                        <a:off x="5220071" y="1124744"/>
                        <a:ext cx="3897719" cy="5733256"/>
                      </a:xfrm>
                      <a:prstGeom prst="rect">
                        <a:avLst/>
                      </a:prstGeom>
                      <a:solidFill>
                        <a:schemeClr val="bg1"/>
                      </a:solid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a:ext>
                      </a:extLst>
                    </a:spPr>
                    <a:txSp>
                      <a:txBody>
                        <a:bodyPr rot="0" spcFirstLastPara="0" vert="horz" wrap="square" lIns="91440" tIns="45720" rIns="9144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algn="just">
                            <a:lnSpc>
                              <a:spcPct val="115000"/>
                            </a:lnSpc>
                            <a:spcBef>
                              <a:spcPts val="0"/>
                            </a:spcBef>
                            <a:spcAft>
                              <a:spcPts val="0"/>
                            </a:spcAft>
                          </a:pPr>
                          <a:r>
                            <a:rPr lang="en-ZA" sz="1600" b="1" dirty="0">
                              <a:solidFill>
                                <a:srgbClr val="000000"/>
                              </a:solidFill>
                              <a:effectLst/>
                              <a:latin typeface="Arial" charset="0"/>
                              <a:ea typeface="Times New Roman" charset="0"/>
                              <a:cs typeface="Times New Roman" charset="0"/>
                            </a:rPr>
                            <a:t>Vital</a:t>
                          </a:r>
                          <a:endParaRPr lang="en-US" sz="1600" dirty="0">
                            <a:effectLst/>
                            <a:ea typeface="Calibri" charset="0"/>
                            <a:cs typeface="Times New Roman" charset="0"/>
                          </a:endParaRPr>
                        </a:p>
                        <a:p>
                          <a:pPr marL="0" marR="0" algn="just">
                            <a:lnSpc>
                              <a:spcPct val="115000"/>
                            </a:lnSpc>
                            <a:spcBef>
                              <a:spcPts val="0"/>
                            </a:spcBef>
                            <a:spcAft>
                              <a:spcPts val="0"/>
                            </a:spcAft>
                          </a:pPr>
                          <a:r>
                            <a:rPr lang="en-ZA" sz="1400" dirty="0">
                              <a:solidFill>
                                <a:srgbClr val="000000"/>
                              </a:solidFill>
                              <a:effectLst/>
                              <a:latin typeface="Arial" charset="0"/>
                              <a:ea typeface="Times New Roman" charset="0"/>
                              <a:cs typeface="Times New Roman" charset="0"/>
                            </a:rPr>
                            <a:t>Extremely important (vital) elements that require immediate and full correction. These are elements that </a:t>
                          </a:r>
                          <a:r>
                            <a:rPr lang="en-ZA" sz="1400" i="1" dirty="0">
                              <a:solidFill>
                                <a:srgbClr val="000000"/>
                              </a:solidFill>
                              <a:effectLst/>
                              <a:latin typeface="Arial" charset="0"/>
                              <a:ea typeface="Times New Roman" charset="0"/>
                              <a:cs typeface="Times New Roman" charset="0"/>
                            </a:rPr>
                            <a:t>affect direct service delivery and clinical care to patients and they may have immediate and long-term adverse effects on the health of the population. </a:t>
                          </a:r>
                          <a:endParaRPr lang="en-US" sz="1400" i="1" dirty="0">
                            <a:effectLst/>
                            <a:ea typeface="Calibri" charset="0"/>
                            <a:cs typeface="Times New Roman" charset="0"/>
                          </a:endParaRPr>
                        </a:p>
                        <a:p>
                          <a:pPr marL="0" marR="0" algn="just">
                            <a:lnSpc>
                              <a:spcPct val="115000"/>
                            </a:lnSpc>
                            <a:spcBef>
                              <a:spcPts val="0"/>
                            </a:spcBef>
                            <a:spcAft>
                              <a:spcPts val="0"/>
                            </a:spcAft>
                          </a:pPr>
                          <a:r>
                            <a:rPr lang="en-ZA" sz="1600" dirty="0">
                              <a:solidFill>
                                <a:srgbClr val="000000"/>
                              </a:solidFill>
                              <a:effectLst/>
                              <a:latin typeface="Arial" charset="0"/>
                              <a:ea typeface="Times New Roman" charset="0"/>
                              <a:cs typeface="Times New Roman" charset="0"/>
                            </a:rPr>
                            <a:t> </a:t>
                          </a:r>
                          <a:endParaRPr lang="en-US" sz="1600" dirty="0">
                            <a:effectLst/>
                            <a:ea typeface="Calibri" charset="0"/>
                            <a:cs typeface="Times New Roman" charset="0"/>
                          </a:endParaRPr>
                        </a:p>
                        <a:p>
                          <a:pPr marL="0" marR="0" algn="just">
                            <a:lnSpc>
                              <a:spcPct val="115000"/>
                            </a:lnSpc>
                            <a:spcBef>
                              <a:spcPts val="0"/>
                            </a:spcBef>
                            <a:spcAft>
                              <a:spcPts val="0"/>
                            </a:spcAft>
                          </a:pPr>
                          <a:r>
                            <a:rPr lang="en-ZA" sz="1600" b="1" dirty="0">
                              <a:solidFill>
                                <a:srgbClr val="000000"/>
                              </a:solidFill>
                              <a:effectLst/>
                              <a:latin typeface="Arial" charset="0"/>
                              <a:ea typeface="Times New Roman" charset="0"/>
                              <a:cs typeface="Times New Roman" charset="0"/>
                            </a:rPr>
                            <a:t>Essential</a:t>
                          </a:r>
                          <a:endParaRPr lang="en-US" sz="1600" dirty="0">
                            <a:effectLst/>
                            <a:ea typeface="Calibri" charset="0"/>
                            <a:cs typeface="Times New Roman" charset="0"/>
                          </a:endParaRPr>
                        </a:p>
                        <a:p>
                          <a:pPr marL="0" marR="0" algn="just">
                            <a:lnSpc>
                              <a:spcPct val="115000"/>
                            </a:lnSpc>
                            <a:spcBef>
                              <a:spcPts val="0"/>
                            </a:spcBef>
                            <a:spcAft>
                              <a:spcPts val="0"/>
                            </a:spcAft>
                          </a:pPr>
                          <a:r>
                            <a:rPr lang="en-ZA" sz="1400" dirty="0">
                              <a:solidFill>
                                <a:srgbClr val="000000"/>
                              </a:solidFill>
                              <a:effectLst/>
                              <a:latin typeface="Arial" charset="0"/>
                              <a:ea typeface="Times New Roman" charset="0"/>
                              <a:cs typeface="Times New Roman" charset="0"/>
                            </a:rPr>
                            <a:t>Very necessary (essential) elements that require resolution within a given time period. These are process and structural elements that </a:t>
                          </a:r>
                          <a:r>
                            <a:rPr lang="en-ZA" sz="1400" i="1" dirty="0">
                              <a:solidFill>
                                <a:srgbClr val="000000"/>
                              </a:solidFill>
                              <a:effectLst/>
                              <a:latin typeface="Arial" charset="0"/>
                              <a:ea typeface="Times New Roman" charset="0"/>
                              <a:cs typeface="Times New Roman" charset="0"/>
                            </a:rPr>
                            <a:t>indirectly affect the quality of clinical care given to patients</a:t>
                          </a:r>
                          <a:r>
                            <a:rPr lang="en-ZA" sz="1400" dirty="0">
                              <a:solidFill>
                                <a:srgbClr val="000000"/>
                              </a:solidFill>
                              <a:effectLst/>
                              <a:latin typeface="Arial" charset="0"/>
                              <a:ea typeface="Times New Roman" charset="0"/>
                              <a:cs typeface="Times New Roman" charset="0"/>
                            </a:rPr>
                            <a:t>. </a:t>
                          </a:r>
                          <a:endParaRPr lang="en-US" sz="1400" dirty="0">
                            <a:effectLst/>
                            <a:ea typeface="Calibri" charset="0"/>
                            <a:cs typeface="Times New Roman" charset="0"/>
                          </a:endParaRPr>
                        </a:p>
                        <a:p>
                          <a:pPr marL="0" marR="0" algn="just">
                            <a:lnSpc>
                              <a:spcPct val="115000"/>
                            </a:lnSpc>
                            <a:spcBef>
                              <a:spcPts val="0"/>
                            </a:spcBef>
                            <a:spcAft>
                              <a:spcPts val="0"/>
                            </a:spcAft>
                          </a:pPr>
                          <a:r>
                            <a:rPr lang="en-ZA" sz="1600" b="1" dirty="0">
                              <a:solidFill>
                                <a:srgbClr val="000000"/>
                              </a:solidFill>
                              <a:effectLst/>
                              <a:latin typeface="Arial" charset="0"/>
                              <a:ea typeface="Times New Roman" charset="0"/>
                              <a:cs typeface="Times New Roman" charset="0"/>
                            </a:rPr>
                            <a:t> </a:t>
                          </a:r>
                          <a:endParaRPr lang="en-US" sz="1600" dirty="0">
                            <a:effectLst/>
                            <a:ea typeface="Calibri" charset="0"/>
                            <a:cs typeface="Times New Roman" charset="0"/>
                          </a:endParaRPr>
                        </a:p>
                        <a:p>
                          <a:pPr marL="0" marR="0" algn="just">
                            <a:lnSpc>
                              <a:spcPct val="115000"/>
                            </a:lnSpc>
                            <a:spcBef>
                              <a:spcPts val="0"/>
                            </a:spcBef>
                            <a:spcAft>
                              <a:spcPts val="0"/>
                            </a:spcAft>
                          </a:pPr>
                          <a:r>
                            <a:rPr lang="en-ZA" sz="1600" b="1" dirty="0">
                              <a:solidFill>
                                <a:srgbClr val="000000"/>
                              </a:solidFill>
                              <a:effectLst/>
                              <a:latin typeface="Arial" charset="0"/>
                              <a:ea typeface="Times New Roman" charset="0"/>
                              <a:cs typeface="Times New Roman" charset="0"/>
                            </a:rPr>
                            <a:t>Important</a:t>
                          </a:r>
                          <a:endParaRPr lang="en-US" sz="1600" dirty="0">
                            <a:effectLst/>
                            <a:ea typeface="Calibri" charset="0"/>
                            <a:cs typeface="Times New Roman" charset="0"/>
                          </a:endParaRPr>
                        </a:p>
                        <a:p>
                          <a:pPr marL="0" marR="0">
                            <a:lnSpc>
                              <a:spcPct val="115000"/>
                            </a:lnSpc>
                            <a:spcBef>
                              <a:spcPts val="0"/>
                            </a:spcBef>
                            <a:spcAft>
                              <a:spcPts val="1000"/>
                            </a:spcAft>
                          </a:pPr>
                          <a:r>
                            <a:rPr lang="en-ZA" sz="1400" dirty="0">
                              <a:solidFill>
                                <a:srgbClr val="000000"/>
                              </a:solidFill>
                              <a:effectLst/>
                              <a:latin typeface="Arial" charset="0"/>
                              <a:ea typeface="Times New Roman" charset="0"/>
                              <a:cs typeface="Times New Roman" charset="0"/>
                            </a:rPr>
                            <a:t>Significant (important) elements that require resolution within a given time period. These are process and structural elements that </a:t>
                          </a:r>
                          <a:r>
                            <a:rPr lang="en-ZA" sz="1400" i="1" dirty="0">
                              <a:solidFill>
                                <a:srgbClr val="000000"/>
                              </a:solidFill>
                              <a:effectLst/>
                              <a:latin typeface="Arial" charset="0"/>
                              <a:ea typeface="Times New Roman" charset="0"/>
                              <a:cs typeface="Times New Roman" charset="0"/>
                            </a:rPr>
                            <a:t>affect the quality of the environment in which health care is given to patients. </a:t>
                          </a:r>
                          <a:endParaRPr lang="en-US" sz="1400" i="1" dirty="0">
                            <a:effectLst/>
                            <a:ea typeface="Calibri" charset="0"/>
                            <a:cs typeface="Times New Roman" charset="0"/>
                          </a:endParaRPr>
                        </a:p>
                      </a:txBody>
                      <a:useSpRect/>
                    </a:txSp>
                    <a:style>
                      <a:lnRef idx="0">
                        <a:schemeClr val="accent1"/>
                      </a:lnRef>
                      <a:fillRef idx="0">
                        <a:schemeClr val="accent1"/>
                      </a:fillRef>
                      <a:effectRef idx="0">
                        <a:schemeClr val="accent1"/>
                      </a:effectRef>
                      <a:fontRef idx="minor">
                        <a:schemeClr val="dk1"/>
                      </a:fontRef>
                    </a:style>
                  </a:sp>
                </lc:lockedCanvas>
              </a:graphicData>
            </a:graphic>
          </wp:inline>
        </w:drawing>
      </w:r>
    </w:p>
    <w:p w:rsidR="00F8478A" w:rsidRDefault="00F8478A" w:rsidP="00F8478A">
      <w:pPr>
        <w:pStyle w:val="ListParagraph"/>
        <w:spacing w:before="100" w:beforeAutospacing="1" w:after="100" w:afterAutospacing="1" w:line="276" w:lineRule="auto"/>
        <w:ind w:left="0"/>
        <w:jc w:val="both"/>
      </w:pPr>
    </w:p>
    <w:p w:rsidR="00F8478A" w:rsidRDefault="00F8478A" w:rsidP="00F8478A">
      <w:pPr>
        <w:pStyle w:val="ListParagraph"/>
        <w:spacing w:before="100" w:beforeAutospacing="1" w:after="100" w:afterAutospacing="1" w:line="276" w:lineRule="auto"/>
        <w:ind w:left="0"/>
        <w:jc w:val="both"/>
      </w:pPr>
      <w:r>
        <w:t>The table below indicates the scores required per element weight.</w:t>
      </w:r>
    </w:p>
    <w:p w:rsidR="00F8478A" w:rsidRDefault="00F8478A" w:rsidP="00F8478A">
      <w:pPr>
        <w:pStyle w:val="ListParagraph"/>
        <w:spacing w:before="100" w:beforeAutospacing="1" w:after="100" w:afterAutospacing="1" w:line="276" w:lineRule="auto"/>
        <w:ind w:left="0"/>
        <w:jc w:val="both"/>
      </w:pPr>
    </w:p>
    <w:tbl>
      <w:tblPr>
        <w:tblW w:w="9464" w:type="dxa"/>
        <w:tblLayout w:type="fixed"/>
        <w:tblCellMar>
          <w:left w:w="0" w:type="dxa"/>
          <w:right w:w="0" w:type="dxa"/>
        </w:tblCellMar>
        <w:tblLook w:val="04A0"/>
      </w:tblPr>
      <w:tblGrid>
        <w:gridCol w:w="3085"/>
        <w:gridCol w:w="2268"/>
        <w:gridCol w:w="1985"/>
        <w:gridCol w:w="2126"/>
      </w:tblGrid>
      <w:tr w:rsidR="00F8478A" w:rsidRPr="004972E0" w:rsidTr="001C3451">
        <w:tc>
          <w:tcPr>
            <w:tcW w:w="3085" w:type="dxa"/>
            <w:tcBorders>
              <w:top w:val="single" w:sz="8" w:space="0" w:color="FFFFFF"/>
              <w:left w:val="single" w:sz="8" w:space="0" w:color="FFFFFF"/>
              <w:bottom w:val="single" w:sz="24"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Weights</w:t>
            </w:r>
            <w:r w:rsidRPr="004972E0">
              <w:rPr>
                <w:b/>
                <w:bCs/>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b/>
                <w:bCs/>
                <w:lang w:val="en-ZA"/>
              </w:rPr>
              <w:t>Silver</w:t>
            </w:r>
            <w:r w:rsidRPr="004972E0">
              <w:rPr>
                <w:b/>
                <w:bCs/>
              </w:rPr>
              <w:t xml:space="preserve"> </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b/>
                <w:bCs/>
                <w:lang w:val="en-ZA"/>
              </w:rPr>
              <w:t>Gold</w:t>
            </w:r>
            <w:r w:rsidRPr="004972E0">
              <w:rPr>
                <w:b/>
                <w:bCs/>
              </w:rPr>
              <w:t xml:space="preserve"> </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b/>
                <w:bCs/>
                <w:lang w:val="en-ZA"/>
              </w:rPr>
              <w:t>Platinum</w:t>
            </w:r>
            <w:r w:rsidRPr="004972E0">
              <w:rPr>
                <w:b/>
                <w:bCs/>
              </w:rPr>
              <w:t xml:space="preserve"> </w:t>
            </w:r>
          </w:p>
        </w:tc>
      </w:tr>
      <w:tr w:rsidR="00F8478A" w:rsidRPr="004972E0" w:rsidTr="001C3451">
        <w:tc>
          <w:tcPr>
            <w:tcW w:w="3085" w:type="dxa"/>
            <w:tcBorders>
              <w:top w:val="single" w:sz="24" w:space="0" w:color="FFFFFF"/>
              <w:left w:val="single" w:sz="8" w:space="0" w:color="FFFFFF"/>
              <w:bottom w:val="single" w:sz="8"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Vital</w:t>
            </w:r>
          </w:p>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 xml:space="preserve"> (10 elements)</w:t>
            </w:r>
            <w:r w:rsidRPr="004972E0">
              <w:rPr>
                <w:b/>
                <w:bCs/>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90%</w:t>
            </w:r>
            <w:r w:rsidRPr="004972E0">
              <w:t xml:space="preserve"> </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100%</w:t>
            </w:r>
            <w:r w:rsidRPr="004972E0">
              <w:t xml:space="preserve"> </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100%</w:t>
            </w:r>
            <w:r w:rsidRPr="004972E0">
              <w:t xml:space="preserve"> </w:t>
            </w:r>
          </w:p>
        </w:tc>
      </w:tr>
      <w:tr w:rsidR="00F8478A" w:rsidRPr="004972E0" w:rsidTr="001C3451">
        <w:tc>
          <w:tcPr>
            <w:tcW w:w="3085" w:type="dxa"/>
            <w:tcBorders>
              <w:top w:val="single" w:sz="8" w:space="0" w:color="FFFFFF"/>
              <w:left w:val="single" w:sz="8" w:space="0" w:color="FFFFFF"/>
              <w:bottom w:val="single" w:sz="8"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 xml:space="preserve">Essential </w:t>
            </w:r>
          </w:p>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(86 elements)</w:t>
            </w:r>
            <w:r w:rsidRPr="004972E0">
              <w:rPr>
                <w:b/>
                <w:bCs/>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70%</w:t>
            </w:r>
            <w:r w:rsidRPr="004972E0">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80%</w:t>
            </w:r>
            <w:r w:rsidRPr="004972E0">
              <w:t xml:space="preserve"> </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90%</w:t>
            </w:r>
            <w:r w:rsidRPr="004972E0">
              <w:t xml:space="preserve"> </w:t>
            </w:r>
          </w:p>
        </w:tc>
      </w:tr>
      <w:tr w:rsidR="00F8478A" w:rsidRPr="004972E0" w:rsidTr="001C3451">
        <w:tc>
          <w:tcPr>
            <w:tcW w:w="3085" w:type="dxa"/>
            <w:tcBorders>
              <w:top w:val="single" w:sz="8" w:space="0" w:color="FFFFFF"/>
              <w:left w:val="single" w:sz="8" w:space="0" w:color="FFFFFF"/>
              <w:bottom w:val="single" w:sz="8"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 xml:space="preserve">Important </w:t>
            </w:r>
          </w:p>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(110 elements)</w:t>
            </w:r>
            <w:r w:rsidRPr="004972E0">
              <w:rPr>
                <w:b/>
                <w:bCs/>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68%</w:t>
            </w:r>
            <w:r w:rsidRPr="004972E0">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78%</w:t>
            </w:r>
            <w:r w:rsidRPr="004972E0">
              <w:t xml:space="preserve"> </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89%</w:t>
            </w:r>
            <w:r w:rsidRPr="004972E0">
              <w:t xml:space="preserve"> </w:t>
            </w:r>
          </w:p>
        </w:tc>
      </w:tr>
      <w:tr w:rsidR="00F8478A" w:rsidRPr="004972E0" w:rsidTr="001C3451">
        <w:tc>
          <w:tcPr>
            <w:tcW w:w="3085" w:type="dxa"/>
            <w:tcBorders>
              <w:top w:val="single" w:sz="8" w:space="0" w:color="FFFFFF"/>
              <w:left w:val="single" w:sz="8" w:space="0" w:color="FFFFFF"/>
              <w:bottom w:val="single" w:sz="8" w:space="0" w:color="FFFFFF"/>
              <w:right w:val="single" w:sz="8" w:space="0" w:color="FFFFFF"/>
            </w:tcBorders>
            <w:shd w:val="clear" w:color="auto" w:fill="4F81BD"/>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rPr>
                <w:lang w:val="en-ZA"/>
              </w:rPr>
            </w:pPr>
            <w:r w:rsidRPr="004972E0">
              <w:rPr>
                <w:b/>
                <w:bCs/>
                <w:lang w:val="en-ZA"/>
              </w:rPr>
              <w:t xml:space="preserve">AVERAGE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70%-79%</w:t>
            </w:r>
            <w:r w:rsidRPr="004972E0">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80%-89%</w:t>
            </w:r>
            <w:r w:rsidRPr="004972E0">
              <w:t xml:space="preserve"> </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17" w:type="dxa"/>
              <w:left w:w="108" w:type="dxa"/>
              <w:bottom w:w="0" w:type="dxa"/>
              <w:right w:w="108" w:type="dxa"/>
            </w:tcMar>
            <w:vAlign w:val="bottom"/>
            <w:hideMark/>
          </w:tcPr>
          <w:p w:rsidR="00F8478A" w:rsidRPr="004972E0" w:rsidRDefault="00F8478A" w:rsidP="001C3451">
            <w:pPr>
              <w:pStyle w:val="ListParagraph"/>
              <w:spacing w:before="100" w:beforeAutospacing="1" w:after="100" w:afterAutospacing="1" w:line="276" w:lineRule="auto"/>
              <w:jc w:val="both"/>
              <w:rPr>
                <w:lang w:val="en-ZA"/>
              </w:rPr>
            </w:pPr>
            <w:r w:rsidRPr="004972E0">
              <w:rPr>
                <w:lang w:val="en-ZA"/>
              </w:rPr>
              <w:t>90%-100%</w:t>
            </w:r>
            <w:r w:rsidRPr="004972E0">
              <w:t xml:space="preserve"> </w:t>
            </w:r>
          </w:p>
        </w:tc>
      </w:tr>
    </w:tbl>
    <w:p w:rsidR="00F8478A" w:rsidRDefault="00F8478A" w:rsidP="00F8478A">
      <w:pPr>
        <w:pStyle w:val="ListParagraph"/>
        <w:spacing w:before="100" w:beforeAutospacing="1" w:after="100" w:afterAutospacing="1" w:line="276" w:lineRule="auto"/>
        <w:ind w:left="0"/>
        <w:jc w:val="both"/>
        <w:rPr>
          <w:bCs/>
          <w:sz w:val="24"/>
        </w:rPr>
      </w:pPr>
      <w:r w:rsidRPr="00F8478A">
        <w:rPr>
          <w:bCs/>
          <w:sz w:val="24"/>
        </w:rPr>
        <w:t>The  Ideal Clinic Realisation and Maintenance (ICRM) Programme follows the PLAN, DO STUDY, Act (PDSA) cycle. The first large scale planning took place in October and November 2014. This in-depth planning in a laboratory setting called “Operation Phakisa Ideal Clinic Lab” resulted in a comprehensive implementation plan.</w:t>
      </w:r>
      <w:r w:rsidRPr="00F8478A">
        <w:rPr>
          <w:sz w:val="24"/>
        </w:rPr>
        <w:t xml:space="preserve"> The cycle starts with status determinations by PHC facility managers</w:t>
      </w:r>
      <w:r w:rsidRPr="00F8478A">
        <w:rPr>
          <w:bCs/>
          <w:sz w:val="24"/>
        </w:rPr>
        <w:t>(April to June) and a re-planning session in May. This is</w:t>
      </w:r>
      <w:r w:rsidRPr="00F8478A">
        <w:rPr>
          <w:sz w:val="24"/>
        </w:rPr>
        <w:t xml:space="preserve"> followed by the correction of weaknesses (turning red and orange elements green during July to October). In November district peer reviews are done.</w:t>
      </w:r>
      <w:r w:rsidRPr="00F8478A">
        <w:rPr>
          <w:bCs/>
          <w:sz w:val="24"/>
        </w:rPr>
        <w:t xml:space="preserve"> </w:t>
      </w:r>
    </w:p>
    <w:p w:rsidR="00F8478A" w:rsidRPr="00F8478A" w:rsidRDefault="00F8478A" w:rsidP="00F8478A">
      <w:pPr>
        <w:pStyle w:val="ListParagraph"/>
        <w:spacing w:before="100" w:beforeAutospacing="1" w:after="100" w:afterAutospacing="1" w:line="276" w:lineRule="auto"/>
        <w:ind w:left="0"/>
        <w:jc w:val="both"/>
        <w:rPr>
          <w:bCs/>
          <w:sz w:val="24"/>
        </w:rPr>
      </w:pPr>
      <w:r w:rsidRPr="00F8478A">
        <w:rPr>
          <w:bCs/>
          <w:sz w:val="24"/>
        </w:rPr>
        <w:lastRenderedPageBreak/>
        <w:t>Peer review results are immediately captured on the web based ICRM monitoring software tool for the purpose of result analyses (Study). District scale-up teams then assist clinic managers and staff to turn the remaining orange and red elements to green (December to February). In March peer review updates are done to determine achievement for the financial year. The NDoH receives continuous feedback from managers and staff at provincial, district and facility level about changes required to guidelines, standard operating procedures and systems processes that currently cause bottlenecks. The results are used to plan the implementation for the next year. Planning for the following year includes amendments to the framework resulting in a subsequent version.</w:t>
      </w:r>
    </w:p>
    <w:p w:rsidR="00F8478A" w:rsidRDefault="00F8478A" w:rsidP="00F8478A">
      <w:pPr>
        <w:pStyle w:val="ListParagraph"/>
        <w:spacing w:before="100" w:beforeAutospacing="1" w:after="100" w:afterAutospacing="1" w:line="276" w:lineRule="auto"/>
        <w:ind w:left="0"/>
        <w:jc w:val="both"/>
        <w:rPr>
          <w:bCs/>
        </w:rPr>
      </w:pPr>
    </w:p>
    <w:p w:rsidR="00F8478A" w:rsidRDefault="00F8478A" w:rsidP="00F8478A">
      <w:pPr>
        <w:pStyle w:val="ListParagraph"/>
        <w:spacing w:before="100" w:beforeAutospacing="1" w:after="100" w:afterAutospacing="1" w:line="276" w:lineRule="auto"/>
        <w:ind w:left="0"/>
        <w:jc w:val="both"/>
      </w:pPr>
      <w:r w:rsidRPr="004F7C2D">
        <w:rPr>
          <w:noProof/>
        </w:rPr>
        <w:drawing>
          <wp:inline distT="0" distB="0" distL="0" distR="0">
            <wp:extent cx="4063852" cy="3125972"/>
            <wp:effectExtent l="19050" t="0" r="0" b="0"/>
            <wp:docPr id="5" name="Picture 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AAA3DAD-ADAA-8546-B038-DEC12302D212}"/>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AAA3DAD-ADAA-8546-B038-DEC12302D212}"/>
                        </a:ext>
                      </a:extLst>
                    </pic:cNvPr>
                    <pic:cNvPicPr>
                      <a:picLocks noChangeAspect="1"/>
                    </pic:cNvPicPr>
                  </pic:nvPicPr>
                  <pic:blipFill>
                    <a:blip r:embed="rId8"/>
                    <a:stretch>
                      <a:fillRect/>
                    </a:stretch>
                  </pic:blipFill>
                  <pic:spPr>
                    <a:xfrm>
                      <a:off x="0" y="0"/>
                      <a:ext cx="4067356" cy="3128667"/>
                    </a:xfrm>
                    <a:prstGeom prst="rect">
                      <a:avLst/>
                    </a:prstGeom>
                  </pic:spPr>
                </pic:pic>
              </a:graphicData>
            </a:graphic>
          </wp:inline>
        </w:drawing>
      </w:r>
      <w:r w:rsidRPr="004F7C2D">
        <w:rPr>
          <w:noProof/>
          <w:lang w:val="en-ZA" w:eastAsia="en-ZA"/>
        </w:rPr>
        <w:t xml:space="preserve"> </w:t>
      </w:r>
      <w:r w:rsidRPr="004F7C2D">
        <w:rPr>
          <w:noProof/>
        </w:rPr>
        <w:drawing>
          <wp:inline distT="0" distB="0" distL="0" distR="0">
            <wp:extent cx="1998921" cy="3455582"/>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5355312"/>
                      <a:chOff x="6228184" y="1340768"/>
                      <a:chExt cx="2664296" cy="5355312"/>
                    </a:xfrm>
                  </a:grpSpPr>
                  <a:sp>
                    <a:nvSpPr>
                      <a:cNvPr id="6" name="TextBox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7559750A-2387-1A44-9F2C-4ECF56E5143B}"/>
                          </a:ext>
                        </a:extLst>
                      </a:cNvPr>
                      <a:cNvSpPr txBox="1"/>
                    </a:nvSpPr>
                    <a:spPr>
                      <a:xfrm>
                        <a:off x="6228184" y="1340768"/>
                        <a:ext cx="2664296" cy="535531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CA" b="1" dirty="0"/>
                            <a:t>Oct/Nov 2014</a:t>
                          </a:r>
                        </a:p>
                        <a:p>
                          <a:r>
                            <a:rPr lang="en-CA" dirty="0"/>
                            <a:t>Developed National Implementation Plan</a:t>
                          </a:r>
                        </a:p>
                        <a:p>
                          <a:endParaRPr lang="en-CA" dirty="0"/>
                        </a:p>
                        <a:p>
                          <a:r>
                            <a:rPr lang="en-CA" b="1" dirty="0"/>
                            <a:t>April to June</a:t>
                          </a:r>
                        </a:p>
                        <a:p>
                          <a:r>
                            <a:rPr lang="en-CA" dirty="0"/>
                            <a:t>Status determination by facility manager and staff</a:t>
                          </a:r>
                        </a:p>
                        <a:p>
                          <a:endParaRPr lang="en-CA" dirty="0"/>
                        </a:p>
                        <a:p>
                          <a:r>
                            <a:rPr lang="en-CA" b="1" dirty="0"/>
                            <a:t>July to October</a:t>
                          </a:r>
                        </a:p>
                        <a:p>
                          <a:r>
                            <a:rPr lang="en-CA" dirty="0"/>
                            <a:t>District scale-up teams and facility manager correct weaknesses</a:t>
                          </a:r>
                        </a:p>
                        <a:p>
                          <a:endParaRPr lang="en-CA" dirty="0"/>
                        </a:p>
                        <a:p>
                          <a:r>
                            <a:rPr lang="en-CA" b="1" dirty="0"/>
                            <a:t>November</a:t>
                          </a:r>
                        </a:p>
                        <a:p>
                          <a:r>
                            <a:rPr lang="en-CA" dirty="0"/>
                            <a:t>Peer Reviews</a:t>
                          </a:r>
                        </a:p>
                        <a:p>
                          <a:endParaRPr lang="en-CA" dirty="0"/>
                        </a:p>
                        <a:p>
                          <a:r>
                            <a:rPr lang="en-CA" b="1" dirty="0"/>
                            <a:t>December to February</a:t>
                          </a:r>
                        </a:p>
                        <a:p>
                          <a:r>
                            <a:rPr lang="en-CA" dirty="0"/>
                            <a:t>Peer Review updates</a:t>
                          </a:r>
                        </a:p>
                        <a:p>
                          <a:endParaRPr lang="en-US" dirty="0"/>
                        </a:p>
                      </a:txBody>
                      <a:useSpRect/>
                    </a:txSp>
                  </a:sp>
                </lc:lockedCanvas>
              </a:graphicData>
            </a:graphic>
          </wp:inline>
        </w:drawing>
      </w:r>
    </w:p>
    <w:p w:rsidR="00F8478A" w:rsidRDefault="00F8478A" w:rsidP="00F8478A">
      <w:pPr>
        <w:pStyle w:val="ListParagraph"/>
        <w:spacing w:before="100" w:beforeAutospacing="1" w:after="100" w:afterAutospacing="1" w:line="276" w:lineRule="auto"/>
        <w:ind w:left="0"/>
        <w:jc w:val="both"/>
      </w:pPr>
    </w:p>
    <w:p w:rsidR="00F8478A" w:rsidRPr="00F8478A" w:rsidRDefault="00F8478A" w:rsidP="00F8478A">
      <w:pPr>
        <w:pStyle w:val="ListParagraph"/>
        <w:spacing w:before="100" w:beforeAutospacing="1" w:after="100" w:afterAutospacing="1" w:line="276" w:lineRule="auto"/>
        <w:ind w:left="2160" w:hanging="720"/>
        <w:jc w:val="both"/>
        <w:rPr>
          <w:sz w:val="24"/>
        </w:rPr>
      </w:pPr>
      <w:r w:rsidRPr="00F8478A">
        <w:rPr>
          <w:sz w:val="24"/>
        </w:rPr>
        <w:t>(ii)</w:t>
      </w:r>
      <w:r>
        <w:rPr>
          <w:sz w:val="24"/>
        </w:rPr>
        <w:tab/>
      </w:r>
      <w:r w:rsidRPr="00F8478A">
        <w:rPr>
          <w:sz w:val="24"/>
        </w:rPr>
        <w:t>Professionals who do the status determinations through peer reviews are from South Africa's 52 health districts. Every year, since the implementation of the programme, 196 professionals are orientated to do the peer reviews.</w:t>
      </w:r>
    </w:p>
    <w:p w:rsidR="00F8478A" w:rsidRDefault="00F8478A" w:rsidP="00F8478A">
      <w:pPr>
        <w:tabs>
          <w:tab w:val="left" w:pos="720"/>
          <w:tab w:val="left" w:pos="1440"/>
        </w:tabs>
        <w:spacing w:before="100" w:beforeAutospacing="1" w:after="100" w:afterAutospacing="1"/>
        <w:ind w:left="1440" w:hanging="1440"/>
        <w:jc w:val="both"/>
        <w:rPr>
          <w:sz w:val="24"/>
          <w:lang w:val="en-ZA"/>
        </w:rPr>
      </w:pPr>
      <w:r>
        <w:rPr>
          <w:sz w:val="24"/>
          <w:lang w:val="en-ZA"/>
        </w:rPr>
        <w:tab/>
        <w:t>(b)</w:t>
      </w:r>
      <w:r>
        <w:rPr>
          <w:sz w:val="24"/>
          <w:lang w:val="en-ZA"/>
        </w:rPr>
        <w:tab/>
      </w:r>
      <w:r w:rsidRPr="00F8478A">
        <w:rPr>
          <w:sz w:val="24"/>
          <w:lang w:val="en-ZA"/>
        </w:rPr>
        <w:t>In the beginning of each financial year since 2015/2016 to date all fixed primary health care</w:t>
      </w:r>
      <w:r>
        <w:rPr>
          <w:sz w:val="24"/>
          <w:lang w:val="en-ZA"/>
        </w:rPr>
        <w:t xml:space="preserve"> </w:t>
      </w:r>
      <w:r w:rsidRPr="00F8478A">
        <w:rPr>
          <w:sz w:val="24"/>
          <w:lang w:val="en-ZA"/>
        </w:rPr>
        <w:t>facilities in the country are subjected to status determination (assessment) exercise;</w:t>
      </w: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Default="00F8478A" w:rsidP="00F8478A">
      <w:pPr>
        <w:tabs>
          <w:tab w:val="left" w:pos="720"/>
          <w:tab w:val="left" w:pos="1440"/>
        </w:tabs>
        <w:spacing w:before="100" w:beforeAutospacing="1" w:after="100" w:afterAutospacing="1"/>
        <w:ind w:left="1440" w:hanging="1440"/>
        <w:jc w:val="both"/>
        <w:rPr>
          <w:sz w:val="24"/>
          <w:lang w:val="en-ZA"/>
        </w:rPr>
      </w:pPr>
    </w:p>
    <w:p w:rsidR="00F8478A" w:rsidRPr="00F8478A" w:rsidRDefault="00F8478A" w:rsidP="00F8478A">
      <w:pPr>
        <w:tabs>
          <w:tab w:val="left" w:pos="720"/>
          <w:tab w:val="left" w:pos="1440"/>
        </w:tabs>
        <w:spacing w:before="100" w:beforeAutospacing="1" w:after="100" w:afterAutospacing="1"/>
        <w:ind w:left="1440" w:hanging="1440"/>
        <w:jc w:val="both"/>
        <w:rPr>
          <w:sz w:val="24"/>
          <w:lang w:val="en-ZA"/>
        </w:rPr>
      </w:pPr>
      <w:r>
        <w:rPr>
          <w:sz w:val="24"/>
          <w:lang w:val="en-ZA"/>
        </w:rPr>
        <w:lastRenderedPageBreak/>
        <w:tab/>
        <w:t>(c)</w:t>
      </w:r>
      <w:r>
        <w:rPr>
          <w:sz w:val="24"/>
          <w:lang w:val="en-ZA"/>
        </w:rPr>
        <w:tab/>
      </w:r>
      <w:r w:rsidRPr="00F8478A">
        <w:rPr>
          <w:sz w:val="24"/>
          <w:lang w:val="en-ZA"/>
        </w:rPr>
        <w:t>The details of the outcome of the assessment from 2015/2016 to 2017/2018 is as follows</w:t>
      </w:r>
    </w:p>
    <w:tbl>
      <w:tblPr>
        <w:tblStyle w:val="LightGrid-Accent12"/>
        <w:tblW w:w="9270" w:type="dxa"/>
        <w:tblInd w:w="1548" w:type="dxa"/>
        <w:tblLayout w:type="fixed"/>
        <w:tblLook w:val="04A0"/>
      </w:tblPr>
      <w:tblGrid>
        <w:gridCol w:w="1620"/>
        <w:gridCol w:w="1160"/>
        <w:gridCol w:w="910"/>
        <w:gridCol w:w="990"/>
        <w:gridCol w:w="1620"/>
        <w:gridCol w:w="990"/>
        <w:gridCol w:w="900"/>
        <w:gridCol w:w="1080"/>
      </w:tblGrid>
      <w:tr w:rsidR="00F8478A" w:rsidRPr="00F8478A" w:rsidTr="00F8478A">
        <w:trPr>
          <w:cnfStyle w:val="100000000000"/>
          <w:trHeight w:val="1076"/>
        </w:trPr>
        <w:tc>
          <w:tcPr>
            <w:cnfStyle w:val="001000000000"/>
            <w:tcW w:w="1620" w:type="dxa"/>
            <w:shd w:val="clear" w:color="auto" w:fill="8DB3E2" w:themeFill="text2" w:themeFillTint="66"/>
            <w:noWrap/>
            <w:vAlign w:val="center"/>
            <w:hideMark/>
          </w:tcPr>
          <w:p w:rsidR="00F8478A" w:rsidRPr="00F8478A" w:rsidRDefault="00F8478A" w:rsidP="001C3451">
            <w:pPr>
              <w:jc w:val="center"/>
              <w:rPr>
                <w:b w:val="0"/>
                <w:color w:val="000000"/>
                <w:sz w:val="20"/>
                <w:szCs w:val="20"/>
              </w:rPr>
            </w:pPr>
            <w:r w:rsidRPr="00F8478A">
              <w:rPr>
                <w:color w:val="000000"/>
                <w:sz w:val="20"/>
                <w:szCs w:val="20"/>
              </w:rPr>
              <w:t>District/ Metro</w:t>
            </w:r>
          </w:p>
        </w:tc>
        <w:tc>
          <w:tcPr>
            <w:tcW w:w="1160" w:type="dxa"/>
            <w:shd w:val="clear" w:color="auto" w:fill="8DB3E2" w:themeFill="text2" w:themeFillTint="66"/>
            <w:vAlign w:val="center"/>
            <w:hideMark/>
          </w:tcPr>
          <w:p w:rsidR="00F8478A" w:rsidRPr="00F8478A" w:rsidRDefault="00F8478A" w:rsidP="001C3451">
            <w:pPr>
              <w:jc w:val="center"/>
              <w:cnfStyle w:val="100000000000"/>
              <w:rPr>
                <w:b w:val="0"/>
                <w:color w:val="000000"/>
                <w:sz w:val="20"/>
                <w:szCs w:val="20"/>
              </w:rPr>
            </w:pPr>
            <w:r w:rsidRPr="00F8478A">
              <w:rPr>
                <w:color w:val="000000"/>
                <w:sz w:val="20"/>
                <w:szCs w:val="20"/>
              </w:rPr>
              <w:t>Total Facilities</w:t>
            </w:r>
          </w:p>
        </w:tc>
        <w:tc>
          <w:tcPr>
            <w:tcW w:w="910" w:type="dxa"/>
            <w:shd w:val="clear" w:color="auto" w:fill="8DB3E2" w:themeFill="text2" w:themeFillTint="66"/>
            <w:noWrap/>
            <w:vAlign w:val="center"/>
            <w:hideMark/>
          </w:tcPr>
          <w:p w:rsidR="00F8478A" w:rsidRPr="00F8478A" w:rsidRDefault="00F8478A" w:rsidP="001C3451">
            <w:pPr>
              <w:jc w:val="center"/>
              <w:cnfStyle w:val="100000000000"/>
              <w:rPr>
                <w:b w:val="0"/>
                <w:color w:val="000000"/>
                <w:sz w:val="20"/>
                <w:szCs w:val="20"/>
              </w:rPr>
            </w:pPr>
            <w:r w:rsidRPr="00F8478A">
              <w:rPr>
                <w:color w:val="000000"/>
                <w:sz w:val="20"/>
                <w:szCs w:val="20"/>
              </w:rPr>
              <w:t>2015/16 Ideal Clinics</w:t>
            </w:r>
          </w:p>
        </w:tc>
        <w:tc>
          <w:tcPr>
            <w:tcW w:w="990" w:type="dxa"/>
            <w:shd w:val="clear" w:color="auto" w:fill="8DB3E2" w:themeFill="text2" w:themeFillTint="66"/>
            <w:noWrap/>
            <w:vAlign w:val="center"/>
            <w:hideMark/>
          </w:tcPr>
          <w:p w:rsidR="00F8478A" w:rsidRPr="00F8478A" w:rsidRDefault="00F8478A" w:rsidP="001C3451">
            <w:pPr>
              <w:jc w:val="center"/>
              <w:cnfStyle w:val="100000000000"/>
              <w:rPr>
                <w:b w:val="0"/>
                <w:color w:val="000000"/>
                <w:sz w:val="20"/>
                <w:szCs w:val="20"/>
              </w:rPr>
            </w:pPr>
            <w:r w:rsidRPr="00F8478A">
              <w:rPr>
                <w:color w:val="000000"/>
                <w:sz w:val="20"/>
                <w:szCs w:val="20"/>
              </w:rPr>
              <w:t>2016/17 Ideal Clinics</w:t>
            </w:r>
          </w:p>
        </w:tc>
        <w:tc>
          <w:tcPr>
            <w:tcW w:w="1620" w:type="dxa"/>
            <w:shd w:val="clear" w:color="auto" w:fill="8DB3E2" w:themeFill="text2" w:themeFillTint="66"/>
          </w:tcPr>
          <w:p w:rsidR="00F8478A" w:rsidRPr="00F8478A" w:rsidRDefault="00F8478A" w:rsidP="001C3451">
            <w:pPr>
              <w:jc w:val="center"/>
              <w:cnfStyle w:val="100000000000"/>
              <w:rPr>
                <w:color w:val="000000" w:themeColor="text1"/>
                <w:sz w:val="20"/>
                <w:szCs w:val="20"/>
              </w:rPr>
            </w:pPr>
            <w:r w:rsidRPr="00F8478A">
              <w:rPr>
                <w:color w:val="000000"/>
                <w:sz w:val="20"/>
                <w:szCs w:val="20"/>
              </w:rPr>
              <w:t>No clinics from 2015 to 2017 that remained Ideal in 2017/18</w:t>
            </w:r>
          </w:p>
        </w:tc>
        <w:tc>
          <w:tcPr>
            <w:tcW w:w="990" w:type="dxa"/>
            <w:shd w:val="clear" w:color="auto" w:fill="8DB3E2" w:themeFill="text2" w:themeFillTint="66"/>
          </w:tcPr>
          <w:p w:rsidR="00F8478A" w:rsidRPr="00F8478A" w:rsidRDefault="00F8478A" w:rsidP="001C3451">
            <w:pPr>
              <w:jc w:val="center"/>
              <w:cnfStyle w:val="100000000000"/>
              <w:rPr>
                <w:color w:val="000000"/>
                <w:sz w:val="20"/>
                <w:szCs w:val="20"/>
              </w:rPr>
            </w:pPr>
            <w:r w:rsidRPr="00F8478A">
              <w:rPr>
                <w:color w:val="000000"/>
                <w:sz w:val="20"/>
                <w:szCs w:val="20"/>
              </w:rPr>
              <w:t>2017/18 Ideal Clinics</w:t>
            </w:r>
          </w:p>
        </w:tc>
        <w:tc>
          <w:tcPr>
            <w:tcW w:w="900" w:type="dxa"/>
            <w:shd w:val="clear" w:color="auto" w:fill="8DB3E2" w:themeFill="text2" w:themeFillTint="66"/>
            <w:noWrap/>
            <w:vAlign w:val="center"/>
            <w:hideMark/>
          </w:tcPr>
          <w:p w:rsidR="00F8478A" w:rsidRPr="00F8478A" w:rsidRDefault="00F8478A" w:rsidP="001C3451">
            <w:pPr>
              <w:jc w:val="center"/>
              <w:cnfStyle w:val="100000000000"/>
              <w:rPr>
                <w:b w:val="0"/>
                <w:color w:val="000000"/>
                <w:sz w:val="20"/>
                <w:szCs w:val="20"/>
              </w:rPr>
            </w:pPr>
            <w:r w:rsidRPr="00F8478A">
              <w:rPr>
                <w:color w:val="000000"/>
                <w:sz w:val="20"/>
                <w:szCs w:val="20"/>
              </w:rPr>
              <w:t>Total Ideal Clinics</w:t>
            </w:r>
          </w:p>
        </w:tc>
        <w:tc>
          <w:tcPr>
            <w:tcW w:w="1080" w:type="dxa"/>
            <w:shd w:val="clear" w:color="auto" w:fill="8DB3E2" w:themeFill="text2" w:themeFillTint="66"/>
            <w:noWrap/>
            <w:vAlign w:val="center"/>
            <w:hideMark/>
          </w:tcPr>
          <w:p w:rsidR="00F8478A" w:rsidRPr="00F8478A" w:rsidRDefault="00F8478A" w:rsidP="001C3451">
            <w:pPr>
              <w:jc w:val="center"/>
              <w:cnfStyle w:val="100000000000"/>
              <w:rPr>
                <w:b w:val="0"/>
                <w:color w:val="000000"/>
                <w:sz w:val="20"/>
                <w:szCs w:val="20"/>
              </w:rPr>
            </w:pPr>
            <w:r w:rsidRPr="00F8478A">
              <w:rPr>
                <w:color w:val="000000"/>
                <w:sz w:val="20"/>
                <w:szCs w:val="20"/>
              </w:rPr>
              <w:t>% Ideal Clinics</w:t>
            </w:r>
          </w:p>
        </w:tc>
      </w:tr>
      <w:tr w:rsidR="00F8478A" w:rsidRPr="00F8478A" w:rsidTr="00F8478A">
        <w:trPr>
          <w:cnfStyle w:val="00000010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Eastern Cape</w:t>
            </w:r>
          </w:p>
        </w:tc>
        <w:tc>
          <w:tcPr>
            <w:tcW w:w="116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771</w:t>
            </w:r>
          </w:p>
        </w:tc>
        <w:tc>
          <w:tcPr>
            <w:tcW w:w="91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14</w:t>
            </w:r>
          </w:p>
        </w:tc>
        <w:tc>
          <w:tcPr>
            <w:tcW w:w="99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128</w:t>
            </w:r>
          </w:p>
        </w:tc>
        <w:tc>
          <w:tcPr>
            <w:tcW w:w="1620" w:type="dxa"/>
          </w:tcPr>
          <w:p w:rsidR="00F8478A" w:rsidRPr="00F8478A" w:rsidRDefault="00F8478A" w:rsidP="001C3451">
            <w:pPr>
              <w:jc w:val="center"/>
              <w:cnfStyle w:val="000000100000"/>
              <w:rPr>
                <w:color w:val="000000"/>
                <w:sz w:val="20"/>
                <w:szCs w:val="20"/>
              </w:rPr>
            </w:pPr>
            <w:r w:rsidRPr="00F8478A">
              <w:rPr>
                <w:color w:val="000000"/>
                <w:sz w:val="20"/>
                <w:szCs w:val="20"/>
              </w:rPr>
              <w:t>93</w:t>
            </w:r>
          </w:p>
        </w:tc>
        <w:tc>
          <w:tcPr>
            <w:tcW w:w="990" w:type="dxa"/>
          </w:tcPr>
          <w:p w:rsidR="00F8478A" w:rsidRPr="00F8478A" w:rsidRDefault="00F8478A" w:rsidP="001C3451">
            <w:pPr>
              <w:jc w:val="center"/>
              <w:cnfStyle w:val="000000100000"/>
              <w:rPr>
                <w:b w:val="0"/>
                <w:color w:val="000000"/>
                <w:sz w:val="20"/>
                <w:szCs w:val="20"/>
              </w:rPr>
            </w:pPr>
            <w:r w:rsidRPr="00F8478A">
              <w:rPr>
                <w:b w:val="0"/>
                <w:color w:val="000000"/>
                <w:sz w:val="20"/>
                <w:szCs w:val="20"/>
              </w:rPr>
              <w:t>64</w:t>
            </w:r>
          </w:p>
        </w:tc>
        <w:tc>
          <w:tcPr>
            <w:tcW w:w="90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157</w:t>
            </w:r>
          </w:p>
        </w:tc>
        <w:tc>
          <w:tcPr>
            <w:tcW w:w="108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20.4</w:t>
            </w:r>
          </w:p>
        </w:tc>
      </w:tr>
      <w:tr w:rsidR="00F8478A" w:rsidRPr="00F8478A" w:rsidTr="00F8478A">
        <w:trPr>
          <w:cnfStyle w:val="00000001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Free State</w:t>
            </w:r>
          </w:p>
        </w:tc>
        <w:tc>
          <w:tcPr>
            <w:tcW w:w="116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221</w:t>
            </w:r>
          </w:p>
        </w:tc>
        <w:tc>
          <w:tcPr>
            <w:tcW w:w="91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22</w:t>
            </w:r>
          </w:p>
        </w:tc>
        <w:tc>
          <w:tcPr>
            <w:tcW w:w="99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49</w:t>
            </w:r>
          </w:p>
        </w:tc>
        <w:tc>
          <w:tcPr>
            <w:tcW w:w="1620" w:type="dxa"/>
          </w:tcPr>
          <w:p w:rsidR="00F8478A" w:rsidRPr="00F8478A" w:rsidRDefault="00F8478A" w:rsidP="001C3451">
            <w:pPr>
              <w:jc w:val="center"/>
              <w:cnfStyle w:val="000000010000"/>
              <w:rPr>
                <w:color w:val="000000"/>
                <w:sz w:val="20"/>
                <w:szCs w:val="20"/>
              </w:rPr>
            </w:pPr>
            <w:r w:rsidRPr="00F8478A">
              <w:rPr>
                <w:color w:val="000000"/>
                <w:sz w:val="20"/>
                <w:szCs w:val="20"/>
              </w:rPr>
              <w:t>75</w:t>
            </w:r>
          </w:p>
        </w:tc>
        <w:tc>
          <w:tcPr>
            <w:tcW w:w="990" w:type="dxa"/>
          </w:tcPr>
          <w:p w:rsidR="00F8478A" w:rsidRPr="00F8478A" w:rsidRDefault="00F8478A" w:rsidP="001C3451">
            <w:pPr>
              <w:jc w:val="center"/>
              <w:cnfStyle w:val="000000010000"/>
              <w:rPr>
                <w:b w:val="0"/>
                <w:color w:val="000000"/>
                <w:sz w:val="20"/>
                <w:szCs w:val="20"/>
              </w:rPr>
            </w:pPr>
            <w:r w:rsidRPr="00F8478A">
              <w:rPr>
                <w:b w:val="0"/>
                <w:color w:val="000000"/>
                <w:sz w:val="20"/>
                <w:szCs w:val="20"/>
              </w:rPr>
              <w:t>39</w:t>
            </w:r>
          </w:p>
        </w:tc>
        <w:tc>
          <w:tcPr>
            <w:tcW w:w="900" w:type="dxa"/>
            <w:noWrap/>
            <w:vAlign w:val="center"/>
          </w:tcPr>
          <w:p w:rsidR="00F8478A" w:rsidRPr="00F8478A" w:rsidRDefault="00F8478A" w:rsidP="001C3451">
            <w:pPr>
              <w:jc w:val="center"/>
              <w:cnfStyle w:val="000000010000"/>
              <w:rPr>
                <w:b w:val="0"/>
                <w:color w:val="000000"/>
                <w:sz w:val="20"/>
                <w:szCs w:val="20"/>
              </w:rPr>
            </w:pPr>
            <w:r w:rsidRPr="00F8478A">
              <w:rPr>
                <w:b w:val="0"/>
                <w:color w:val="000000"/>
                <w:sz w:val="20"/>
                <w:szCs w:val="20"/>
              </w:rPr>
              <w:t>114</w:t>
            </w:r>
          </w:p>
        </w:tc>
        <w:tc>
          <w:tcPr>
            <w:tcW w:w="108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51.6</w:t>
            </w:r>
          </w:p>
        </w:tc>
      </w:tr>
      <w:tr w:rsidR="00F8478A" w:rsidRPr="00F8478A" w:rsidTr="00F8478A">
        <w:trPr>
          <w:cnfStyle w:val="00000010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Gauteng</w:t>
            </w:r>
          </w:p>
        </w:tc>
        <w:tc>
          <w:tcPr>
            <w:tcW w:w="116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367</w:t>
            </w:r>
          </w:p>
        </w:tc>
        <w:tc>
          <w:tcPr>
            <w:tcW w:w="91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89</w:t>
            </w:r>
          </w:p>
        </w:tc>
        <w:tc>
          <w:tcPr>
            <w:tcW w:w="99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133</w:t>
            </w:r>
          </w:p>
        </w:tc>
        <w:tc>
          <w:tcPr>
            <w:tcW w:w="1620" w:type="dxa"/>
          </w:tcPr>
          <w:p w:rsidR="00F8478A" w:rsidRPr="00F8478A" w:rsidRDefault="00F8478A" w:rsidP="001C3451">
            <w:pPr>
              <w:jc w:val="center"/>
              <w:cnfStyle w:val="000000100000"/>
              <w:rPr>
                <w:color w:val="000000"/>
                <w:sz w:val="20"/>
                <w:szCs w:val="20"/>
              </w:rPr>
            </w:pPr>
            <w:r w:rsidRPr="00F8478A">
              <w:rPr>
                <w:color w:val="000000"/>
                <w:sz w:val="20"/>
                <w:szCs w:val="20"/>
              </w:rPr>
              <w:t>200</w:t>
            </w:r>
          </w:p>
        </w:tc>
        <w:tc>
          <w:tcPr>
            <w:tcW w:w="990" w:type="dxa"/>
          </w:tcPr>
          <w:p w:rsidR="00F8478A" w:rsidRPr="00F8478A" w:rsidRDefault="00F8478A" w:rsidP="001C3451">
            <w:pPr>
              <w:jc w:val="center"/>
              <w:cnfStyle w:val="000000100000"/>
              <w:rPr>
                <w:b w:val="0"/>
                <w:color w:val="000000"/>
                <w:sz w:val="20"/>
                <w:szCs w:val="20"/>
              </w:rPr>
            </w:pPr>
            <w:r w:rsidRPr="00F8478A">
              <w:rPr>
                <w:b w:val="0"/>
                <w:color w:val="000000"/>
                <w:sz w:val="20"/>
                <w:szCs w:val="20"/>
              </w:rPr>
              <w:t>91</w:t>
            </w:r>
          </w:p>
        </w:tc>
        <w:tc>
          <w:tcPr>
            <w:tcW w:w="900" w:type="dxa"/>
            <w:noWrap/>
            <w:vAlign w:val="center"/>
          </w:tcPr>
          <w:p w:rsidR="00F8478A" w:rsidRPr="00F8478A" w:rsidRDefault="00F8478A" w:rsidP="001C3451">
            <w:pPr>
              <w:jc w:val="center"/>
              <w:cnfStyle w:val="000000100000"/>
              <w:rPr>
                <w:b w:val="0"/>
                <w:color w:val="000000"/>
                <w:sz w:val="20"/>
                <w:szCs w:val="20"/>
              </w:rPr>
            </w:pPr>
            <w:r w:rsidRPr="00F8478A">
              <w:rPr>
                <w:b w:val="0"/>
                <w:color w:val="000000"/>
                <w:sz w:val="20"/>
                <w:szCs w:val="20"/>
              </w:rPr>
              <w:t>291</w:t>
            </w:r>
          </w:p>
        </w:tc>
        <w:tc>
          <w:tcPr>
            <w:tcW w:w="108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79.3</w:t>
            </w:r>
          </w:p>
        </w:tc>
      </w:tr>
      <w:tr w:rsidR="00F8478A" w:rsidRPr="00F8478A" w:rsidTr="00F8478A">
        <w:trPr>
          <w:cnfStyle w:val="00000001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KwaZulu-Natal</w:t>
            </w:r>
          </w:p>
        </w:tc>
        <w:tc>
          <w:tcPr>
            <w:tcW w:w="116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600</w:t>
            </w:r>
          </w:p>
        </w:tc>
        <w:tc>
          <w:tcPr>
            <w:tcW w:w="91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141</w:t>
            </w:r>
          </w:p>
        </w:tc>
        <w:tc>
          <w:tcPr>
            <w:tcW w:w="99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204</w:t>
            </w:r>
          </w:p>
        </w:tc>
        <w:tc>
          <w:tcPr>
            <w:tcW w:w="1620" w:type="dxa"/>
          </w:tcPr>
          <w:p w:rsidR="00F8478A" w:rsidRPr="00F8478A" w:rsidRDefault="00F8478A" w:rsidP="001C3451">
            <w:pPr>
              <w:jc w:val="center"/>
              <w:cnfStyle w:val="000000010000"/>
              <w:rPr>
                <w:color w:val="000000"/>
                <w:sz w:val="20"/>
                <w:szCs w:val="20"/>
              </w:rPr>
            </w:pPr>
            <w:r w:rsidRPr="00F8478A">
              <w:rPr>
                <w:color w:val="000000"/>
                <w:sz w:val="20"/>
                <w:szCs w:val="20"/>
              </w:rPr>
              <w:t>303</w:t>
            </w:r>
          </w:p>
        </w:tc>
        <w:tc>
          <w:tcPr>
            <w:tcW w:w="990" w:type="dxa"/>
          </w:tcPr>
          <w:p w:rsidR="00F8478A" w:rsidRPr="00F8478A" w:rsidRDefault="00F8478A" w:rsidP="001C3451">
            <w:pPr>
              <w:jc w:val="center"/>
              <w:cnfStyle w:val="000000010000"/>
              <w:rPr>
                <w:b w:val="0"/>
                <w:color w:val="000000"/>
                <w:sz w:val="20"/>
                <w:szCs w:val="20"/>
              </w:rPr>
            </w:pPr>
            <w:r w:rsidRPr="00F8478A">
              <w:rPr>
                <w:b w:val="0"/>
                <w:color w:val="000000"/>
                <w:sz w:val="20"/>
                <w:szCs w:val="20"/>
              </w:rPr>
              <w:t>80</w:t>
            </w:r>
          </w:p>
        </w:tc>
        <w:tc>
          <w:tcPr>
            <w:tcW w:w="900" w:type="dxa"/>
            <w:noWrap/>
            <w:vAlign w:val="center"/>
          </w:tcPr>
          <w:p w:rsidR="00F8478A" w:rsidRPr="00F8478A" w:rsidRDefault="00F8478A" w:rsidP="001C3451">
            <w:pPr>
              <w:jc w:val="center"/>
              <w:cnfStyle w:val="000000010000"/>
              <w:rPr>
                <w:b w:val="0"/>
                <w:color w:val="000000"/>
                <w:sz w:val="20"/>
                <w:szCs w:val="20"/>
              </w:rPr>
            </w:pPr>
            <w:r w:rsidRPr="00F8478A">
              <w:rPr>
                <w:b w:val="0"/>
                <w:color w:val="000000"/>
                <w:sz w:val="20"/>
                <w:szCs w:val="20"/>
              </w:rPr>
              <w:t>383</w:t>
            </w:r>
          </w:p>
        </w:tc>
        <w:tc>
          <w:tcPr>
            <w:tcW w:w="108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63.8</w:t>
            </w:r>
          </w:p>
        </w:tc>
      </w:tr>
      <w:tr w:rsidR="00F8478A" w:rsidRPr="00F8478A" w:rsidTr="00F8478A">
        <w:trPr>
          <w:cnfStyle w:val="00000010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Limpopo</w:t>
            </w:r>
          </w:p>
        </w:tc>
        <w:tc>
          <w:tcPr>
            <w:tcW w:w="116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477</w:t>
            </w:r>
          </w:p>
        </w:tc>
        <w:tc>
          <w:tcPr>
            <w:tcW w:w="91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27</w:t>
            </w:r>
          </w:p>
        </w:tc>
        <w:tc>
          <w:tcPr>
            <w:tcW w:w="99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42</w:t>
            </w:r>
          </w:p>
        </w:tc>
        <w:tc>
          <w:tcPr>
            <w:tcW w:w="1620" w:type="dxa"/>
          </w:tcPr>
          <w:p w:rsidR="00F8478A" w:rsidRPr="00F8478A" w:rsidRDefault="00F8478A" w:rsidP="001C3451">
            <w:pPr>
              <w:jc w:val="center"/>
              <w:cnfStyle w:val="000000100000"/>
              <w:rPr>
                <w:color w:val="000000"/>
                <w:sz w:val="20"/>
                <w:szCs w:val="20"/>
              </w:rPr>
            </w:pPr>
            <w:r w:rsidRPr="00F8478A">
              <w:rPr>
                <w:color w:val="000000"/>
                <w:sz w:val="20"/>
                <w:szCs w:val="20"/>
              </w:rPr>
              <w:t>49</w:t>
            </w:r>
          </w:p>
        </w:tc>
        <w:tc>
          <w:tcPr>
            <w:tcW w:w="990" w:type="dxa"/>
          </w:tcPr>
          <w:p w:rsidR="00F8478A" w:rsidRPr="00F8478A" w:rsidRDefault="00F8478A" w:rsidP="001C3451">
            <w:pPr>
              <w:jc w:val="center"/>
              <w:cnfStyle w:val="000000100000"/>
              <w:rPr>
                <w:b w:val="0"/>
                <w:color w:val="000000"/>
                <w:sz w:val="20"/>
                <w:szCs w:val="20"/>
              </w:rPr>
            </w:pPr>
            <w:r w:rsidRPr="00F8478A">
              <w:rPr>
                <w:b w:val="0"/>
                <w:color w:val="000000"/>
                <w:sz w:val="20"/>
                <w:szCs w:val="20"/>
              </w:rPr>
              <w:t>72</w:t>
            </w:r>
          </w:p>
        </w:tc>
        <w:tc>
          <w:tcPr>
            <w:tcW w:w="900" w:type="dxa"/>
            <w:noWrap/>
            <w:vAlign w:val="center"/>
          </w:tcPr>
          <w:p w:rsidR="00F8478A" w:rsidRPr="00F8478A" w:rsidRDefault="00F8478A" w:rsidP="001C3451">
            <w:pPr>
              <w:jc w:val="center"/>
              <w:cnfStyle w:val="000000100000"/>
              <w:rPr>
                <w:b w:val="0"/>
                <w:color w:val="000000"/>
                <w:sz w:val="20"/>
                <w:szCs w:val="20"/>
              </w:rPr>
            </w:pPr>
            <w:r w:rsidRPr="00F8478A">
              <w:rPr>
                <w:b w:val="0"/>
                <w:color w:val="000000"/>
                <w:sz w:val="20"/>
                <w:szCs w:val="20"/>
              </w:rPr>
              <w:t>121</w:t>
            </w:r>
          </w:p>
        </w:tc>
        <w:tc>
          <w:tcPr>
            <w:tcW w:w="108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25.4</w:t>
            </w:r>
          </w:p>
        </w:tc>
      </w:tr>
      <w:tr w:rsidR="00F8478A" w:rsidRPr="00F8478A" w:rsidTr="00F8478A">
        <w:trPr>
          <w:cnfStyle w:val="00000001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Mpumalanga</w:t>
            </w:r>
          </w:p>
        </w:tc>
        <w:tc>
          <w:tcPr>
            <w:tcW w:w="116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288</w:t>
            </w:r>
          </w:p>
        </w:tc>
        <w:tc>
          <w:tcPr>
            <w:tcW w:w="91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19</w:t>
            </w:r>
          </w:p>
        </w:tc>
        <w:tc>
          <w:tcPr>
            <w:tcW w:w="99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46</w:t>
            </w:r>
          </w:p>
        </w:tc>
        <w:tc>
          <w:tcPr>
            <w:tcW w:w="1620" w:type="dxa"/>
          </w:tcPr>
          <w:p w:rsidR="00F8478A" w:rsidRPr="00F8478A" w:rsidRDefault="00F8478A" w:rsidP="001C3451">
            <w:pPr>
              <w:jc w:val="center"/>
              <w:cnfStyle w:val="000000010000"/>
              <w:rPr>
                <w:color w:val="000000"/>
                <w:sz w:val="20"/>
                <w:szCs w:val="20"/>
              </w:rPr>
            </w:pPr>
            <w:r w:rsidRPr="00F8478A">
              <w:rPr>
                <w:color w:val="000000"/>
                <w:sz w:val="20"/>
                <w:szCs w:val="20"/>
              </w:rPr>
              <w:t>46</w:t>
            </w:r>
          </w:p>
        </w:tc>
        <w:tc>
          <w:tcPr>
            <w:tcW w:w="990" w:type="dxa"/>
          </w:tcPr>
          <w:p w:rsidR="00F8478A" w:rsidRPr="00F8478A" w:rsidRDefault="00F8478A" w:rsidP="001C3451">
            <w:pPr>
              <w:jc w:val="center"/>
              <w:cnfStyle w:val="000000010000"/>
              <w:rPr>
                <w:b w:val="0"/>
                <w:color w:val="000000"/>
                <w:sz w:val="20"/>
                <w:szCs w:val="20"/>
              </w:rPr>
            </w:pPr>
            <w:r w:rsidRPr="00F8478A">
              <w:rPr>
                <w:b w:val="0"/>
                <w:color w:val="000000"/>
                <w:sz w:val="20"/>
                <w:szCs w:val="20"/>
              </w:rPr>
              <w:t>41</w:t>
            </w:r>
          </w:p>
        </w:tc>
        <w:tc>
          <w:tcPr>
            <w:tcW w:w="900" w:type="dxa"/>
            <w:noWrap/>
            <w:vAlign w:val="center"/>
          </w:tcPr>
          <w:p w:rsidR="00F8478A" w:rsidRPr="00F8478A" w:rsidRDefault="00F8478A" w:rsidP="001C3451">
            <w:pPr>
              <w:jc w:val="center"/>
              <w:cnfStyle w:val="000000010000"/>
              <w:rPr>
                <w:b w:val="0"/>
                <w:color w:val="000000"/>
                <w:sz w:val="20"/>
                <w:szCs w:val="20"/>
              </w:rPr>
            </w:pPr>
            <w:r w:rsidRPr="00F8478A">
              <w:rPr>
                <w:b w:val="0"/>
                <w:color w:val="000000"/>
                <w:sz w:val="20"/>
                <w:szCs w:val="20"/>
              </w:rPr>
              <w:t>87</w:t>
            </w:r>
          </w:p>
        </w:tc>
        <w:tc>
          <w:tcPr>
            <w:tcW w:w="108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30.2</w:t>
            </w:r>
          </w:p>
        </w:tc>
      </w:tr>
      <w:tr w:rsidR="00F8478A" w:rsidRPr="00F8478A" w:rsidTr="00F8478A">
        <w:trPr>
          <w:cnfStyle w:val="00000010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North West</w:t>
            </w:r>
          </w:p>
        </w:tc>
        <w:tc>
          <w:tcPr>
            <w:tcW w:w="116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314</w:t>
            </w:r>
          </w:p>
        </w:tc>
        <w:tc>
          <w:tcPr>
            <w:tcW w:w="91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7</w:t>
            </w:r>
          </w:p>
        </w:tc>
        <w:tc>
          <w:tcPr>
            <w:tcW w:w="99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86</w:t>
            </w:r>
          </w:p>
        </w:tc>
        <w:tc>
          <w:tcPr>
            <w:tcW w:w="1620" w:type="dxa"/>
          </w:tcPr>
          <w:p w:rsidR="00F8478A" w:rsidRPr="00F8478A" w:rsidRDefault="00F8478A" w:rsidP="001C3451">
            <w:pPr>
              <w:jc w:val="center"/>
              <w:cnfStyle w:val="000000100000"/>
              <w:rPr>
                <w:color w:val="000000"/>
                <w:sz w:val="20"/>
                <w:szCs w:val="20"/>
              </w:rPr>
            </w:pPr>
            <w:r w:rsidRPr="00F8478A">
              <w:rPr>
                <w:color w:val="000000"/>
                <w:sz w:val="20"/>
                <w:szCs w:val="20"/>
              </w:rPr>
              <w:t>75</w:t>
            </w:r>
          </w:p>
        </w:tc>
        <w:tc>
          <w:tcPr>
            <w:tcW w:w="990" w:type="dxa"/>
          </w:tcPr>
          <w:p w:rsidR="00F8478A" w:rsidRPr="00F8478A" w:rsidRDefault="00F8478A" w:rsidP="001C3451">
            <w:pPr>
              <w:jc w:val="center"/>
              <w:cnfStyle w:val="000000100000"/>
              <w:rPr>
                <w:b w:val="0"/>
                <w:color w:val="000000"/>
                <w:sz w:val="20"/>
                <w:szCs w:val="20"/>
              </w:rPr>
            </w:pPr>
            <w:r w:rsidRPr="00F8478A">
              <w:rPr>
                <w:b w:val="0"/>
                <w:color w:val="000000"/>
                <w:sz w:val="20"/>
                <w:szCs w:val="20"/>
              </w:rPr>
              <w:t>46</w:t>
            </w:r>
          </w:p>
        </w:tc>
        <w:tc>
          <w:tcPr>
            <w:tcW w:w="900" w:type="dxa"/>
            <w:noWrap/>
            <w:vAlign w:val="center"/>
          </w:tcPr>
          <w:p w:rsidR="00F8478A" w:rsidRPr="00F8478A" w:rsidRDefault="00F8478A" w:rsidP="001C3451">
            <w:pPr>
              <w:jc w:val="center"/>
              <w:cnfStyle w:val="000000100000"/>
              <w:rPr>
                <w:b w:val="0"/>
                <w:color w:val="000000"/>
                <w:sz w:val="20"/>
                <w:szCs w:val="20"/>
              </w:rPr>
            </w:pPr>
            <w:r w:rsidRPr="00F8478A">
              <w:rPr>
                <w:b w:val="0"/>
                <w:color w:val="000000"/>
                <w:sz w:val="20"/>
                <w:szCs w:val="20"/>
              </w:rPr>
              <w:t>121</w:t>
            </w:r>
          </w:p>
        </w:tc>
        <w:tc>
          <w:tcPr>
            <w:tcW w:w="108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38.5</w:t>
            </w:r>
          </w:p>
        </w:tc>
      </w:tr>
      <w:tr w:rsidR="00F8478A" w:rsidRPr="00F8478A" w:rsidTr="00F8478A">
        <w:trPr>
          <w:cnfStyle w:val="00000001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Northern Cape</w:t>
            </w:r>
          </w:p>
        </w:tc>
        <w:tc>
          <w:tcPr>
            <w:tcW w:w="116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164</w:t>
            </w:r>
          </w:p>
        </w:tc>
        <w:tc>
          <w:tcPr>
            <w:tcW w:w="91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3</w:t>
            </w:r>
          </w:p>
        </w:tc>
        <w:tc>
          <w:tcPr>
            <w:tcW w:w="99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62</w:t>
            </w:r>
          </w:p>
        </w:tc>
        <w:tc>
          <w:tcPr>
            <w:tcW w:w="1620" w:type="dxa"/>
          </w:tcPr>
          <w:p w:rsidR="00F8478A" w:rsidRPr="00F8478A" w:rsidRDefault="00F8478A" w:rsidP="001C3451">
            <w:pPr>
              <w:jc w:val="center"/>
              <w:cnfStyle w:val="000000010000"/>
              <w:rPr>
                <w:color w:val="000000"/>
                <w:sz w:val="20"/>
                <w:szCs w:val="20"/>
              </w:rPr>
            </w:pPr>
            <w:r w:rsidRPr="00F8478A">
              <w:rPr>
                <w:color w:val="000000"/>
                <w:sz w:val="20"/>
                <w:szCs w:val="20"/>
              </w:rPr>
              <w:t>58</w:t>
            </w:r>
          </w:p>
        </w:tc>
        <w:tc>
          <w:tcPr>
            <w:tcW w:w="990" w:type="dxa"/>
          </w:tcPr>
          <w:p w:rsidR="00F8478A" w:rsidRPr="00F8478A" w:rsidRDefault="00F8478A" w:rsidP="001C3451">
            <w:pPr>
              <w:jc w:val="center"/>
              <w:cnfStyle w:val="000000010000"/>
              <w:rPr>
                <w:b w:val="0"/>
                <w:color w:val="000000"/>
                <w:sz w:val="20"/>
                <w:szCs w:val="20"/>
              </w:rPr>
            </w:pPr>
            <w:r w:rsidRPr="00F8478A">
              <w:rPr>
                <w:b w:val="0"/>
                <w:color w:val="000000"/>
                <w:sz w:val="20"/>
                <w:szCs w:val="20"/>
              </w:rPr>
              <w:t>31</w:t>
            </w:r>
          </w:p>
        </w:tc>
        <w:tc>
          <w:tcPr>
            <w:tcW w:w="900" w:type="dxa"/>
            <w:noWrap/>
            <w:vAlign w:val="center"/>
          </w:tcPr>
          <w:p w:rsidR="00F8478A" w:rsidRPr="00F8478A" w:rsidRDefault="00F8478A" w:rsidP="001C3451">
            <w:pPr>
              <w:jc w:val="center"/>
              <w:cnfStyle w:val="000000010000"/>
              <w:rPr>
                <w:b w:val="0"/>
                <w:color w:val="000000"/>
                <w:sz w:val="20"/>
                <w:szCs w:val="20"/>
              </w:rPr>
            </w:pPr>
            <w:r w:rsidRPr="00F8478A">
              <w:rPr>
                <w:b w:val="0"/>
                <w:color w:val="000000"/>
                <w:sz w:val="20"/>
                <w:szCs w:val="20"/>
              </w:rPr>
              <w:t>89</w:t>
            </w:r>
          </w:p>
        </w:tc>
        <w:tc>
          <w:tcPr>
            <w:tcW w:w="1080" w:type="dxa"/>
            <w:noWrap/>
            <w:vAlign w:val="center"/>
            <w:hideMark/>
          </w:tcPr>
          <w:p w:rsidR="00F8478A" w:rsidRPr="00F8478A" w:rsidRDefault="00F8478A" w:rsidP="001C3451">
            <w:pPr>
              <w:jc w:val="center"/>
              <w:cnfStyle w:val="000000010000"/>
              <w:rPr>
                <w:b w:val="0"/>
                <w:color w:val="000000"/>
                <w:sz w:val="20"/>
                <w:szCs w:val="20"/>
              </w:rPr>
            </w:pPr>
            <w:r w:rsidRPr="00F8478A">
              <w:rPr>
                <w:b w:val="0"/>
                <w:color w:val="000000"/>
                <w:sz w:val="20"/>
                <w:szCs w:val="20"/>
              </w:rPr>
              <w:t>54.3</w:t>
            </w:r>
          </w:p>
        </w:tc>
      </w:tr>
      <w:tr w:rsidR="00F8478A" w:rsidRPr="00F8478A" w:rsidTr="00F8478A">
        <w:trPr>
          <w:cnfStyle w:val="000000100000"/>
          <w:trHeight w:val="300"/>
        </w:trPr>
        <w:tc>
          <w:tcPr>
            <w:cnfStyle w:val="001000000000"/>
            <w:tcW w:w="1620" w:type="dxa"/>
            <w:noWrap/>
            <w:vAlign w:val="center"/>
            <w:hideMark/>
          </w:tcPr>
          <w:p w:rsidR="00F8478A" w:rsidRPr="00F8478A" w:rsidRDefault="00F8478A" w:rsidP="001C3451">
            <w:pPr>
              <w:jc w:val="right"/>
              <w:rPr>
                <w:color w:val="000000"/>
                <w:sz w:val="20"/>
                <w:szCs w:val="20"/>
              </w:rPr>
            </w:pPr>
            <w:r w:rsidRPr="00F8478A">
              <w:rPr>
                <w:color w:val="000000"/>
                <w:sz w:val="20"/>
                <w:szCs w:val="20"/>
              </w:rPr>
              <w:t>Western Cape</w:t>
            </w:r>
          </w:p>
        </w:tc>
        <w:tc>
          <w:tcPr>
            <w:tcW w:w="116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275</w:t>
            </w:r>
          </w:p>
        </w:tc>
        <w:tc>
          <w:tcPr>
            <w:tcW w:w="910" w:type="dxa"/>
            <w:noWrap/>
            <w:vAlign w:val="center"/>
            <w:hideMark/>
          </w:tcPr>
          <w:p w:rsidR="00F8478A" w:rsidRPr="00F8478A" w:rsidRDefault="00F8478A" w:rsidP="001C3451">
            <w:pPr>
              <w:jc w:val="center"/>
              <w:cnfStyle w:val="000000100000"/>
              <w:rPr>
                <w:b w:val="0"/>
                <w:color w:val="000000"/>
                <w:sz w:val="20"/>
                <w:szCs w:val="20"/>
              </w:rPr>
            </w:pPr>
          </w:p>
        </w:tc>
        <w:tc>
          <w:tcPr>
            <w:tcW w:w="99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36</w:t>
            </w:r>
          </w:p>
        </w:tc>
        <w:tc>
          <w:tcPr>
            <w:tcW w:w="1620" w:type="dxa"/>
          </w:tcPr>
          <w:p w:rsidR="00F8478A" w:rsidRPr="00F8478A" w:rsidRDefault="00F8478A" w:rsidP="001C3451">
            <w:pPr>
              <w:jc w:val="center"/>
              <w:cnfStyle w:val="000000100000"/>
              <w:rPr>
                <w:color w:val="000000"/>
                <w:sz w:val="20"/>
                <w:szCs w:val="20"/>
              </w:rPr>
            </w:pPr>
            <w:r w:rsidRPr="00F8478A">
              <w:rPr>
                <w:color w:val="000000"/>
                <w:sz w:val="20"/>
                <w:szCs w:val="20"/>
              </w:rPr>
              <w:t>34</w:t>
            </w:r>
          </w:p>
        </w:tc>
        <w:tc>
          <w:tcPr>
            <w:tcW w:w="990" w:type="dxa"/>
          </w:tcPr>
          <w:p w:rsidR="00F8478A" w:rsidRPr="00F8478A" w:rsidRDefault="00F8478A" w:rsidP="001C3451">
            <w:pPr>
              <w:jc w:val="center"/>
              <w:cnfStyle w:val="000000100000"/>
              <w:rPr>
                <w:b w:val="0"/>
                <w:color w:val="000000"/>
                <w:sz w:val="20"/>
                <w:szCs w:val="20"/>
              </w:rPr>
            </w:pPr>
            <w:r w:rsidRPr="00F8478A">
              <w:rPr>
                <w:b w:val="0"/>
                <w:color w:val="000000"/>
                <w:sz w:val="20"/>
                <w:szCs w:val="20"/>
              </w:rPr>
              <w:t>110</w:t>
            </w:r>
          </w:p>
        </w:tc>
        <w:tc>
          <w:tcPr>
            <w:tcW w:w="900" w:type="dxa"/>
            <w:noWrap/>
            <w:vAlign w:val="center"/>
          </w:tcPr>
          <w:p w:rsidR="00F8478A" w:rsidRPr="00F8478A" w:rsidRDefault="00F8478A" w:rsidP="001C3451">
            <w:pPr>
              <w:jc w:val="center"/>
              <w:cnfStyle w:val="000000100000"/>
              <w:rPr>
                <w:b w:val="0"/>
                <w:color w:val="000000"/>
                <w:sz w:val="20"/>
                <w:szCs w:val="20"/>
              </w:rPr>
            </w:pPr>
            <w:r w:rsidRPr="00F8478A">
              <w:rPr>
                <w:b w:val="0"/>
                <w:color w:val="000000"/>
                <w:sz w:val="20"/>
                <w:szCs w:val="20"/>
              </w:rPr>
              <w:t>144</w:t>
            </w:r>
          </w:p>
        </w:tc>
        <w:tc>
          <w:tcPr>
            <w:tcW w:w="1080" w:type="dxa"/>
            <w:noWrap/>
            <w:vAlign w:val="center"/>
            <w:hideMark/>
          </w:tcPr>
          <w:p w:rsidR="00F8478A" w:rsidRPr="00F8478A" w:rsidRDefault="00F8478A" w:rsidP="001C3451">
            <w:pPr>
              <w:jc w:val="center"/>
              <w:cnfStyle w:val="000000100000"/>
              <w:rPr>
                <w:b w:val="0"/>
                <w:color w:val="000000"/>
                <w:sz w:val="20"/>
                <w:szCs w:val="20"/>
              </w:rPr>
            </w:pPr>
            <w:r w:rsidRPr="00F8478A">
              <w:rPr>
                <w:b w:val="0"/>
                <w:color w:val="000000"/>
                <w:sz w:val="20"/>
                <w:szCs w:val="20"/>
              </w:rPr>
              <w:t>52.4</w:t>
            </w:r>
          </w:p>
        </w:tc>
      </w:tr>
      <w:tr w:rsidR="00F8478A" w:rsidRPr="00F8478A" w:rsidTr="00F8478A">
        <w:trPr>
          <w:cnfStyle w:val="000000010000"/>
          <w:trHeight w:val="480"/>
        </w:trPr>
        <w:tc>
          <w:tcPr>
            <w:cnfStyle w:val="001000000000"/>
            <w:tcW w:w="1620" w:type="dxa"/>
            <w:shd w:val="clear" w:color="auto" w:fill="8DB3E2" w:themeFill="text2" w:themeFillTint="66"/>
            <w:noWrap/>
            <w:vAlign w:val="center"/>
            <w:hideMark/>
          </w:tcPr>
          <w:p w:rsidR="00F8478A" w:rsidRPr="00F8478A" w:rsidRDefault="00F8478A" w:rsidP="001C3451">
            <w:pPr>
              <w:rPr>
                <w:color w:val="000000"/>
                <w:sz w:val="20"/>
                <w:szCs w:val="20"/>
              </w:rPr>
            </w:pPr>
            <w:r w:rsidRPr="00F8478A">
              <w:rPr>
                <w:color w:val="000000"/>
                <w:sz w:val="20"/>
                <w:szCs w:val="20"/>
              </w:rPr>
              <w:t>South Africa</w:t>
            </w:r>
          </w:p>
        </w:tc>
        <w:tc>
          <w:tcPr>
            <w:tcW w:w="1160" w:type="dxa"/>
            <w:shd w:val="clear" w:color="auto" w:fill="8DB3E2" w:themeFill="text2" w:themeFillTint="66"/>
            <w:noWrap/>
            <w:vAlign w:val="center"/>
            <w:hideMark/>
          </w:tcPr>
          <w:p w:rsidR="00F8478A" w:rsidRPr="00F8478A" w:rsidRDefault="00F8478A" w:rsidP="001C3451">
            <w:pPr>
              <w:jc w:val="center"/>
              <w:cnfStyle w:val="000000010000"/>
              <w:rPr>
                <w:color w:val="000000"/>
                <w:sz w:val="20"/>
                <w:szCs w:val="20"/>
              </w:rPr>
            </w:pPr>
            <w:r w:rsidRPr="00F8478A">
              <w:rPr>
                <w:color w:val="000000"/>
                <w:sz w:val="20"/>
                <w:szCs w:val="20"/>
              </w:rPr>
              <w:t>3,477</w:t>
            </w:r>
          </w:p>
        </w:tc>
        <w:tc>
          <w:tcPr>
            <w:tcW w:w="910" w:type="dxa"/>
            <w:shd w:val="clear" w:color="auto" w:fill="8DB3E2" w:themeFill="text2" w:themeFillTint="66"/>
            <w:noWrap/>
            <w:vAlign w:val="center"/>
            <w:hideMark/>
          </w:tcPr>
          <w:p w:rsidR="00F8478A" w:rsidRPr="00F8478A" w:rsidRDefault="00F8478A" w:rsidP="001C3451">
            <w:pPr>
              <w:jc w:val="center"/>
              <w:cnfStyle w:val="000000010000"/>
              <w:rPr>
                <w:color w:val="000000"/>
                <w:sz w:val="20"/>
                <w:szCs w:val="20"/>
              </w:rPr>
            </w:pPr>
            <w:r w:rsidRPr="00F8478A">
              <w:rPr>
                <w:color w:val="000000"/>
                <w:sz w:val="20"/>
                <w:szCs w:val="20"/>
              </w:rPr>
              <w:t>322</w:t>
            </w:r>
          </w:p>
        </w:tc>
        <w:tc>
          <w:tcPr>
            <w:tcW w:w="990" w:type="dxa"/>
            <w:shd w:val="clear" w:color="auto" w:fill="8DB3E2" w:themeFill="text2" w:themeFillTint="66"/>
            <w:noWrap/>
            <w:vAlign w:val="center"/>
            <w:hideMark/>
          </w:tcPr>
          <w:p w:rsidR="00F8478A" w:rsidRPr="00F8478A" w:rsidRDefault="00F8478A" w:rsidP="001C3451">
            <w:pPr>
              <w:jc w:val="center"/>
              <w:cnfStyle w:val="000000010000"/>
              <w:rPr>
                <w:color w:val="000000"/>
                <w:sz w:val="20"/>
                <w:szCs w:val="20"/>
              </w:rPr>
            </w:pPr>
            <w:r w:rsidRPr="00F8478A">
              <w:rPr>
                <w:color w:val="000000"/>
                <w:sz w:val="20"/>
                <w:szCs w:val="20"/>
              </w:rPr>
              <w:t>786</w:t>
            </w:r>
          </w:p>
        </w:tc>
        <w:tc>
          <w:tcPr>
            <w:tcW w:w="1620" w:type="dxa"/>
            <w:shd w:val="clear" w:color="auto" w:fill="8DB3E2" w:themeFill="text2" w:themeFillTint="66"/>
          </w:tcPr>
          <w:p w:rsidR="00F8478A" w:rsidRPr="00F8478A" w:rsidRDefault="00F8478A" w:rsidP="001C3451">
            <w:pPr>
              <w:jc w:val="center"/>
              <w:cnfStyle w:val="000000010000"/>
              <w:rPr>
                <w:color w:val="000000"/>
                <w:sz w:val="20"/>
                <w:szCs w:val="20"/>
              </w:rPr>
            </w:pPr>
            <w:r w:rsidRPr="00F8478A">
              <w:rPr>
                <w:color w:val="000000"/>
                <w:sz w:val="20"/>
                <w:szCs w:val="20"/>
              </w:rPr>
              <w:t>933</w:t>
            </w:r>
          </w:p>
        </w:tc>
        <w:tc>
          <w:tcPr>
            <w:tcW w:w="990" w:type="dxa"/>
            <w:shd w:val="clear" w:color="auto" w:fill="8DB3E2" w:themeFill="text2" w:themeFillTint="66"/>
          </w:tcPr>
          <w:p w:rsidR="00F8478A" w:rsidRPr="00F8478A" w:rsidRDefault="00F8478A" w:rsidP="001C3451">
            <w:pPr>
              <w:jc w:val="center"/>
              <w:cnfStyle w:val="000000010000"/>
              <w:rPr>
                <w:color w:val="000000"/>
                <w:sz w:val="20"/>
                <w:szCs w:val="20"/>
              </w:rPr>
            </w:pPr>
            <w:r w:rsidRPr="00F8478A">
              <w:rPr>
                <w:color w:val="000000"/>
                <w:sz w:val="20"/>
                <w:szCs w:val="20"/>
              </w:rPr>
              <w:t>574</w:t>
            </w:r>
          </w:p>
        </w:tc>
        <w:tc>
          <w:tcPr>
            <w:tcW w:w="900" w:type="dxa"/>
            <w:shd w:val="clear" w:color="auto" w:fill="8DB3E2" w:themeFill="text2" w:themeFillTint="66"/>
            <w:noWrap/>
            <w:vAlign w:val="center"/>
            <w:hideMark/>
          </w:tcPr>
          <w:p w:rsidR="00F8478A" w:rsidRPr="00F8478A" w:rsidRDefault="00F8478A" w:rsidP="001C3451">
            <w:pPr>
              <w:jc w:val="center"/>
              <w:cnfStyle w:val="000000010000"/>
              <w:rPr>
                <w:color w:val="000000"/>
                <w:sz w:val="20"/>
                <w:szCs w:val="20"/>
              </w:rPr>
            </w:pPr>
            <w:r w:rsidRPr="00F8478A">
              <w:rPr>
                <w:color w:val="000000"/>
                <w:sz w:val="20"/>
                <w:szCs w:val="20"/>
              </w:rPr>
              <w:t>1507</w:t>
            </w:r>
          </w:p>
        </w:tc>
        <w:tc>
          <w:tcPr>
            <w:tcW w:w="1080" w:type="dxa"/>
            <w:shd w:val="clear" w:color="auto" w:fill="8DB3E2" w:themeFill="text2" w:themeFillTint="66"/>
            <w:noWrap/>
            <w:vAlign w:val="center"/>
            <w:hideMark/>
          </w:tcPr>
          <w:p w:rsidR="00F8478A" w:rsidRPr="00F8478A" w:rsidRDefault="00F8478A" w:rsidP="001C3451">
            <w:pPr>
              <w:jc w:val="center"/>
              <w:cnfStyle w:val="000000010000"/>
              <w:rPr>
                <w:color w:val="000000"/>
                <w:sz w:val="20"/>
                <w:szCs w:val="20"/>
              </w:rPr>
            </w:pPr>
            <w:r w:rsidRPr="00F8478A">
              <w:rPr>
                <w:color w:val="000000"/>
                <w:sz w:val="20"/>
                <w:szCs w:val="20"/>
              </w:rPr>
              <w:t>43.3</w:t>
            </w:r>
          </w:p>
        </w:tc>
      </w:tr>
    </w:tbl>
    <w:p w:rsidR="00F8478A" w:rsidRPr="00F8478A" w:rsidRDefault="00F8478A" w:rsidP="00F8478A">
      <w:pPr>
        <w:spacing w:before="100" w:beforeAutospacing="1" w:after="100" w:afterAutospacing="1" w:line="276" w:lineRule="auto"/>
        <w:ind w:left="720" w:hanging="720"/>
        <w:jc w:val="both"/>
        <w:rPr>
          <w:sz w:val="24"/>
          <w:lang w:val="en-ZA"/>
        </w:rPr>
      </w:pPr>
      <w:r w:rsidRPr="00F8478A">
        <w:rPr>
          <w:sz w:val="24"/>
          <w:lang w:val="en-ZA"/>
        </w:rPr>
        <w:t xml:space="preserve">(2) </w:t>
      </w:r>
      <w:r w:rsidRPr="00F8478A">
        <w:rPr>
          <w:sz w:val="24"/>
          <w:lang w:val="en-ZA"/>
        </w:rPr>
        <w:tab/>
        <w:t xml:space="preserve">The department does not use consultants for this task. District quality assurance and supervisory staff are formed into a team to do peer reviews. </w:t>
      </w:r>
    </w:p>
    <w:p w:rsidR="00F8478A" w:rsidRDefault="00F8478A" w:rsidP="00F8478A">
      <w:pPr>
        <w:spacing w:line="360" w:lineRule="auto"/>
        <w:rPr>
          <w: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9"/>
      <w:footerReference w:type="default" r:id="rId10"/>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A2" w:rsidRDefault="009D40A2">
      <w:r>
        <w:separator/>
      </w:r>
    </w:p>
  </w:endnote>
  <w:endnote w:type="continuationSeparator" w:id="1">
    <w:p w:rsidR="009D40A2" w:rsidRDefault="009D40A2">
      <w:r>
        <w:continuationSeparator/>
      </w:r>
    </w:p>
  </w:endnote>
  <w:endnote w:id="2">
    <w:p w:rsidR="00F8478A" w:rsidRDefault="00F8478A" w:rsidP="00F8478A">
      <w:pPr>
        <w:pStyle w:val="EndnoteText"/>
        <w:rPr>
          <w:rFonts w:ascii="Arial" w:hAnsi="Arial" w:cs="Arial"/>
          <w:lang w:val="en-US"/>
        </w:rPr>
      </w:pPr>
      <w:r>
        <w:rPr>
          <w:rStyle w:val="EndnoteReference"/>
        </w:rPr>
        <w:endnoteRef/>
      </w:r>
      <w:r w:rsidRPr="00F8478A">
        <w:rPr>
          <w:rFonts w:ascii="Arial" w:hAnsi="Arial" w:cs="Arial"/>
          <w:sz w:val="20"/>
          <w:szCs w:val="20"/>
          <w:lang w:val="en-US"/>
        </w:rPr>
        <w:t>Republic of South Africa.National Health Amendment Act (12 of 2013). Cape Town: Government Gazette No. 367, 24 July 2013.</w:t>
      </w:r>
    </w:p>
    <w:p w:rsidR="00F8478A" w:rsidRPr="009C766C" w:rsidRDefault="00F8478A" w:rsidP="00F8478A">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93A1F">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93A1F">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F8478A">
      <w:rPr>
        <w:rStyle w:val="PageNumber"/>
        <w:noProof/>
        <w:lang w:val="en-US"/>
      </w:rPr>
      <w:t>5</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A2" w:rsidRDefault="009D40A2">
      <w:r>
        <w:separator/>
      </w:r>
    </w:p>
  </w:footnote>
  <w:footnote w:type="continuationSeparator" w:id="1">
    <w:p w:rsidR="009D40A2" w:rsidRDefault="009D4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D335F2"/>
    <w:multiLevelType w:val="hybridMultilevel"/>
    <w:tmpl w:val="434AD852"/>
    <w:lvl w:ilvl="0" w:tplc="45E8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4"/>
  </w:num>
  <w:num w:numId="45">
    <w:abstractNumId w:val="45"/>
  </w:num>
  <w:num w:numId="46">
    <w:abstractNumId w:val="13"/>
  </w:num>
  <w:num w:numId="47">
    <w:abstractNumId w:val="0"/>
  </w:num>
  <w:num w:numId="48">
    <w:abstractNumId w:val="11"/>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465EF"/>
    <w:rsid w:val="002519F4"/>
    <w:rsid w:val="0026455A"/>
    <w:rsid w:val="0026455E"/>
    <w:rsid w:val="00267FDF"/>
    <w:rsid w:val="00271665"/>
    <w:rsid w:val="00276084"/>
    <w:rsid w:val="00276A1A"/>
    <w:rsid w:val="002832F3"/>
    <w:rsid w:val="00293A1F"/>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32DE"/>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30BA"/>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0401"/>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0A2"/>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77E"/>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44F5"/>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1662"/>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478A"/>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table" w:customStyle="1" w:styleId="LightGrid-Accent12">
    <w:name w:val="Light Grid - Accent 12"/>
    <w:basedOn w:val="TableNormal"/>
    <w:uiPriority w:val="62"/>
    <w:rsid w:val="00F8478A"/>
    <w:rPr>
      <w:rFonts w:ascii="Arial" w:eastAsia="Calibri" w:hAnsi="Arial" w:cs="Arial"/>
      <w:b/>
      <w:color w:val="1F497D" w:themeColor="text2"/>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unhideWhenUsed/>
    <w:rsid w:val="00F8478A"/>
    <w:rPr>
      <w:rFonts w:asciiTheme="minorHAnsi" w:eastAsiaTheme="minorHAnsi" w:hAnsiTheme="minorHAnsi" w:cstheme="minorBidi"/>
      <w:sz w:val="24"/>
      <w:lang w:val="en-ZA"/>
    </w:rPr>
  </w:style>
  <w:style w:type="character" w:customStyle="1" w:styleId="EndnoteTextChar">
    <w:name w:val="Endnote Text Char"/>
    <w:basedOn w:val="DefaultParagraphFont"/>
    <w:link w:val="EndnoteText"/>
    <w:uiPriority w:val="99"/>
    <w:rsid w:val="00F8478A"/>
    <w:rPr>
      <w:rFonts w:asciiTheme="minorHAnsi" w:eastAsiaTheme="minorHAnsi" w:hAnsiTheme="minorHAnsi" w:cstheme="minorBidi"/>
      <w:sz w:val="24"/>
      <w:szCs w:val="24"/>
      <w:lang w:eastAsia="en-US"/>
    </w:rPr>
  </w:style>
  <w:style w:type="character" w:styleId="EndnoteReference">
    <w:name w:val="endnote reference"/>
    <w:basedOn w:val="DefaultParagraphFont"/>
    <w:uiPriority w:val="99"/>
    <w:unhideWhenUsed/>
    <w:rsid w:val="00F8478A"/>
    <w:rPr>
      <w:vertAlign w:val="superscript"/>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2018-06-17T11:27:00Z</cp:lastPrinted>
  <dcterms:created xsi:type="dcterms:W3CDTF">2018-06-18T20:58:00Z</dcterms:created>
  <dcterms:modified xsi:type="dcterms:W3CDTF">2018-07-29T22:27:00Z</dcterms:modified>
</cp:coreProperties>
</file>