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E04DDF" w:rsidP="00E04DDF">
      <w:pPr>
        <w:rPr>
          <w:b/>
          <w:bCs/>
          <w:lang w:val="en-US"/>
        </w:rPr>
      </w:pPr>
      <w:bookmarkStart w:id="0" w:name="_GoBack"/>
      <w:bookmarkEnd w:id="0"/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</w:t>
      </w:r>
      <w:r w:rsidRPr="00F349FC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0F5D10" w:rsidRPr="000F5D10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1621</w:t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0F5D10" w:rsidRPr="000F5D10">
        <w:rPr>
          <w:rFonts w:ascii="Arial Narrow" w:hAnsi="Arial Narrow"/>
          <w:b/>
          <w:bCs/>
        </w:rPr>
        <w:t>Mr J R B Lorimer (DA)</w:t>
      </w:r>
      <w:r w:rsidR="0096601B" w:rsidRPr="0096601B">
        <w:rPr>
          <w:rFonts w:ascii="Arial Narrow" w:hAnsi="Arial Narrow"/>
          <w:b/>
          <w:bCs/>
        </w:rPr>
        <w:t xml:space="preserve">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F5D10" w:rsidRDefault="000F5D10" w:rsidP="000F5D10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Maqubela </w:t>
      </w:r>
    </w:p>
    <w:p w:rsidR="000F5D10" w:rsidRDefault="000F5D10" w:rsidP="000F5D10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Mineral and Petroleum Regulation </w:t>
      </w:r>
    </w:p>
    <w:p w:rsidR="000F5D10" w:rsidRDefault="000F5D10" w:rsidP="000F5D10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………………/………………/2021</w:t>
      </w:r>
    </w:p>
    <w:p w:rsidR="000F5D10" w:rsidRDefault="000F5D10" w:rsidP="000F5D10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0F5D10" w:rsidRPr="000F5D10" w:rsidRDefault="000F5D10" w:rsidP="000F5D10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0F5D10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>1621. Mr J R B Lorimer (DA) to ask the Minister of Mineral Resources and Energy:</w:t>
      </w:r>
    </w:p>
    <w:p w:rsidR="00217F8F" w:rsidRPr="000F5D10" w:rsidRDefault="000F5D10" w:rsidP="000F5D1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F5D10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Whether he will furnish Mr J R B Lorimer with a list of all the (a) mining and (b) prospecting licences granted in the area of the </w:t>
      </w:r>
      <w:proofErr w:type="spellStart"/>
      <w:r w:rsidRPr="000F5D10">
        <w:rPr>
          <w:rFonts w:ascii="Arial Narrow" w:hAnsi="Arial Narrow" w:cs="Times New Roman"/>
          <w:color w:val="000000"/>
          <w:sz w:val="24"/>
          <w:szCs w:val="24"/>
          <w:lang w:val="en-ZA"/>
        </w:rPr>
        <w:t>eMalahleni</w:t>
      </w:r>
      <w:proofErr w:type="spellEnd"/>
      <w:r w:rsidRPr="000F5D10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Local Municipality in Mpumalanga in the past three financial years; if not, why not; if so, in each case, what is the (</w:t>
      </w:r>
      <w:proofErr w:type="spellStart"/>
      <w:r w:rsidRPr="000F5D10">
        <w:rPr>
          <w:rFonts w:ascii="Arial Narrow" w:hAnsi="Arial Narrow" w:cs="Times New Roman"/>
          <w:color w:val="000000"/>
          <w:sz w:val="24"/>
          <w:szCs w:val="24"/>
          <w:lang w:val="en-ZA"/>
        </w:rPr>
        <w:t>i</w:t>
      </w:r>
      <w:proofErr w:type="spellEnd"/>
      <w:r w:rsidRPr="000F5D10">
        <w:rPr>
          <w:rFonts w:ascii="Arial Narrow" w:hAnsi="Arial Narrow" w:cs="Times New Roman"/>
          <w:color w:val="000000"/>
          <w:sz w:val="24"/>
          <w:szCs w:val="24"/>
          <w:lang w:val="en-ZA"/>
        </w:rPr>
        <w:t>) geographic location of each mine and (ii) status of each specified mine in terms of mining taking place, care and maintenance, expiry date of each licence, rehabilitation and/or abandonment of each mine? NW1827E</w:t>
      </w:r>
      <w:r w:rsidRPr="000F5D10">
        <w:rPr>
          <w:rFonts w:ascii="Arial Narrow" w:hAnsi="Arial Narrow" w:cs="Times New Roman"/>
          <w:color w:val="000000"/>
          <w:sz w:val="24"/>
          <w:szCs w:val="24"/>
          <w:lang w:val="en-ZA"/>
        </w:rPr>
        <w:cr/>
      </w:r>
    </w:p>
    <w:p w:rsidR="00F2073F" w:rsidRDefault="00F2073F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D632C" w:rsidRDefault="00AD632C" w:rsidP="00AD632C">
      <w:pPr>
        <w:rPr>
          <w:b/>
          <w:bCs/>
        </w:rPr>
      </w:pPr>
      <w:r w:rsidRPr="00EC182E">
        <w:rPr>
          <w:b/>
          <w:bCs/>
        </w:rPr>
        <w:t>ANNEXURE A</w:t>
      </w:r>
    </w:p>
    <w:p w:rsidR="00AD632C" w:rsidRPr="00EC182E" w:rsidRDefault="00AD632C" w:rsidP="00AD632C">
      <w:pPr>
        <w:jc w:val="both"/>
        <w:rPr>
          <w:b/>
          <w:bCs/>
        </w:rPr>
      </w:pPr>
      <w:r w:rsidRPr="00EC182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list of all the (a) mining and (b) prospecting licences granted in the </w:t>
      </w:r>
      <w:proofErr w:type="spellStart"/>
      <w:r w:rsidRPr="00EC182E">
        <w:rPr>
          <w:rFonts w:ascii="Arial Narrow" w:hAnsi="Arial Narrow" w:cs="Times New Roman"/>
          <w:b/>
          <w:bCs/>
          <w:color w:val="000000"/>
          <w:sz w:val="24"/>
          <w:szCs w:val="24"/>
        </w:rPr>
        <w:t>eMalahleni</w:t>
      </w:r>
      <w:proofErr w:type="spellEnd"/>
      <w:r w:rsidRPr="00EC182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Local Municipality in Mpumalanga in the past three financial years</w:t>
      </w:r>
    </w:p>
    <w:tbl>
      <w:tblPr>
        <w:tblW w:w="148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641"/>
        <w:gridCol w:w="2477"/>
        <w:gridCol w:w="1094"/>
        <w:gridCol w:w="2150"/>
        <w:gridCol w:w="1227"/>
        <w:gridCol w:w="2060"/>
        <w:gridCol w:w="1298"/>
        <w:gridCol w:w="1308"/>
      </w:tblGrid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Seq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No.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NAME OF THE COMPANY 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REF NUMBER 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STATUS 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LOCATION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TYPE OF RIGHT</w:t>
            </w:r>
          </w:p>
        </w:tc>
        <w:tc>
          <w:tcPr>
            <w:tcW w:w="206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GRANTING/ISSUING DATE</w:t>
            </w:r>
          </w:p>
        </w:tc>
        <w:tc>
          <w:tcPr>
            <w:tcW w:w="1298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EXPIRY</w:t>
            </w:r>
          </w:p>
        </w:tc>
        <w:tc>
          <w:tcPr>
            <w:tcW w:w="1308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OPERATION OR NOT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Kusile mining (Pty) Ltd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MP30/5/1/2/2/10049MR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ROODEBLOEM 58 IS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ptn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and 2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NEW</w:t>
            </w:r>
          </w:p>
        </w:tc>
        <w:tc>
          <w:tcPr>
            <w:tcW w:w="2060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2019/03/11</w:t>
            </w:r>
          </w:p>
        </w:tc>
        <w:tc>
          <w:tcPr>
            <w:tcW w:w="129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2029/03/10</w:t>
            </w:r>
          </w:p>
        </w:tc>
        <w:tc>
          <w:tcPr>
            <w:tcW w:w="130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SIDE MINERALS (PTY) LTD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MP30/5/1/2/2/10072MR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BANKFONTEIN 216 IR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ptn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and 11</w:t>
            </w:r>
          </w:p>
        </w:tc>
        <w:tc>
          <w:tcPr>
            <w:tcW w:w="1227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RENEWAL</w:t>
            </w:r>
          </w:p>
        </w:tc>
        <w:tc>
          <w:tcPr>
            <w:tcW w:w="2060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2019/11/03</w:t>
            </w:r>
          </w:p>
        </w:tc>
        <w:tc>
          <w:tcPr>
            <w:tcW w:w="129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2026/11/02</w:t>
            </w:r>
          </w:p>
        </w:tc>
        <w:tc>
          <w:tcPr>
            <w:tcW w:w="130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Eyethu</w:t>
            </w:r>
            <w:proofErr w:type="spellEnd"/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Coal (Pty) Ltd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MP30/5/1/2/2/10148MR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SPEEKFONTEIN 336 JS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ptn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</w:t>
            </w:r>
          </w:p>
        </w:tc>
        <w:tc>
          <w:tcPr>
            <w:tcW w:w="1227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RENEWAL</w:t>
            </w:r>
          </w:p>
        </w:tc>
        <w:tc>
          <w:tcPr>
            <w:tcW w:w="2060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2019/03/18</w:t>
            </w:r>
          </w:p>
        </w:tc>
        <w:tc>
          <w:tcPr>
            <w:tcW w:w="129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2024/03/17</w:t>
            </w:r>
          </w:p>
        </w:tc>
        <w:tc>
          <w:tcPr>
            <w:tcW w:w="130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UMCEBO MINIING (PTY) LTD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MP30/5/1/2/2/10118MR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GRANTED</w:t>
            </w:r>
          </w:p>
        </w:tc>
        <w:tc>
          <w:tcPr>
            <w:tcW w:w="2150" w:type="dxa"/>
          </w:tcPr>
          <w:p w:rsidR="00AD632C" w:rsidRDefault="00AD632C" w:rsidP="00C72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RONDEBULT 303 JS, RE and DOORNRUG 302 JS, </w:t>
            </w:r>
            <w:proofErr w:type="spellStart"/>
            <w:r>
              <w:rPr>
                <w:rFonts w:ascii="Calibri" w:hAnsi="Calibri" w:cs="Calibri"/>
                <w:color w:val="000000"/>
              </w:rPr>
              <w:t>ptn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</w:t>
            </w:r>
          </w:p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27" w:type="dxa"/>
          </w:tcPr>
          <w:p w:rsidR="00AD632C" w:rsidRDefault="00AD632C" w:rsidP="00C72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RENEWAL</w:t>
            </w:r>
          </w:p>
        </w:tc>
        <w:tc>
          <w:tcPr>
            <w:tcW w:w="2060" w:type="dxa"/>
          </w:tcPr>
          <w:p w:rsidR="00AD632C" w:rsidRDefault="00AD632C" w:rsidP="00C72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2019/03/17</w:t>
            </w:r>
          </w:p>
        </w:tc>
        <w:tc>
          <w:tcPr>
            <w:tcW w:w="1298" w:type="dxa"/>
          </w:tcPr>
          <w:p w:rsidR="00AD632C" w:rsidRDefault="00AD632C" w:rsidP="00C72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2027/03/16</w:t>
            </w:r>
          </w:p>
        </w:tc>
        <w:tc>
          <w:tcPr>
            <w:tcW w:w="1308" w:type="dxa"/>
          </w:tcPr>
          <w:p w:rsidR="00AD632C" w:rsidRDefault="00AD632C" w:rsidP="00C72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Eyethu</w:t>
            </w:r>
            <w:proofErr w:type="spellEnd"/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Coal (Pty) Ltd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MP30/5/1/2/2/10166MR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KOSMO  282 JS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, </w:t>
            </w: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BLOEKOMBOS 414 JS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, </w:t>
            </w: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DRIEFONTEIN 297 JS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,</w:t>
            </w:r>
            <w:r>
              <w:t xml:space="preserve"> </w:t>
            </w: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LEEUWPOORT 283 JS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,</w:t>
            </w:r>
            <w:r>
              <w:t xml:space="preserve"> </w:t>
            </w: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SUURWATER 366 JS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,</w:t>
            </w:r>
            <w:r>
              <w:t xml:space="preserve"> </w:t>
            </w: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TWEEDAM 377 JS</w:t>
            </w:r>
          </w:p>
        </w:tc>
        <w:tc>
          <w:tcPr>
            <w:tcW w:w="1227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RENEWAL</w:t>
            </w:r>
          </w:p>
        </w:tc>
        <w:tc>
          <w:tcPr>
            <w:tcW w:w="2060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2019/03/17</w:t>
            </w:r>
          </w:p>
        </w:tc>
        <w:tc>
          <w:tcPr>
            <w:tcW w:w="129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2024/03/16</w:t>
            </w:r>
          </w:p>
        </w:tc>
        <w:tc>
          <w:tcPr>
            <w:tcW w:w="130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JOE SINGH GROUP OF COMPANIES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MP30/5/1/2/2/10197MR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HENMA 291 IR</w:t>
            </w:r>
          </w:p>
        </w:tc>
        <w:tc>
          <w:tcPr>
            <w:tcW w:w="1227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RENEWAL</w:t>
            </w:r>
          </w:p>
        </w:tc>
        <w:tc>
          <w:tcPr>
            <w:tcW w:w="2060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2019/03/11</w:t>
            </w:r>
          </w:p>
        </w:tc>
        <w:tc>
          <w:tcPr>
            <w:tcW w:w="129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2024/03/10</w:t>
            </w:r>
          </w:p>
        </w:tc>
        <w:tc>
          <w:tcPr>
            <w:tcW w:w="130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Ibumba</w:t>
            </w:r>
            <w:proofErr w:type="spellEnd"/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Bricks (Pty) Ltd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MP30/5/1/2/2/10124MR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35DD4">
              <w:rPr>
                <w:rFonts w:ascii="Calibri" w:eastAsia="Times New Roman" w:hAnsi="Calibri" w:cs="Calibri"/>
                <w:color w:val="000000"/>
                <w:lang w:eastAsia="en-ZA"/>
              </w:rPr>
              <w:t>LEEUWPOORT 283 JS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ptn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</w:t>
            </w:r>
          </w:p>
        </w:tc>
        <w:tc>
          <w:tcPr>
            <w:tcW w:w="1227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NEW</w:t>
            </w:r>
          </w:p>
        </w:tc>
        <w:tc>
          <w:tcPr>
            <w:tcW w:w="2060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2019/03/17</w:t>
            </w:r>
          </w:p>
        </w:tc>
        <w:tc>
          <w:tcPr>
            <w:tcW w:w="129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2049/03/16</w:t>
            </w:r>
          </w:p>
        </w:tc>
        <w:tc>
          <w:tcPr>
            <w:tcW w:w="1308" w:type="dxa"/>
          </w:tcPr>
          <w:p w:rsidR="00AD632C" w:rsidRPr="00435DD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Koornfontein</w:t>
            </w:r>
            <w:proofErr w:type="spellEnd"/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Mines (Pty) Ltd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MP30/5/1/2/2/10077MR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color w:val="000000"/>
                <w:lang w:eastAsia="en-ZA"/>
              </w:rPr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037AC4">
              <w:rPr>
                <w:rFonts w:ascii="Calibri" w:eastAsia="Times New Roman" w:hAnsi="Calibri" w:cs="Calibri"/>
                <w:color w:val="000000"/>
                <w:lang w:eastAsia="en-ZA"/>
              </w:rPr>
              <w:t>VLAKLAAGTE 45 IS</w:t>
            </w:r>
          </w:p>
        </w:tc>
        <w:tc>
          <w:tcPr>
            <w:tcW w:w="1227" w:type="dxa"/>
          </w:tcPr>
          <w:p w:rsidR="00AD632C" w:rsidRPr="00037AC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NEW</w:t>
            </w:r>
          </w:p>
        </w:tc>
        <w:tc>
          <w:tcPr>
            <w:tcW w:w="2060" w:type="dxa"/>
          </w:tcPr>
          <w:p w:rsidR="00AD632C" w:rsidRPr="00037AC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2020/08/14</w:t>
            </w:r>
          </w:p>
        </w:tc>
        <w:tc>
          <w:tcPr>
            <w:tcW w:w="1298" w:type="dxa"/>
          </w:tcPr>
          <w:p w:rsidR="00AD632C" w:rsidRPr="00037AC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2035/0813</w:t>
            </w:r>
          </w:p>
        </w:tc>
        <w:tc>
          <w:tcPr>
            <w:tcW w:w="1308" w:type="dxa"/>
          </w:tcPr>
          <w:p w:rsidR="00AD632C" w:rsidRPr="00037AC4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Not operational</w:t>
            </w:r>
          </w:p>
        </w:tc>
      </w:tr>
    </w:tbl>
    <w:p w:rsidR="00AD632C" w:rsidRDefault="00AD632C" w:rsidP="00AD632C"/>
    <w:p w:rsidR="00AD632C" w:rsidRDefault="00AD632C" w:rsidP="00AD632C"/>
    <w:p w:rsidR="00AD632C" w:rsidRDefault="00AD632C" w:rsidP="00AD632C"/>
    <w:p w:rsidR="00AD632C" w:rsidRPr="000138DC" w:rsidRDefault="00AD632C" w:rsidP="00AD632C">
      <w:pPr>
        <w:rPr>
          <w:b/>
          <w:bCs/>
        </w:rPr>
      </w:pPr>
      <w:r w:rsidRPr="000138DC">
        <w:rPr>
          <w:b/>
          <w:bCs/>
        </w:rPr>
        <w:t>Prospecting Rights</w:t>
      </w:r>
    </w:p>
    <w:tbl>
      <w:tblPr>
        <w:tblW w:w="148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641"/>
        <w:gridCol w:w="2477"/>
        <w:gridCol w:w="1094"/>
        <w:gridCol w:w="2150"/>
        <w:gridCol w:w="1227"/>
        <w:gridCol w:w="2060"/>
        <w:gridCol w:w="1298"/>
        <w:gridCol w:w="1308"/>
      </w:tblGrid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Seq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No.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NAME OF THE COMPANY 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REF NUMBER 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STATUS 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C182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LOCATION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TYPE OF RIGHT</w:t>
            </w:r>
          </w:p>
        </w:tc>
        <w:tc>
          <w:tcPr>
            <w:tcW w:w="206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GRANTING/ISSUING DATE</w:t>
            </w:r>
          </w:p>
        </w:tc>
        <w:tc>
          <w:tcPr>
            <w:tcW w:w="1298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EXPIRY</w:t>
            </w:r>
          </w:p>
        </w:tc>
        <w:tc>
          <w:tcPr>
            <w:tcW w:w="1308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OPERATION OR NOT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Kusile Mining (Pty)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MP30/5/1/1/2/14040PR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9, 11, 12 &amp; 15 Rietfontein 100 IS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RENEWAL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2019/05/13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2015/09/04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CREDOCRON CC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MP30/5/1/1/2/10891PR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25 Elandsfontein 309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2018/04/25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2012/08/22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427EBA">
              <w:t>Makole</w:t>
            </w:r>
            <w:proofErr w:type="spellEnd"/>
            <w:r w:rsidRPr="00427EBA">
              <w:t xml:space="preserve"> Electrical (Pty) Ltd Trading As </w:t>
            </w:r>
            <w:proofErr w:type="spellStart"/>
            <w:r w:rsidRPr="00427EBA">
              <w:t>Makole</w:t>
            </w:r>
            <w:proofErr w:type="spellEnd"/>
            <w:r w:rsidRPr="00427EBA">
              <w:t xml:space="preserve"> Electrical (Pty)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MP30/5/1/1/2/11732PR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26 &amp; 94 </w:t>
            </w:r>
            <w:proofErr w:type="spellStart"/>
            <w:r w:rsidRPr="00B97398">
              <w:t>Naauwpoort</w:t>
            </w:r>
            <w:proofErr w:type="spellEnd"/>
            <w:r w:rsidRPr="00B97398">
              <w:t xml:space="preserve"> 335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2020/03/25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2013/04/25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427EBA">
              <w:t>Invincibledrive</w:t>
            </w:r>
            <w:proofErr w:type="spellEnd"/>
            <w:r w:rsidRPr="00427EBA">
              <w:t xml:space="preserve"> Pty Ltd Trading As </w:t>
            </w:r>
            <w:proofErr w:type="spellStart"/>
            <w:r w:rsidRPr="00427EBA">
              <w:t>Invincibledrive</w:t>
            </w:r>
            <w:proofErr w:type="spellEnd"/>
            <w:r w:rsidRPr="00427EBA">
              <w:t xml:space="preserve"> </w:t>
            </w:r>
            <w:r w:rsidRPr="00427EBA">
              <w:lastRenderedPageBreak/>
              <w:t>Pty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lastRenderedPageBreak/>
              <w:t>MP30/5/1/1/2/11725PR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5 &amp; 11 </w:t>
            </w:r>
            <w:proofErr w:type="spellStart"/>
            <w:r w:rsidRPr="00B97398">
              <w:t>Rhenosterfontein</w:t>
            </w:r>
            <w:proofErr w:type="spellEnd"/>
            <w:r w:rsidRPr="00B97398">
              <w:t xml:space="preserve"> </w:t>
            </w:r>
            <w:r w:rsidRPr="00B97398">
              <w:lastRenderedPageBreak/>
              <w:t>318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lastRenderedPageBreak/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2019/10/30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2013/04/10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lastRenderedPageBreak/>
              <w:t>5.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 xml:space="preserve">125 </w:t>
            </w:r>
            <w:proofErr w:type="spellStart"/>
            <w:r w:rsidRPr="00427EBA">
              <w:t>Makole</w:t>
            </w:r>
            <w:proofErr w:type="spellEnd"/>
            <w:r w:rsidRPr="00427EBA">
              <w:t xml:space="preserve"> Investment cc Trading As 125 </w:t>
            </w:r>
            <w:proofErr w:type="spellStart"/>
            <w:r w:rsidRPr="00427EBA">
              <w:t>Makole</w:t>
            </w:r>
            <w:proofErr w:type="spellEnd"/>
            <w:r w:rsidRPr="00427EBA">
              <w:t xml:space="preserve"> Investment cc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MP30/5/1/1/2/12195PR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3 </w:t>
            </w:r>
            <w:proofErr w:type="spellStart"/>
            <w:r w:rsidRPr="00B97398">
              <w:t>Steenkoolspruit</w:t>
            </w:r>
            <w:proofErr w:type="spellEnd"/>
            <w:r w:rsidRPr="00B97398">
              <w:t xml:space="preserve"> 18 IS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2020/03/25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2013/07/26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NGULULU RESOURCES PTY LTD Trading As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MP30/5/1/1/2/13065PR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4,5,6,8,9,36,39, RE </w:t>
            </w:r>
            <w:proofErr w:type="spellStart"/>
            <w:r w:rsidRPr="00B97398">
              <w:t>Hartgebeestlaagte</w:t>
            </w:r>
            <w:proofErr w:type="spellEnd"/>
            <w:r w:rsidRPr="00B97398">
              <w:t xml:space="preserve"> 325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2018/04/24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2014/06/03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J for Joy Development and Entertainment (Pty)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MP30/5/1/1/2/14497PR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Portion of portion 4 Driefontein 297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2018/07/20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2016/10/13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XAKWA INVESTMENT (PTY)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MP30/5/1/1/2/12382PR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B97398">
              <w:t>Waterkyk</w:t>
            </w:r>
            <w:proofErr w:type="spellEnd"/>
            <w:r w:rsidRPr="00B97398">
              <w:t xml:space="preserve"> 304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RENEWAL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2019/05/29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2013/09/26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9.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427EBA">
              <w:t>Superlane</w:t>
            </w:r>
            <w:proofErr w:type="spellEnd"/>
            <w:r w:rsidRPr="00427EBA">
              <w:t xml:space="preserve"> 137 (Pty)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MP30/5/1/1/2/14001PR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Portion of RE </w:t>
            </w:r>
            <w:proofErr w:type="spellStart"/>
            <w:r w:rsidRPr="00B97398">
              <w:t>Duvha</w:t>
            </w:r>
            <w:proofErr w:type="spellEnd"/>
            <w:r w:rsidRPr="00B97398">
              <w:t xml:space="preserve"> </w:t>
            </w:r>
            <w:proofErr w:type="spellStart"/>
            <w:r w:rsidRPr="00B97398">
              <w:t>Kragstasie</w:t>
            </w:r>
            <w:proofErr w:type="spellEnd"/>
            <w:r w:rsidRPr="00B97398">
              <w:t xml:space="preserve"> 337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RENEWAL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2018/11/08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2015/07/24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427EBA">
              <w:t>Umzobanzi</w:t>
            </w:r>
            <w:proofErr w:type="spellEnd"/>
            <w:r w:rsidRPr="00427EBA">
              <w:t xml:space="preserve"> Coal and Energy Pty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MP30/5/1/1/2/14632PR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8, 10, 30 </w:t>
            </w:r>
            <w:proofErr w:type="spellStart"/>
            <w:r w:rsidRPr="00B97398">
              <w:t>Grootvallei</w:t>
            </w:r>
            <w:proofErr w:type="spellEnd"/>
            <w:r w:rsidRPr="00B97398">
              <w:t xml:space="preserve"> 258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RENEWAL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2019/05/29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2017/01/27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11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 xml:space="preserve">Inkanyezi Mining and Industrial </w:t>
            </w:r>
            <w:proofErr w:type="spellStart"/>
            <w:r w:rsidRPr="00427EBA">
              <w:t>Suppies</w:t>
            </w:r>
            <w:proofErr w:type="spellEnd"/>
            <w:r w:rsidRPr="00427EBA">
              <w:t xml:space="preserve"> cc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MP30/5/1/1/2/14670PR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GRANTED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2, 11 </w:t>
            </w:r>
            <w:proofErr w:type="spellStart"/>
            <w:r w:rsidRPr="00B97398">
              <w:t>Nooitgedacht</w:t>
            </w:r>
            <w:proofErr w:type="spellEnd"/>
            <w:r w:rsidRPr="00B97398">
              <w:t xml:space="preserve"> 300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2018/07/04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2017/02/23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Not 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12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AMULA RESOURCES (PTY)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MP30/5/1/1/2/14181PR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ISSUED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31 </w:t>
            </w:r>
            <w:proofErr w:type="spellStart"/>
            <w:r w:rsidRPr="00B97398">
              <w:t>Wolvenskrans</w:t>
            </w:r>
            <w:proofErr w:type="spellEnd"/>
            <w:r w:rsidRPr="00B97398">
              <w:t xml:space="preserve"> 17 IS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2018/05/30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2016/02/23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13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Zama Jali Mining CC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MP30/5/1/1/2/14138PR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ISSUED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6, 12, 13 </w:t>
            </w:r>
            <w:proofErr w:type="spellStart"/>
            <w:r w:rsidRPr="00B97398">
              <w:t>Speekfontein</w:t>
            </w:r>
            <w:proofErr w:type="spellEnd"/>
            <w:r w:rsidRPr="00B97398">
              <w:t xml:space="preserve"> 336 JS, 12 </w:t>
            </w:r>
            <w:proofErr w:type="spellStart"/>
            <w:r w:rsidRPr="00B97398">
              <w:t>Rhenosterfontein</w:t>
            </w:r>
            <w:proofErr w:type="spellEnd"/>
            <w:r w:rsidRPr="00B97398">
              <w:t xml:space="preserve"> 318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RENEWAL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2018/11/28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2015/12/18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14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Big Coal (Pty) Ltd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MP30/5/1/1/2/11318PR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ISSUED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1, 13 &amp; 32 </w:t>
            </w:r>
            <w:proofErr w:type="spellStart"/>
            <w:r w:rsidRPr="00B97398">
              <w:t>Blesboklaagte</w:t>
            </w:r>
            <w:proofErr w:type="spellEnd"/>
            <w:r w:rsidRPr="00B97398">
              <w:t xml:space="preserve"> 296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2018/10/03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2013/01/17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Operational</w:t>
            </w:r>
          </w:p>
        </w:tc>
      </w:tr>
      <w:tr w:rsidR="00AD632C" w:rsidRPr="00EC182E" w:rsidTr="00C7250D">
        <w:trPr>
          <w:trHeight w:val="300"/>
        </w:trPr>
        <w:tc>
          <w:tcPr>
            <w:tcW w:w="549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</w:t>
            </w:r>
          </w:p>
        </w:tc>
        <w:tc>
          <w:tcPr>
            <w:tcW w:w="2641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27EBA">
              <w:t>MH Kekana and Sons</w:t>
            </w:r>
          </w:p>
        </w:tc>
        <w:tc>
          <w:tcPr>
            <w:tcW w:w="2477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21511">
              <w:t>MP30/5/1/1/2/14870PR</w:t>
            </w:r>
          </w:p>
        </w:tc>
        <w:tc>
          <w:tcPr>
            <w:tcW w:w="1094" w:type="dxa"/>
            <w:shd w:val="clear" w:color="auto" w:fill="auto"/>
            <w:noWrap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>ISSUED</w:t>
            </w:r>
          </w:p>
        </w:tc>
        <w:tc>
          <w:tcPr>
            <w:tcW w:w="2150" w:type="dxa"/>
          </w:tcPr>
          <w:p w:rsidR="00AD632C" w:rsidRPr="00EC182E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97398">
              <w:t xml:space="preserve">30-60, 63, 64, 65, 68, 69, 70, 71, 72, 73, 74, 75, 76, 77, 78, 79,80, 81, 82, 83, 84, 85, 86, 92, 112, 123, 134, 235 </w:t>
            </w:r>
            <w:proofErr w:type="spellStart"/>
            <w:r w:rsidRPr="00B97398">
              <w:t>Nooitgadacht</w:t>
            </w:r>
            <w:proofErr w:type="spellEnd"/>
            <w:r w:rsidRPr="00B97398">
              <w:t xml:space="preserve"> 300 JS, 2, 3, 10, 14-18, 23, 24, 26, 29, 30, 32 </w:t>
            </w:r>
            <w:proofErr w:type="spellStart"/>
            <w:r w:rsidRPr="00B97398">
              <w:t>Hartbeestpruit</w:t>
            </w:r>
            <w:proofErr w:type="spellEnd"/>
            <w:r w:rsidRPr="00B97398">
              <w:t xml:space="preserve"> 281 JS</w:t>
            </w:r>
          </w:p>
        </w:tc>
        <w:tc>
          <w:tcPr>
            <w:tcW w:w="1227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52814">
              <w:t>New</w:t>
            </w:r>
          </w:p>
        </w:tc>
        <w:tc>
          <w:tcPr>
            <w:tcW w:w="2060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309D">
              <w:t>2019/09/19</w:t>
            </w:r>
          </w:p>
        </w:tc>
        <w:tc>
          <w:tcPr>
            <w:tcW w:w="129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9676F">
              <w:t>2017/08/22</w:t>
            </w:r>
          </w:p>
        </w:tc>
        <w:tc>
          <w:tcPr>
            <w:tcW w:w="1308" w:type="dxa"/>
          </w:tcPr>
          <w:p w:rsidR="00AD632C" w:rsidRDefault="00AD632C" w:rsidP="00C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C4446">
              <w:t>Not operational</w:t>
            </w:r>
          </w:p>
        </w:tc>
      </w:tr>
    </w:tbl>
    <w:p w:rsidR="00AD632C" w:rsidRDefault="00AD632C" w:rsidP="00AD632C"/>
    <w:p w:rsidR="00AD632C" w:rsidRPr="00F2073F" w:rsidRDefault="00AD632C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AD632C" w:rsidRPr="00F2073F" w:rsidSect="0041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0E" w:rsidRDefault="00D4550E" w:rsidP="00E04DDF">
      <w:pPr>
        <w:spacing w:after="0" w:line="240" w:lineRule="auto"/>
      </w:pPr>
      <w:r>
        <w:separator/>
      </w:r>
    </w:p>
  </w:endnote>
  <w:endnote w:type="continuationSeparator" w:id="0">
    <w:p w:rsidR="00D4550E" w:rsidRDefault="00D4550E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0E" w:rsidRDefault="00D4550E" w:rsidP="00E04DDF">
      <w:pPr>
        <w:spacing w:after="0" w:line="240" w:lineRule="auto"/>
      </w:pPr>
      <w:r>
        <w:separator/>
      </w:r>
    </w:p>
  </w:footnote>
  <w:footnote w:type="continuationSeparator" w:id="0">
    <w:p w:rsidR="00D4550E" w:rsidRDefault="00D4550E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985"/>
    <w:multiLevelType w:val="hybridMultilevel"/>
    <w:tmpl w:val="323219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A7BD3"/>
    <w:rsid w:val="000B239A"/>
    <w:rsid w:val="000F5D10"/>
    <w:rsid w:val="00187759"/>
    <w:rsid w:val="001A4CD0"/>
    <w:rsid w:val="00210F8C"/>
    <w:rsid w:val="00217F8F"/>
    <w:rsid w:val="00264D47"/>
    <w:rsid w:val="002B6AD2"/>
    <w:rsid w:val="00403D1C"/>
    <w:rsid w:val="00412DCB"/>
    <w:rsid w:val="004D601E"/>
    <w:rsid w:val="00596DDE"/>
    <w:rsid w:val="005D435F"/>
    <w:rsid w:val="005E3ABA"/>
    <w:rsid w:val="00726CA3"/>
    <w:rsid w:val="0074621F"/>
    <w:rsid w:val="00770F3D"/>
    <w:rsid w:val="007F3C36"/>
    <w:rsid w:val="008A558E"/>
    <w:rsid w:val="00921F55"/>
    <w:rsid w:val="00965D09"/>
    <w:rsid w:val="0096601B"/>
    <w:rsid w:val="00983AFB"/>
    <w:rsid w:val="00A70C38"/>
    <w:rsid w:val="00AD632C"/>
    <w:rsid w:val="00B3406E"/>
    <w:rsid w:val="00D009E0"/>
    <w:rsid w:val="00D4550E"/>
    <w:rsid w:val="00DC094C"/>
    <w:rsid w:val="00E04DDF"/>
    <w:rsid w:val="00ED3B73"/>
    <w:rsid w:val="00F2073F"/>
    <w:rsid w:val="00F23D84"/>
    <w:rsid w:val="00F3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2021-03-08T13:11:00Z</cp:lastPrinted>
  <dcterms:created xsi:type="dcterms:W3CDTF">2021-08-06T13:05:00Z</dcterms:created>
  <dcterms:modified xsi:type="dcterms:W3CDTF">2021-08-06T13:05:00Z</dcterms:modified>
</cp:coreProperties>
</file>