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465EF">
        <w:rPr>
          <w:b/>
          <w:bCs/>
          <w:sz w:val="24"/>
          <w:u w:val="single"/>
        </w:rPr>
        <w:t>162</w:t>
      </w:r>
      <w:r w:rsidR="005330BA">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65EF">
        <w:rPr>
          <w:b/>
          <w:bCs/>
          <w:sz w:val="24"/>
          <w:u w:val="single"/>
        </w:rPr>
        <w:t>25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465EF">
        <w:rPr>
          <w:b/>
          <w:bCs/>
          <w:sz w:val="24"/>
          <w:u w:val="single"/>
        </w:rPr>
        <w:t>18</w:t>
      </w:r>
      <w:r w:rsidRPr="00294557">
        <w:rPr>
          <w:b/>
          <w:bCs/>
          <w:sz w:val="24"/>
          <w:u w:val="single"/>
        </w:rPr>
        <w:t>)</w:t>
      </w:r>
    </w:p>
    <w:p w:rsidR="005330BA" w:rsidRPr="005330BA" w:rsidRDefault="005330BA" w:rsidP="005330BA">
      <w:pPr>
        <w:spacing w:before="100" w:beforeAutospacing="1" w:after="100" w:afterAutospacing="1"/>
        <w:ind w:left="720" w:hanging="720"/>
        <w:jc w:val="both"/>
        <w:outlineLvl w:val="0"/>
        <w:rPr>
          <w:b/>
          <w:sz w:val="24"/>
          <w:u w:val="single"/>
        </w:rPr>
      </w:pPr>
      <w:r w:rsidRPr="005330BA">
        <w:rPr>
          <w:b/>
          <w:sz w:val="24"/>
          <w:u w:val="single"/>
        </w:rPr>
        <w:t>Ms S P Kopane (DA) to ask the Minister of Health:</w:t>
      </w:r>
    </w:p>
    <w:p w:rsidR="005330BA" w:rsidRPr="005330BA" w:rsidRDefault="005330BA" w:rsidP="005330BA">
      <w:pPr>
        <w:spacing w:before="100" w:beforeAutospacing="1" w:after="100" w:afterAutospacing="1"/>
        <w:ind w:left="709" w:hanging="720"/>
        <w:jc w:val="both"/>
        <w:rPr>
          <w:sz w:val="24"/>
        </w:rPr>
      </w:pPr>
      <w:r w:rsidRPr="005330BA">
        <w:rPr>
          <w:sz w:val="24"/>
        </w:rPr>
        <w:t>(1)</w:t>
      </w:r>
      <w:r w:rsidRPr="005330BA">
        <w:rPr>
          <w:sz w:val="24"/>
        </w:rPr>
        <w:tab/>
        <w:t>(a) What is the total number of doctors who are currently registered with the Health Professions Council of SA, (b) of the specified total number of doctors, what number of doctors are</w:t>
      </w:r>
      <w:r w:rsidR="00D41A4C">
        <w:rPr>
          <w:sz w:val="24"/>
        </w:rPr>
        <w:t xml:space="preserve"> </w:t>
      </w:r>
      <w:r w:rsidRPr="005330BA">
        <w:rPr>
          <w:sz w:val="24"/>
        </w:rPr>
        <w:t>(i) practising in (i) each province and (ii) outside the borders of the country and (c) what is the name of each country that the doctors are practising in;</w:t>
      </w:r>
    </w:p>
    <w:p w:rsidR="00786C98" w:rsidRPr="00302053" w:rsidRDefault="005330BA" w:rsidP="005330BA">
      <w:pPr>
        <w:pBdr>
          <w:top w:val="nil"/>
          <w:left w:val="nil"/>
          <w:bottom w:val="nil"/>
          <w:right w:val="nil"/>
          <w:between w:val="nil"/>
        </w:pBdr>
        <w:spacing w:before="100" w:beforeAutospacing="1" w:after="100" w:afterAutospacing="1"/>
        <w:jc w:val="both"/>
        <w:rPr>
          <w:sz w:val="24"/>
        </w:rPr>
      </w:pPr>
      <w:r w:rsidRPr="005330BA">
        <w:rPr>
          <w:sz w:val="24"/>
        </w:rPr>
        <w:t>(2)</w:t>
      </w:r>
      <w:r w:rsidRPr="005330BA">
        <w:rPr>
          <w:sz w:val="24"/>
        </w:rPr>
        <w:tab/>
        <w:t xml:space="preserve">whether any of the specified doctors are facing (a) disciplinary hearings and/or (b) </w:t>
      </w:r>
      <w:r>
        <w:rPr>
          <w:sz w:val="24"/>
        </w:rPr>
        <w:tab/>
      </w:r>
      <w:r w:rsidRPr="005330BA">
        <w:rPr>
          <w:sz w:val="24"/>
        </w:rPr>
        <w:t>criminal charges; if so, what are the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465EF">
        <w:rPr>
          <w:color w:val="000000"/>
        </w:rPr>
        <w:t>177</w:t>
      </w:r>
      <w:r w:rsidR="005330BA">
        <w:rPr>
          <w:color w:val="000000"/>
        </w:rPr>
        <w:t>1</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D41A4C" w:rsidRPr="00D6539C" w:rsidRDefault="00D41A4C" w:rsidP="00D41A4C">
      <w:pPr>
        <w:jc w:val="both"/>
        <w:outlineLvl w:val="0"/>
        <w:rPr>
          <w:b/>
          <w:bCs/>
          <w:u w:val="single"/>
        </w:rPr>
      </w:pPr>
    </w:p>
    <w:p w:rsidR="00D41A4C" w:rsidRDefault="00D41A4C" w:rsidP="00D41A4C">
      <w:pPr>
        <w:tabs>
          <w:tab w:val="left" w:pos="709"/>
        </w:tabs>
        <w:ind w:left="1418" w:hanging="1418"/>
        <w:jc w:val="both"/>
        <w:rPr>
          <w:rFonts w:eastAsia="Calibri"/>
          <w:bCs/>
          <w:sz w:val="24"/>
          <w:lang w:bidi="en-US"/>
        </w:rPr>
      </w:pPr>
      <w:r w:rsidRPr="00D41A4C">
        <w:rPr>
          <w:rFonts w:eastAsia="Calibri"/>
          <w:sz w:val="24"/>
          <w:lang w:bidi="en-US"/>
        </w:rPr>
        <w:t xml:space="preserve">(1) </w:t>
      </w:r>
      <w:r w:rsidRPr="00D41A4C">
        <w:rPr>
          <w:rFonts w:eastAsia="Calibri"/>
          <w:sz w:val="24"/>
          <w:lang w:bidi="en-US"/>
        </w:rPr>
        <w:tab/>
        <w:t xml:space="preserve">(a) </w:t>
      </w:r>
      <w:r w:rsidRPr="00D41A4C">
        <w:rPr>
          <w:rFonts w:eastAsia="Calibri"/>
          <w:sz w:val="24"/>
          <w:lang w:bidi="en-US"/>
        </w:rPr>
        <w:tab/>
      </w:r>
      <w:r w:rsidRPr="00D41A4C">
        <w:rPr>
          <w:rFonts w:eastAsia="Calibri"/>
          <w:bCs/>
          <w:sz w:val="24"/>
          <w:lang w:bidi="en-US"/>
        </w:rPr>
        <w:t xml:space="preserve">There are 50 538 doctors (Medical and dental) on the HPCSA register. </w:t>
      </w:r>
    </w:p>
    <w:p w:rsidR="00D41A4C" w:rsidRDefault="00D41A4C" w:rsidP="00D41A4C">
      <w:pPr>
        <w:tabs>
          <w:tab w:val="left" w:pos="709"/>
        </w:tabs>
        <w:ind w:left="1418" w:hanging="1418"/>
        <w:jc w:val="both"/>
        <w:rPr>
          <w:rFonts w:eastAsia="Calibri"/>
          <w:bCs/>
          <w:sz w:val="24"/>
          <w:lang w:bidi="en-US"/>
        </w:rPr>
      </w:pPr>
    </w:p>
    <w:p w:rsidR="00D41A4C" w:rsidRPr="00D41A4C" w:rsidRDefault="00D41A4C" w:rsidP="00D41A4C">
      <w:pPr>
        <w:tabs>
          <w:tab w:val="left" w:pos="709"/>
        </w:tabs>
        <w:ind w:left="1418" w:hanging="1418"/>
        <w:jc w:val="both"/>
        <w:rPr>
          <w:rFonts w:eastAsia="Calibri"/>
          <w:sz w:val="24"/>
          <w:lang w:bidi="en-US"/>
        </w:rPr>
      </w:pPr>
      <w:r>
        <w:rPr>
          <w:rFonts w:eastAsia="Calibri"/>
          <w:bCs/>
          <w:sz w:val="24"/>
          <w:lang w:bidi="en-US"/>
        </w:rPr>
        <w:tab/>
        <w:t>(b)</w:t>
      </w:r>
      <w:r>
        <w:rPr>
          <w:rFonts w:eastAsia="Calibri"/>
          <w:bCs/>
          <w:sz w:val="24"/>
          <w:lang w:bidi="en-US"/>
        </w:rPr>
        <w:tab/>
        <w:t>(i)</w:t>
      </w:r>
      <w:r>
        <w:rPr>
          <w:rFonts w:eastAsia="Calibri"/>
          <w:bCs/>
          <w:sz w:val="24"/>
          <w:lang w:bidi="en-US"/>
        </w:rPr>
        <w:tab/>
        <w:t>The following table reflects the details in this regard.</w:t>
      </w:r>
    </w:p>
    <w:p w:rsidR="00D41A4C" w:rsidRPr="00D41A4C" w:rsidRDefault="00D41A4C" w:rsidP="00D41A4C">
      <w:pPr>
        <w:tabs>
          <w:tab w:val="left" w:pos="851"/>
          <w:tab w:val="left" w:pos="1134"/>
          <w:tab w:val="left" w:pos="1418"/>
          <w:tab w:val="left" w:pos="6237"/>
        </w:tabs>
        <w:jc w:val="both"/>
        <w:rPr>
          <w:rFonts w:eastAsia="Calibri"/>
          <w:b/>
          <w:sz w:val="24"/>
          <w:lang w:eastAsia="en-ZA"/>
        </w:rPr>
      </w:pPr>
    </w:p>
    <w:tbl>
      <w:tblPr>
        <w:tblW w:w="0" w:type="auto"/>
        <w:tblInd w:w="2235" w:type="dxa"/>
        <w:tblCellMar>
          <w:left w:w="0" w:type="dxa"/>
          <w:right w:w="0" w:type="dxa"/>
        </w:tblCellMar>
        <w:tblLook w:val="04A0"/>
      </w:tblPr>
      <w:tblGrid>
        <w:gridCol w:w="3260"/>
        <w:gridCol w:w="4819"/>
      </w:tblGrid>
      <w:tr w:rsidR="00D41A4C" w:rsidRPr="00D41A4C" w:rsidTr="00D41A4C">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bCs/>
                <w:sz w:val="24"/>
                <w:lang w:bidi="en-US"/>
              </w:rPr>
            </w:pPr>
            <w:r w:rsidRPr="00D41A4C">
              <w:rPr>
                <w:rFonts w:eastAsia="Calibri"/>
                <w:b/>
                <w:bCs/>
                <w:sz w:val="24"/>
                <w:lang w:bidi="en-US"/>
              </w:rPr>
              <w:t>Province</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center"/>
              <w:rPr>
                <w:rFonts w:eastAsia="Calibri"/>
                <w:b/>
                <w:bCs/>
                <w:sz w:val="24"/>
                <w:lang w:bidi="en-US"/>
              </w:rPr>
            </w:pPr>
            <w:r w:rsidRPr="00D41A4C">
              <w:rPr>
                <w:rFonts w:eastAsia="Calibri"/>
                <w:b/>
                <w:bCs/>
                <w:sz w:val="24"/>
                <w:lang w:bidi="en-US"/>
              </w:rPr>
              <w:t>No. of Doctors in Province</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Eastern Cape</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3494</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Free State</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2102</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Gauteng</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18062</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KwaZulu Natal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8747</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Limpopo</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1976</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Mpumalanga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2001</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North West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1614</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Northern Cape</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775</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sz w:val="24"/>
                <w:lang w:bidi="en-US"/>
              </w:rPr>
            </w:pPr>
            <w:r w:rsidRPr="00D41A4C">
              <w:rPr>
                <w:rFonts w:eastAsia="Calibri"/>
                <w:b/>
                <w:sz w:val="24"/>
                <w:lang w:bidi="en-US"/>
              </w:rPr>
              <w:t>Western Cape</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sz w:val="24"/>
                <w:lang w:bidi="en-US"/>
              </w:rPr>
            </w:pPr>
            <w:r w:rsidRPr="00D41A4C">
              <w:rPr>
                <w:rFonts w:eastAsia="Calibri"/>
                <w:b/>
                <w:sz w:val="24"/>
                <w:lang w:bidi="en-US"/>
              </w:rPr>
              <w:t>11765</w:t>
            </w:r>
          </w:p>
        </w:tc>
      </w:tr>
      <w:tr w:rsidR="00D41A4C" w:rsidRPr="00D41A4C" w:rsidTr="00D41A4C">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both"/>
              <w:rPr>
                <w:rFonts w:eastAsia="Calibri"/>
                <w:b/>
                <w:bCs/>
                <w:sz w:val="24"/>
                <w:lang w:bidi="en-US"/>
              </w:rPr>
            </w:pPr>
            <w:r w:rsidRPr="00D41A4C">
              <w:rPr>
                <w:rFonts w:eastAsia="Calibri"/>
                <w:b/>
                <w:bCs/>
                <w:sz w:val="24"/>
                <w:lang w:bidi="en-US"/>
              </w:rPr>
              <w:t>TOTAL</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D41A4C" w:rsidRPr="00D41A4C" w:rsidRDefault="00D41A4C" w:rsidP="00881BE0">
            <w:pPr>
              <w:tabs>
                <w:tab w:val="left" w:pos="851"/>
                <w:tab w:val="left" w:pos="1134"/>
                <w:tab w:val="left" w:pos="1418"/>
                <w:tab w:val="left" w:pos="6237"/>
              </w:tabs>
              <w:jc w:val="right"/>
              <w:rPr>
                <w:rFonts w:eastAsia="Calibri"/>
                <w:b/>
                <w:bCs/>
                <w:sz w:val="24"/>
                <w:lang w:bidi="en-US"/>
              </w:rPr>
            </w:pPr>
            <w:r w:rsidRPr="00D41A4C">
              <w:rPr>
                <w:rFonts w:eastAsia="Calibri"/>
                <w:b/>
                <w:bCs/>
                <w:sz w:val="24"/>
                <w:lang w:bidi="en-US"/>
              </w:rPr>
              <w:t>50538</w:t>
            </w:r>
          </w:p>
        </w:tc>
      </w:tr>
    </w:tbl>
    <w:p w:rsidR="00D41A4C" w:rsidRDefault="00D41A4C" w:rsidP="00D41A4C">
      <w:pPr>
        <w:jc w:val="both"/>
        <w:rPr>
          <w:sz w:val="24"/>
        </w:rPr>
      </w:pPr>
    </w:p>
    <w:p w:rsidR="00D41A4C" w:rsidRPr="00D41A4C" w:rsidRDefault="00D41A4C" w:rsidP="00D41A4C">
      <w:pPr>
        <w:tabs>
          <w:tab w:val="left" w:pos="1418"/>
        </w:tabs>
        <w:ind w:left="2127" w:hanging="2127"/>
        <w:jc w:val="both"/>
        <w:rPr>
          <w:sz w:val="24"/>
        </w:rPr>
      </w:pPr>
      <w:r w:rsidRPr="00D41A4C">
        <w:rPr>
          <w:sz w:val="24"/>
        </w:rPr>
        <w:tab/>
        <w:t>(ii)</w:t>
      </w:r>
      <w:r w:rsidRPr="00D41A4C">
        <w:rPr>
          <w:sz w:val="24"/>
        </w:rPr>
        <w:tab/>
      </w:r>
      <w:r w:rsidRPr="00D41A4C">
        <w:rPr>
          <w:bCs/>
          <w:sz w:val="24"/>
        </w:rPr>
        <w:t>The HPCSA does not keep a register/record of practitioners leaving the country to practice elsewhere.</w:t>
      </w:r>
    </w:p>
    <w:p w:rsidR="00D41A4C" w:rsidRPr="00D41A4C" w:rsidRDefault="00D41A4C" w:rsidP="00D41A4C">
      <w:pPr>
        <w:jc w:val="both"/>
        <w:rPr>
          <w:b/>
          <w:bCs/>
          <w:sz w:val="24"/>
        </w:rPr>
      </w:pPr>
    </w:p>
    <w:p w:rsidR="00D41A4C" w:rsidRPr="00D41A4C" w:rsidRDefault="00D41A4C" w:rsidP="00D41A4C">
      <w:pPr>
        <w:jc w:val="both"/>
        <w:rPr>
          <w:rFonts w:eastAsia="Calibri"/>
          <w:bCs/>
          <w:sz w:val="24"/>
          <w:lang w:bidi="en-US"/>
        </w:rPr>
      </w:pPr>
      <w:r w:rsidRPr="00D41A4C">
        <w:rPr>
          <w:rFonts w:eastAsia="Calibri"/>
          <w:sz w:val="24"/>
          <w:lang w:bidi="en-US"/>
        </w:rPr>
        <w:t xml:space="preserve">(2) </w:t>
      </w:r>
      <w:r w:rsidRPr="00D41A4C">
        <w:rPr>
          <w:rFonts w:eastAsia="Calibri"/>
          <w:sz w:val="24"/>
          <w:lang w:bidi="en-US"/>
        </w:rPr>
        <w:tab/>
      </w:r>
      <w:r w:rsidRPr="00D41A4C">
        <w:rPr>
          <w:rFonts w:eastAsia="Calibri"/>
          <w:bCs/>
          <w:sz w:val="24"/>
          <w:lang w:bidi="en-US"/>
        </w:rPr>
        <w:t xml:space="preserve">(a) </w:t>
      </w:r>
      <w:r>
        <w:rPr>
          <w:rFonts w:eastAsia="Calibri"/>
          <w:bCs/>
          <w:sz w:val="24"/>
          <w:lang w:bidi="en-US"/>
        </w:rPr>
        <w:tab/>
      </w:r>
      <w:r w:rsidRPr="00D41A4C">
        <w:rPr>
          <w:rFonts w:eastAsia="Calibri"/>
          <w:bCs/>
          <w:sz w:val="24"/>
          <w:lang w:bidi="en-US"/>
        </w:rPr>
        <w:t>Total number of doctors facing disciplinary hearing are as follows:</w:t>
      </w:r>
    </w:p>
    <w:p w:rsidR="00D41A4C" w:rsidRPr="00D41A4C" w:rsidRDefault="00D41A4C" w:rsidP="00D41A4C">
      <w:pPr>
        <w:tabs>
          <w:tab w:val="left" w:pos="851"/>
          <w:tab w:val="left" w:pos="1134"/>
          <w:tab w:val="left" w:pos="1418"/>
          <w:tab w:val="left" w:pos="6237"/>
        </w:tabs>
        <w:jc w:val="both"/>
        <w:rPr>
          <w:rFonts w:eastAsia="Calibri"/>
          <w:b/>
          <w:bCs/>
          <w:sz w:val="24"/>
          <w:lang w:bidi="en-US"/>
        </w:rPr>
      </w:pPr>
    </w:p>
    <w:p w:rsidR="00D41A4C" w:rsidRPr="00D41A4C" w:rsidRDefault="00D41A4C" w:rsidP="00D41A4C">
      <w:pPr>
        <w:numPr>
          <w:ilvl w:val="0"/>
          <w:numId w:val="49"/>
        </w:numPr>
        <w:ind w:firstLine="698"/>
        <w:jc w:val="both"/>
        <w:rPr>
          <w:rFonts w:eastAsia="Calibri"/>
          <w:bCs/>
          <w:sz w:val="24"/>
          <w:lang w:bidi="en-US"/>
        </w:rPr>
      </w:pPr>
      <w:r w:rsidRPr="00D41A4C">
        <w:rPr>
          <w:rFonts w:eastAsia="Calibri"/>
          <w:bCs/>
          <w:sz w:val="24"/>
          <w:lang w:bidi="en-US"/>
        </w:rPr>
        <w:t>Preliminary- 1523</w:t>
      </w:r>
    </w:p>
    <w:p w:rsidR="00D41A4C" w:rsidRPr="00D41A4C" w:rsidRDefault="00D41A4C" w:rsidP="00D41A4C">
      <w:pPr>
        <w:numPr>
          <w:ilvl w:val="0"/>
          <w:numId w:val="49"/>
        </w:numPr>
        <w:ind w:firstLine="698"/>
        <w:jc w:val="both"/>
        <w:rPr>
          <w:rFonts w:eastAsia="Calibri"/>
          <w:bCs/>
          <w:sz w:val="24"/>
          <w:lang w:bidi="en-US"/>
        </w:rPr>
      </w:pPr>
      <w:r w:rsidRPr="00D41A4C">
        <w:rPr>
          <w:rFonts w:eastAsia="Calibri"/>
          <w:bCs/>
          <w:sz w:val="24"/>
          <w:lang w:bidi="en-US"/>
        </w:rPr>
        <w:t>Professional Conduct – 418</w:t>
      </w: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Pr="00D41A4C" w:rsidRDefault="00D41A4C" w:rsidP="00D41A4C">
      <w:pPr>
        <w:tabs>
          <w:tab w:val="left" w:pos="851"/>
          <w:tab w:val="left" w:pos="1134"/>
          <w:tab w:val="left" w:pos="1418"/>
          <w:tab w:val="left" w:pos="6237"/>
        </w:tabs>
        <w:ind w:left="720"/>
        <w:jc w:val="both"/>
        <w:rPr>
          <w:rFonts w:eastAsia="Calibri"/>
          <w:b/>
          <w:bCs/>
          <w:sz w:val="24"/>
          <w:lang w:bidi="en-US"/>
        </w:rPr>
      </w:pPr>
    </w:p>
    <w:p w:rsidR="00D41A4C" w:rsidRDefault="00D41A4C" w:rsidP="00D41A4C">
      <w:pPr>
        <w:rPr>
          <w:b/>
          <w:sz w:val="24"/>
        </w:rPr>
      </w:pPr>
      <w:r>
        <w:rPr>
          <w:b/>
          <w:sz w:val="24"/>
        </w:rPr>
        <w:lastRenderedPageBreak/>
        <w:tab/>
      </w:r>
      <w:r>
        <w:rPr>
          <w:b/>
          <w:sz w:val="24"/>
        </w:rPr>
        <w:tab/>
      </w:r>
      <w:r>
        <w:rPr>
          <w:b/>
          <w:sz w:val="24"/>
        </w:rPr>
        <w:tab/>
      </w:r>
      <w:r w:rsidRPr="00D41A4C">
        <w:rPr>
          <w:b/>
          <w:sz w:val="24"/>
        </w:rPr>
        <w:t xml:space="preserve">PRELIMINARY </w:t>
      </w:r>
    </w:p>
    <w:p w:rsidR="00D41A4C" w:rsidRPr="00D41A4C" w:rsidRDefault="00D41A4C" w:rsidP="00D41A4C">
      <w:pPr>
        <w:rPr>
          <w:b/>
          <w:sz w:val="24"/>
        </w:rPr>
      </w:pPr>
    </w:p>
    <w:tbl>
      <w:tblPr>
        <w:tblW w:w="3877"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3119"/>
      </w:tblGrid>
      <w:tr w:rsidR="00D41A4C" w:rsidRPr="00D41A4C" w:rsidTr="00D41A4C">
        <w:trPr>
          <w:trHeight w:val="318"/>
        </w:trPr>
        <w:tc>
          <w:tcPr>
            <w:tcW w:w="3070" w:type="pct"/>
            <w:shd w:val="clear" w:color="auto" w:fill="auto"/>
          </w:tcPr>
          <w:p w:rsidR="00D41A4C" w:rsidRPr="00D41A4C" w:rsidRDefault="00D41A4C" w:rsidP="00D41A4C">
            <w:pPr>
              <w:ind w:left="33"/>
              <w:rPr>
                <w:b/>
                <w:bCs/>
                <w:color w:val="000000"/>
                <w:sz w:val="24"/>
              </w:rPr>
            </w:pPr>
            <w:r w:rsidRPr="00D41A4C">
              <w:rPr>
                <w:b/>
                <w:bCs/>
                <w:color w:val="000000"/>
                <w:sz w:val="24"/>
              </w:rPr>
              <w:t>TYPE OF OFFENCE</w:t>
            </w:r>
          </w:p>
        </w:tc>
        <w:tc>
          <w:tcPr>
            <w:tcW w:w="1930" w:type="pct"/>
            <w:shd w:val="clear" w:color="auto" w:fill="auto"/>
          </w:tcPr>
          <w:p w:rsidR="00D41A4C" w:rsidRPr="00D41A4C" w:rsidRDefault="00D41A4C" w:rsidP="00881BE0">
            <w:pPr>
              <w:jc w:val="right"/>
              <w:rPr>
                <w:b/>
                <w:color w:val="000000"/>
                <w:sz w:val="24"/>
              </w:rPr>
            </w:pPr>
            <w:r w:rsidRPr="00D41A4C">
              <w:rPr>
                <w:b/>
                <w:color w:val="000000"/>
                <w:sz w:val="24"/>
              </w:rPr>
              <w:t xml:space="preserve">MEDICAL AND DENTAL </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Unethical Advertising</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Incompetence</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607</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Over servicing</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13</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Breach of confidentiality</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20</w:t>
            </w:r>
          </w:p>
        </w:tc>
      </w:tr>
      <w:tr w:rsidR="00D41A4C" w:rsidRPr="00D41A4C" w:rsidTr="00D41A4C">
        <w:trPr>
          <w:trHeight w:val="285"/>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Damaging Professional Reputation of Colleague</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12</w:t>
            </w:r>
          </w:p>
        </w:tc>
      </w:tr>
      <w:tr w:rsidR="00D41A4C" w:rsidRPr="00D41A4C" w:rsidTr="00D41A4C">
        <w:trPr>
          <w:trHeight w:val="521"/>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Insufficient Care/Treatment &amp; Mismanagement of Patients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263</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Negligence</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w:t>
            </w:r>
          </w:p>
        </w:tc>
      </w:tr>
      <w:tr w:rsidR="00D41A4C" w:rsidRPr="00D41A4C" w:rsidTr="00D41A4C">
        <w:trPr>
          <w:trHeight w:val="591"/>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Unacceptable/Inappropriate Relationship with Patients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25</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Refusing to treat patients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53</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Misdiagnosis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0</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Practicing Outside Scope of competence</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0</w:t>
            </w:r>
          </w:p>
        </w:tc>
      </w:tr>
      <w:tr w:rsidR="00D41A4C" w:rsidRPr="00D41A4C" w:rsidTr="00D41A4C">
        <w:trPr>
          <w:trHeight w:val="591"/>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Fraudulent Certificates/Incorrect Information on Death Certificates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95</w:t>
            </w:r>
          </w:p>
        </w:tc>
      </w:tr>
      <w:tr w:rsidR="00D41A4C" w:rsidRPr="00D41A4C" w:rsidTr="00D41A4C">
        <w:trPr>
          <w:trHeight w:val="556"/>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Refusing to complete forms / producing inaccurate reports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74</w:t>
            </w:r>
          </w:p>
        </w:tc>
      </w:tr>
      <w:tr w:rsidR="00D41A4C" w:rsidRPr="00D41A4C" w:rsidTr="00D41A4C">
        <w:trPr>
          <w:trHeight w:val="305"/>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Overcharging / charging for Services not Rendered</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56</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Issues relating to Consent</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23</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Fraud and theft</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77</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Bringing the Professions into disrepute</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25</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Employing unregistered practitioners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0</w:t>
            </w:r>
          </w:p>
        </w:tc>
      </w:tr>
      <w:tr w:rsidR="00D41A4C" w:rsidRPr="00D41A4C" w:rsidTr="00D41A4C">
        <w:trPr>
          <w:trHeight w:val="474"/>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Unethical dispensing, using of unregistered medicine and prescribing of drugs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5</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Contempt of Council</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0</w:t>
            </w:r>
          </w:p>
        </w:tc>
      </w:tr>
      <w:tr w:rsidR="00D41A4C" w:rsidRPr="00D41A4C" w:rsidTr="00D41A4C">
        <w:trPr>
          <w:trHeight w:val="591"/>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Supersession / Contravening the Hazardous Substances Act, 1973</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37</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Incorrect Accounts</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49</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Bad Communication</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27</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Touting</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5</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Expose patients to danger</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40</w:t>
            </w:r>
          </w:p>
        </w:tc>
      </w:tr>
      <w:tr w:rsidR="00D41A4C" w:rsidRPr="00D41A4C" w:rsidTr="00D41A4C">
        <w:trPr>
          <w:trHeight w:val="318"/>
        </w:trPr>
        <w:tc>
          <w:tcPr>
            <w:tcW w:w="3070" w:type="pct"/>
            <w:shd w:val="clear" w:color="auto" w:fill="auto"/>
            <w:hideMark/>
          </w:tcPr>
          <w:p w:rsidR="00D41A4C" w:rsidRPr="00D41A4C" w:rsidRDefault="00D41A4C" w:rsidP="00881BE0">
            <w:pPr>
              <w:rPr>
                <w:bCs/>
                <w:color w:val="000000"/>
                <w:sz w:val="24"/>
              </w:rPr>
            </w:pPr>
            <w:r w:rsidRPr="00D41A4C">
              <w:rPr>
                <w:bCs/>
                <w:color w:val="000000"/>
                <w:sz w:val="24"/>
              </w:rPr>
              <w:t>Section 51</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2</w:t>
            </w:r>
          </w:p>
        </w:tc>
      </w:tr>
      <w:tr w:rsidR="00D41A4C" w:rsidRPr="00D41A4C" w:rsidTr="00D41A4C">
        <w:trPr>
          <w:trHeight w:val="318"/>
        </w:trPr>
        <w:tc>
          <w:tcPr>
            <w:tcW w:w="3070" w:type="pct"/>
            <w:shd w:val="clear" w:color="auto" w:fill="auto"/>
            <w:noWrap/>
            <w:hideMark/>
          </w:tcPr>
          <w:p w:rsidR="00D41A4C" w:rsidRPr="00D41A4C" w:rsidRDefault="00D41A4C" w:rsidP="00881BE0">
            <w:pPr>
              <w:rPr>
                <w:bCs/>
                <w:color w:val="000000"/>
                <w:sz w:val="24"/>
              </w:rPr>
            </w:pPr>
            <w:r w:rsidRPr="00D41A4C">
              <w:rPr>
                <w:bCs/>
                <w:color w:val="000000"/>
                <w:sz w:val="24"/>
              </w:rPr>
              <w:t>Practicing without registration</w:t>
            </w:r>
          </w:p>
        </w:tc>
        <w:tc>
          <w:tcPr>
            <w:tcW w:w="1930" w:type="pct"/>
            <w:shd w:val="clear" w:color="auto" w:fill="auto"/>
            <w:hideMark/>
          </w:tcPr>
          <w:p w:rsidR="00D41A4C" w:rsidRPr="00D41A4C" w:rsidRDefault="00D41A4C" w:rsidP="00881BE0">
            <w:pPr>
              <w:jc w:val="right"/>
              <w:rPr>
                <w:color w:val="000000"/>
                <w:sz w:val="24"/>
              </w:rPr>
            </w:pPr>
            <w:r w:rsidRPr="00D41A4C">
              <w:rPr>
                <w:color w:val="000000"/>
                <w:sz w:val="24"/>
              </w:rPr>
              <w:t>11</w:t>
            </w:r>
          </w:p>
        </w:tc>
      </w:tr>
      <w:tr w:rsidR="00D41A4C" w:rsidRPr="00D41A4C" w:rsidTr="00D41A4C">
        <w:trPr>
          <w:trHeight w:val="333"/>
        </w:trPr>
        <w:tc>
          <w:tcPr>
            <w:tcW w:w="3070" w:type="pct"/>
            <w:shd w:val="clear" w:color="auto" w:fill="auto"/>
            <w:noWrap/>
            <w:hideMark/>
          </w:tcPr>
          <w:p w:rsidR="00D41A4C" w:rsidRPr="00D41A4C" w:rsidRDefault="00D41A4C" w:rsidP="00881BE0">
            <w:pPr>
              <w:rPr>
                <w:b/>
                <w:bCs/>
                <w:color w:val="000000"/>
                <w:sz w:val="24"/>
              </w:rPr>
            </w:pPr>
            <w:r w:rsidRPr="00D41A4C">
              <w:rPr>
                <w:b/>
                <w:bCs/>
                <w:color w:val="000000"/>
                <w:sz w:val="24"/>
              </w:rPr>
              <w:t>TOTAL</w:t>
            </w:r>
          </w:p>
        </w:tc>
        <w:tc>
          <w:tcPr>
            <w:tcW w:w="1930" w:type="pct"/>
            <w:shd w:val="clear" w:color="auto" w:fill="auto"/>
            <w:hideMark/>
          </w:tcPr>
          <w:p w:rsidR="00D41A4C" w:rsidRPr="00D41A4C" w:rsidRDefault="00D41A4C" w:rsidP="00881BE0">
            <w:pPr>
              <w:jc w:val="right"/>
              <w:rPr>
                <w:b/>
                <w:color w:val="000000"/>
                <w:sz w:val="24"/>
              </w:rPr>
            </w:pPr>
            <w:r w:rsidRPr="00D41A4C">
              <w:rPr>
                <w:b/>
                <w:color w:val="000000"/>
                <w:sz w:val="24"/>
              </w:rPr>
              <w:t>1523</w:t>
            </w:r>
          </w:p>
        </w:tc>
      </w:tr>
    </w:tbl>
    <w:p w:rsidR="00D41A4C" w:rsidRPr="00D41A4C" w:rsidRDefault="00D41A4C" w:rsidP="00D41A4C">
      <w:pPr>
        <w:rPr>
          <w:sz w:val="24"/>
        </w:rPr>
      </w:pPr>
    </w:p>
    <w:p w:rsidR="00D41A4C" w:rsidRDefault="00D41A4C" w:rsidP="00D41A4C">
      <w:pPr>
        <w:rPr>
          <w:b/>
          <w:sz w:val="24"/>
        </w:rPr>
      </w:pPr>
      <w:r>
        <w:rPr>
          <w:b/>
          <w:sz w:val="24"/>
        </w:rPr>
        <w:tab/>
      </w:r>
      <w:r>
        <w:rPr>
          <w:b/>
          <w:sz w:val="24"/>
        </w:rPr>
        <w:tab/>
      </w:r>
      <w:r>
        <w:rPr>
          <w:b/>
          <w:sz w:val="24"/>
        </w:rPr>
        <w:tab/>
      </w:r>
    </w:p>
    <w:p w:rsidR="00D41A4C" w:rsidRDefault="00D41A4C" w:rsidP="00D41A4C">
      <w:pPr>
        <w:rPr>
          <w:b/>
          <w:sz w:val="24"/>
        </w:rPr>
      </w:pPr>
    </w:p>
    <w:p w:rsidR="00D41A4C" w:rsidRDefault="00D41A4C" w:rsidP="00D41A4C">
      <w:pPr>
        <w:rPr>
          <w:b/>
          <w:sz w:val="24"/>
        </w:rPr>
      </w:pPr>
    </w:p>
    <w:p w:rsidR="00D41A4C" w:rsidRDefault="00D41A4C" w:rsidP="00D41A4C">
      <w:pPr>
        <w:rPr>
          <w:b/>
          <w:sz w:val="24"/>
        </w:rPr>
      </w:pPr>
    </w:p>
    <w:p w:rsidR="00D41A4C" w:rsidRDefault="00D41A4C" w:rsidP="00D41A4C">
      <w:pPr>
        <w:rPr>
          <w:b/>
          <w:sz w:val="24"/>
        </w:rPr>
      </w:pPr>
    </w:p>
    <w:p w:rsidR="00D41A4C" w:rsidRDefault="00D41A4C" w:rsidP="00D41A4C">
      <w:pPr>
        <w:rPr>
          <w:b/>
          <w:sz w:val="24"/>
        </w:rPr>
      </w:pPr>
    </w:p>
    <w:p w:rsidR="00D41A4C" w:rsidRDefault="00D41A4C" w:rsidP="00D41A4C">
      <w:pPr>
        <w:rPr>
          <w:b/>
          <w:sz w:val="24"/>
        </w:rPr>
      </w:pPr>
    </w:p>
    <w:p w:rsidR="00D41A4C" w:rsidRDefault="00D41A4C" w:rsidP="00D41A4C">
      <w:pPr>
        <w:rPr>
          <w:b/>
          <w:sz w:val="24"/>
        </w:rPr>
      </w:pPr>
    </w:p>
    <w:p w:rsidR="00D41A4C" w:rsidRDefault="00D41A4C" w:rsidP="00D41A4C">
      <w:pPr>
        <w:rPr>
          <w:b/>
          <w:sz w:val="24"/>
        </w:rPr>
      </w:pPr>
    </w:p>
    <w:p w:rsidR="00D41A4C" w:rsidRPr="00D41A4C" w:rsidRDefault="00D41A4C" w:rsidP="00D41A4C">
      <w:pPr>
        <w:rPr>
          <w:b/>
          <w:sz w:val="24"/>
        </w:rPr>
      </w:pPr>
      <w:r>
        <w:rPr>
          <w:b/>
          <w:sz w:val="24"/>
        </w:rPr>
        <w:lastRenderedPageBreak/>
        <w:tab/>
      </w:r>
      <w:r>
        <w:rPr>
          <w:b/>
          <w:sz w:val="24"/>
        </w:rPr>
        <w:tab/>
      </w:r>
      <w:r>
        <w:rPr>
          <w:b/>
          <w:sz w:val="24"/>
        </w:rPr>
        <w:tab/>
      </w:r>
      <w:r w:rsidRPr="00D41A4C">
        <w:rPr>
          <w:b/>
          <w:sz w:val="24"/>
        </w:rPr>
        <w:t>PROFESSIONAL CONDUCT CASES FOR PROSECUTION</w:t>
      </w:r>
    </w:p>
    <w:tbl>
      <w:tblPr>
        <w:tblW w:w="3775"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3"/>
        <w:gridCol w:w="2904"/>
      </w:tblGrid>
      <w:tr w:rsidR="00D41A4C" w:rsidRPr="00D41A4C" w:rsidTr="00D41A4C">
        <w:trPr>
          <w:trHeight w:val="392"/>
          <w:tblHeader/>
        </w:trPr>
        <w:tc>
          <w:tcPr>
            <w:tcW w:w="3154" w:type="pct"/>
            <w:shd w:val="clear" w:color="auto" w:fill="auto"/>
            <w:hideMark/>
          </w:tcPr>
          <w:p w:rsidR="00D41A4C" w:rsidRPr="00D41A4C" w:rsidRDefault="00D41A4C" w:rsidP="00881BE0">
            <w:pPr>
              <w:rPr>
                <w:b/>
                <w:bCs/>
                <w:color w:val="000000"/>
                <w:sz w:val="24"/>
              </w:rPr>
            </w:pPr>
            <w:r w:rsidRPr="00D41A4C">
              <w:rPr>
                <w:b/>
                <w:bCs/>
                <w:color w:val="000000"/>
                <w:sz w:val="24"/>
              </w:rPr>
              <w:t>TYPE OF OFFENCE</w:t>
            </w:r>
          </w:p>
        </w:tc>
        <w:tc>
          <w:tcPr>
            <w:tcW w:w="1846" w:type="pct"/>
            <w:shd w:val="clear" w:color="auto" w:fill="auto"/>
            <w:hideMark/>
          </w:tcPr>
          <w:p w:rsidR="00D41A4C" w:rsidRPr="00D41A4C" w:rsidRDefault="00D41A4C" w:rsidP="00881BE0">
            <w:pPr>
              <w:rPr>
                <w:b/>
                <w:bCs/>
                <w:color w:val="000000"/>
                <w:sz w:val="24"/>
              </w:rPr>
            </w:pPr>
            <w:r w:rsidRPr="00D41A4C">
              <w:rPr>
                <w:b/>
                <w:bCs/>
                <w:color w:val="000000"/>
                <w:sz w:val="24"/>
              </w:rPr>
              <w:t>MEDICAL AND DENTAL</w:t>
            </w:r>
          </w:p>
        </w:tc>
      </w:tr>
      <w:tr w:rsidR="00D41A4C" w:rsidRPr="00D41A4C" w:rsidTr="00D41A4C">
        <w:trPr>
          <w:trHeight w:val="317"/>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Unethical Advertising</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4</w:t>
            </w:r>
          </w:p>
        </w:tc>
      </w:tr>
      <w:tr w:rsidR="00D41A4C" w:rsidRPr="00D41A4C" w:rsidTr="00D41A4C">
        <w:trPr>
          <w:trHeight w:val="317"/>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Incompetence</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51</w:t>
            </w:r>
          </w:p>
        </w:tc>
      </w:tr>
      <w:tr w:rsidR="00D41A4C" w:rsidRPr="00D41A4C" w:rsidTr="00D41A4C">
        <w:trPr>
          <w:trHeight w:val="315"/>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Breach of confidentiality</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1</w:t>
            </w:r>
          </w:p>
        </w:tc>
      </w:tr>
      <w:tr w:rsidR="00D41A4C" w:rsidRPr="00D41A4C" w:rsidTr="00D41A4C">
        <w:trPr>
          <w:trHeight w:val="569"/>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Insufficient Care/Treatment &amp; Mismanagement of Patients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58</w:t>
            </w:r>
          </w:p>
        </w:tc>
      </w:tr>
      <w:tr w:rsidR="00D41A4C" w:rsidRPr="00D41A4C" w:rsidTr="00D41A4C">
        <w:trPr>
          <w:trHeight w:val="279"/>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Negligence</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98</w:t>
            </w:r>
          </w:p>
        </w:tc>
      </w:tr>
      <w:tr w:rsidR="00D41A4C" w:rsidRPr="00D41A4C" w:rsidTr="00D41A4C">
        <w:trPr>
          <w:trHeight w:val="430"/>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Unacceptable/Inappropriate Relationship with Patients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18</w:t>
            </w:r>
          </w:p>
        </w:tc>
      </w:tr>
      <w:tr w:rsidR="00D41A4C" w:rsidRPr="00D41A4C" w:rsidTr="00D41A4C">
        <w:trPr>
          <w:trHeight w:val="453"/>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Refusing to treat patients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4</w:t>
            </w:r>
          </w:p>
        </w:tc>
      </w:tr>
      <w:tr w:rsidR="00D41A4C" w:rsidRPr="00D41A4C" w:rsidTr="00D41A4C">
        <w:trPr>
          <w:trHeight w:val="277"/>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Misdiagnosis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4</w:t>
            </w:r>
          </w:p>
        </w:tc>
      </w:tr>
      <w:tr w:rsidR="00D41A4C" w:rsidRPr="00D41A4C" w:rsidTr="00D41A4C">
        <w:trPr>
          <w:trHeight w:val="403"/>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Practicing Outside Scope of competence</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14</w:t>
            </w:r>
          </w:p>
        </w:tc>
      </w:tr>
      <w:tr w:rsidR="00D41A4C" w:rsidRPr="00D41A4C" w:rsidTr="00D41A4C">
        <w:trPr>
          <w:trHeight w:val="529"/>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Fraudulent Certificates/Incorrect Information on Death Certificates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16</w:t>
            </w:r>
          </w:p>
        </w:tc>
      </w:tr>
      <w:tr w:rsidR="00D41A4C" w:rsidRPr="00D41A4C" w:rsidTr="00D41A4C">
        <w:trPr>
          <w:trHeight w:val="565"/>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Refusing to complete forms / producing inaccurate reports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6</w:t>
            </w:r>
          </w:p>
        </w:tc>
      </w:tr>
      <w:tr w:rsidR="00D41A4C" w:rsidRPr="00D41A4C" w:rsidTr="00D41A4C">
        <w:trPr>
          <w:trHeight w:val="436"/>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Overcharging / charging for Services not Rendered</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40</w:t>
            </w:r>
          </w:p>
        </w:tc>
      </w:tr>
      <w:tr w:rsidR="00D41A4C" w:rsidRPr="00D41A4C" w:rsidTr="00D41A4C">
        <w:trPr>
          <w:trHeight w:val="358"/>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Issues relating to Consent</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14</w:t>
            </w:r>
          </w:p>
        </w:tc>
      </w:tr>
      <w:tr w:rsidR="00D41A4C" w:rsidRPr="00D41A4C" w:rsidTr="00D41A4C">
        <w:trPr>
          <w:trHeight w:val="304"/>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Fraud and theft</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52</w:t>
            </w:r>
          </w:p>
        </w:tc>
      </w:tr>
      <w:tr w:rsidR="00D41A4C" w:rsidRPr="00D41A4C" w:rsidTr="00D41A4C">
        <w:trPr>
          <w:trHeight w:val="340"/>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Bringing the Professions into disrepute</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7</w:t>
            </w:r>
          </w:p>
        </w:tc>
      </w:tr>
      <w:tr w:rsidR="00D41A4C" w:rsidRPr="00D41A4C" w:rsidTr="00D41A4C">
        <w:trPr>
          <w:trHeight w:val="349"/>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Employing unregistered practitioners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6</w:t>
            </w:r>
          </w:p>
        </w:tc>
      </w:tr>
      <w:tr w:rsidR="00D41A4C" w:rsidRPr="00D41A4C" w:rsidTr="00D41A4C">
        <w:trPr>
          <w:trHeight w:val="565"/>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Unethical dispensing, using of unregistered medicine and prescribing of drugs</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2</w:t>
            </w:r>
          </w:p>
        </w:tc>
      </w:tr>
      <w:tr w:rsidR="00D41A4C" w:rsidRPr="00D41A4C" w:rsidTr="00D41A4C">
        <w:trPr>
          <w:trHeight w:val="289"/>
        </w:trPr>
        <w:tc>
          <w:tcPr>
            <w:tcW w:w="3154" w:type="pct"/>
            <w:shd w:val="clear" w:color="auto" w:fill="auto"/>
            <w:hideMark/>
          </w:tcPr>
          <w:p w:rsidR="00D41A4C" w:rsidRPr="00D41A4C" w:rsidRDefault="00D41A4C" w:rsidP="00881BE0">
            <w:pPr>
              <w:rPr>
                <w:bCs/>
                <w:color w:val="000000"/>
                <w:sz w:val="24"/>
              </w:rPr>
            </w:pPr>
            <w:r w:rsidRPr="00D41A4C">
              <w:rPr>
                <w:bCs/>
                <w:color w:val="000000"/>
                <w:sz w:val="24"/>
              </w:rPr>
              <w:t>Contempt of Council</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15</w:t>
            </w:r>
          </w:p>
        </w:tc>
      </w:tr>
      <w:tr w:rsidR="00D41A4C" w:rsidRPr="00D41A4C" w:rsidTr="00D41A4C">
        <w:trPr>
          <w:trHeight w:val="286"/>
        </w:trPr>
        <w:tc>
          <w:tcPr>
            <w:tcW w:w="3154" w:type="pct"/>
            <w:shd w:val="clear" w:color="auto" w:fill="auto"/>
            <w:noWrap/>
            <w:hideMark/>
          </w:tcPr>
          <w:p w:rsidR="00D41A4C" w:rsidRPr="00D41A4C" w:rsidRDefault="00D41A4C" w:rsidP="00881BE0">
            <w:pPr>
              <w:rPr>
                <w:bCs/>
                <w:color w:val="000000"/>
                <w:sz w:val="24"/>
              </w:rPr>
            </w:pPr>
            <w:r w:rsidRPr="00D41A4C">
              <w:rPr>
                <w:bCs/>
                <w:color w:val="000000"/>
                <w:sz w:val="24"/>
              </w:rPr>
              <w:t>Practicing without registration</w:t>
            </w:r>
          </w:p>
        </w:tc>
        <w:tc>
          <w:tcPr>
            <w:tcW w:w="1846" w:type="pct"/>
            <w:shd w:val="clear" w:color="auto" w:fill="auto"/>
            <w:hideMark/>
          </w:tcPr>
          <w:p w:rsidR="00D41A4C" w:rsidRPr="00D41A4C" w:rsidRDefault="00D41A4C" w:rsidP="00881BE0">
            <w:pPr>
              <w:jc w:val="right"/>
              <w:rPr>
                <w:color w:val="000000"/>
                <w:sz w:val="24"/>
              </w:rPr>
            </w:pPr>
            <w:r w:rsidRPr="00D41A4C">
              <w:rPr>
                <w:color w:val="000000"/>
                <w:sz w:val="24"/>
              </w:rPr>
              <w:t>8</w:t>
            </w:r>
          </w:p>
        </w:tc>
      </w:tr>
      <w:tr w:rsidR="00D41A4C" w:rsidRPr="00D41A4C" w:rsidTr="00D41A4C">
        <w:trPr>
          <w:trHeight w:val="340"/>
        </w:trPr>
        <w:tc>
          <w:tcPr>
            <w:tcW w:w="3154" w:type="pct"/>
            <w:shd w:val="clear" w:color="auto" w:fill="auto"/>
            <w:noWrap/>
            <w:hideMark/>
          </w:tcPr>
          <w:p w:rsidR="00D41A4C" w:rsidRPr="00D41A4C" w:rsidRDefault="00D41A4C" w:rsidP="00881BE0">
            <w:pPr>
              <w:rPr>
                <w:b/>
                <w:bCs/>
                <w:color w:val="000000"/>
                <w:sz w:val="24"/>
              </w:rPr>
            </w:pPr>
            <w:r w:rsidRPr="00D41A4C">
              <w:rPr>
                <w:b/>
                <w:bCs/>
                <w:color w:val="000000"/>
                <w:sz w:val="24"/>
              </w:rPr>
              <w:t>TOTAL</w:t>
            </w:r>
          </w:p>
        </w:tc>
        <w:tc>
          <w:tcPr>
            <w:tcW w:w="1846" w:type="pct"/>
            <w:shd w:val="clear" w:color="auto" w:fill="auto"/>
            <w:hideMark/>
          </w:tcPr>
          <w:p w:rsidR="00D41A4C" w:rsidRPr="00D41A4C" w:rsidRDefault="00D41A4C" w:rsidP="00881BE0">
            <w:pPr>
              <w:jc w:val="right"/>
              <w:rPr>
                <w:b/>
                <w:bCs/>
                <w:color w:val="000000"/>
                <w:sz w:val="24"/>
              </w:rPr>
            </w:pPr>
            <w:r w:rsidRPr="00D41A4C">
              <w:rPr>
                <w:b/>
                <w:bCs/>
                <w:color w:val="000000"/>
                <w:sz w:val="24"/>
              </w:rPr>
              <w:t>418</w:t>
            </w:r>
          </w:p>
        </w:tc>
      </w:tr>
    </w:tbl>
    <w:p w:rsidR="00D41A4C" w:rsidRDefault="00D41A4C" w:rsidP="00D41A4C">
      <w:pPr>
        <w:rPr>
          <w:rStyle w:val="Strong"/>
          <w:b w:val="0"/>
          <w:sz w:val="24"/>
        </w:rPr>
      </w:pPr>
    </w:p>
    <w:p w:rsidR="00D41A4C" w:rsidRPr="00D41A4C" w:rsidRDefault="00D41A4C" w:rsidP="00D41A4C">
      <w:pPr>
        <w:rPr>
          <w:rStyle w:val="Strong"/>
          <w:b w:val="0"/>
          <w:sz w:val="24"/>
        </w:rPr>
      </w:pPr>
      <w:r w:rsidRPr="00D41A4C">
        <w:rPr>
          <w:rStyle w:val="Strong"/>
          <w:b w:val="0"/>
          <w:sz w:val="24"/>
        </w:rPr>
        <w:tab/>
        <w:t>(b)</w:t>
      </w:r>
      <w:r w:rsidRPr="00D41A4C">
        <w:rPr>
          <w:rStyle w:val="Strong"/>
          <w:b w:val="0"/>
          <w:sz w:val="24"/>
        </w:rPr>
        <w:tab/>
        <w:t>This is a matter for South African Police Services</w:t>
      </w:r>
    </w:p>
    <w:p w:rsidR="00D41A4C" w:rsidRDefault="00D41A4C" w:rsidP="00C47DA6">
      <w:pPr>
        <w:pStyle w:val="BodyText"/>
        <w:rPr>
          <w:sz w:val="24"/>
          <w:lang w:val="en-GB"/>
        </w:rPr>
      </w:pPr>
    </w:p>
    <w:p w:rsidR="00D41A4C" w:rsidRDefault="00D41A4C" w:rsidP="00C47DA6">
      <w:pPr>
        <w:pStyle w:val="BodyText"/>
        <w:rPr>
          <w:sz w:val="24"/>
          <w:lang w:val="en-GB"/>
        </w:rPr>
      </w:pPr>
    </w:p>
    <w:p w:rsidR="00E238C2" w:rsidRPr="00D41A4C" w:rsidRDefault="00E238C2" w:rsidP="00C47DA6">
      <w:pPr>
        <w:pStyle w:val="BodyText"/>
        <w:rPr>
          <w:b/>
          <w:bCs/>
          <w:sz w:val="24"/>
          <w:lang w:val="en-GB"/>
        </w:rPr>
      </w:pPr>
      <w:r w:rsidRPr="00D41A4C">
        <w:rPr>
          <w:sz w:val="24"/>
          <w:lang w:val="en-GB"/>
        </w:rPr>
        <w:t>END.</w:t>
      </w:r>
    </w:p>
    <w:sectPr w:rsidR="00E238C2" w:rsidRPr="00D41A4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DB" w:rsidRDefault="009F35DB">
      <w:r>
        <w:separator/>
      </w:r>
    </w:p>
  </w:endnote>
  <w:endnote w:type="continuationSeparator" w:id="1">
    <w:p w:rsidR="009F35DB" w:rsidRDefault="009F3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F1BA8">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F1BA8">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D41A4C">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DB" w:rsidRDefault="009F35DB">
      <w:r>
        <w:separator/>
      </w:r>
    </w:p>
  </w:footnote>
  <w:footnote w:type="continuationSeparator" w:id="1">
    <w:p w:rsidR="009F35DB" w:rsidRDefault="009F3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CC009B1"/>
    <w:multiLevelType w:val="hybridMultilevel"/>
    <w:tmpl w:val="E66A2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465EF"/>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32DE"/>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30BA"/>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1BA8"/>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36778"/>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9F35DB"/>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A4C"/>
    <w:rsid w:val="00D41F2F"/>
    <w:rsid w:val="00D444F5"/>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1662"/>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2018-07-02T10:03:00Z</cp:lastPrinted>
  <dcterms:created xsi:type="dcterms:W3CDTF">2018-06-18T20:56:00Z</dcterms:created>
  <dcterms:modified xsi:type="dcterms:W3CDTF">2018-07-02T10:03:00Z</dcterms:modified>
</cp:coreProperties>
</file>