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002214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</w:t>
      </w:r>
    </w:p>
    <w:p w:rsidR="00D33C41" w:rsidRPr="00002214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002214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002214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002214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002214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002214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002214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00221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00221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00221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03917" w:rsidRPr="0000221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6F6F8E" w:rsidRPr="0000221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6</w:t>
      </w:r>
      <w:r w:rsidR="003F157F" w:rsidRPr="0000221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20</w:t>
      </w:r>
    </w:p>
    <w:p w:rsidR="00D33C41" w:rsidRPr="00002214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00221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621A82" w:rsidRPr="0000221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505A71" w:rsidRPr="0000221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9</w:t>
      </w:r>
      <w:r w:rsidR="00061748" w:rsidRPr="0000221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APRIL</w:t>
      </w:r>
      <w:r w:rsidR="009E7540" w:rsidRPr="0000221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00221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002214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00221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670DC9" w:rsidRPr="0000221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505A71" w:rsidRPr="0000221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5 </w:t>
      </w:r>
      <w:r w:rsidR="009E7540" w:rsidRPr="0000221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00221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3F157F" w:rsidRPr="00002214" w:rsidRDefault="003F157F" w:rsidP="00002214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4"/>
          <w:szCs w:val="40"/>
        </w:rPr>
      </w:pPr>
      <w:r w:rsidRPr="00002214">
        <w:rPr>
          <w:rFonts w:ascii="Arial" w:hAnsi="Arial" w:cs="Arial"/>
          <w:b/>
          <w:sz w:val="24"/>
          <w:szCs w:val="40"/>
          <w:lang w:val="en-US"/>
        </w:rPr>
        <w:t>1620</w:t>
      </w:r>
      <w:r w:rsidRPr="00002214">
        <w:rPr>
          <w:rFonts w:ascii="Arial" w:hAnsi="Arial" w:cs="Arial"/>
          <w:b/>
          <w:sz w:val="24"/>
          <w:szCs w:val="40"/>
        </w:rPr>
        <w:t>.</w:t>
      </w:r>
      <w:r w:rsidRPr="00002214">
        <w:rPr>
          <w:rFonts w:ascii="Arial" w:hAnsi="Arial" w:cs="Arial"/>
          <w:b/>
          <w:sz w:val="24"/>
          <w:szCs w:val="40"/>
        </w:rPr>
        <w:tab/>
        <w:t>Ms A L A Abrahams (DA) to ask the Minister of Social Development</w:t>
      </w:r>
      <w:r w:rsidR="0004359E" w:rsidRPr="00002214">
        <w:rPr>
          <w:rFonts w:ascii="Arial" w:hAnsi="Arial" w:cs="Arial"/>
          <w:b/>
          <w:sz w:val="24"/>
          <w:szCs w:val="40"/>
        </w:rPr>
        <w:fldChar w:fldCharType="begin"/>
      </w:r>
      <w:r w:rsidRPr="00002214">
        <w:rPr>
          <w:rFonts w:ascii="Arial" w:hAnsi="Arial" w:cs="Arial"/>
          <w:sz w:val="24"/>
          <w:szCs w:val="40"/>
        </w:rPr>
        <w:instrText xml:space="preserve"> XE "</w:instrText>
      </w:r>
      <w:r w:rsidRPr="00002214">
        <w:rPr>
          <w:rFonts w:ascii="Arial" w:hAnsi="Arial" w:cs="Arial"/>
          <w:b/>
          <w:bCs/>
          <w:sz w:val="24"/>
          <w:szCs w:val="40"/>
        </w:rPr>
        <w:instrText>Social Development</w:instrText>
      </w:r>
      <w:r w:rsidRPr="00002214">
        <w:rPr>
          <w:rFonts w:ascii="Arial" w:hAnsi="Arial" w:cs="Arial"/>
          <w:sz w:val="24"/>
          <w:szCs w:val="40"/>
        </w:rPr>
        <w:instrText xml:space="preserve">" </w:instrText>
      </w:r>
      <w:r w:rsidR="0004359E" w:rsidRPr="00002214">
        <w:rPr>
          <w:rFonts w:ascii="Arial" w:hAnsi="Arial" w:cs="Arial"/>
          <w:b/>
          <w:sz w:val="24"/>
          <w:szCs w:val="40"/>
        </w:rPr>
        <w:fldChar w:fldCharType="end"/>
      </w:r>
      <w:r w:rsidRPr="00002214">
        <w:rPr>
          <w:rFonts w:ascii="Arial" w:hAnsi="Arial" w:cs="Arial"/>
          <w:b/>
          <w:sz w:val="24"/>
          <w:szCs w:val="40"/>
        </w:rPr>
        <w:t xml:space="preserve">: </w:t>
      </w:r>
    </w:p>
    <w:p w:rsidR="00571987" w:rsidRPr="00002214" w:rsidRDefault="003F157F" w:rsidP="00002214">
      <w:pPr>
        <w:spacing w:before="240" w:line="360" w:lineRule="auto"/>
        <w:ind w:left="709" w:firstLine="11"/>
        <w:jc w:val="both"/>
        <w:rPr>
          <w:rFonts w:ascii="Arial" w:hAnsi="Arial" w:cs="Arial"/>
          <w:sz w:val="24"/>
          <w:szCs w:val="40"/>
        </w:rPr>
      </w:pPr>
      <w:r w:rsidRPr="00002214">
        <w:rPr>
          <w:rFonts w:ascii="Arial" w:hAnsi="Arial" w:cs="Arial"/>
          <w:sz w:val="24"/>
          <w:szCs w:val="40"/>
        </w:rPr>
        <w:t xml:space="preserve">Whether </w:t>
      </w:r>
      <w:r w:rsidRPr="00002214">
        <w:rPr>
          <w:rFonts w:ascii="Arial" w:hAnsi="Arial" w:cs="Arial"/>
          <w:bCs/>
          <w:color w:val="000000"/>
          <w:sz w:val="24"/>
          <w:szCs w:val="40"/>
        </w:rPr>
        <w:t xml:space="preserve">the SA Social Security Agency (SASSA) </w:t>
      </w:r>
      <w:r w:rsidRPr="00002214">
        <w:rPr>
          <w:rFonts w:ascii="Arial" w:hAnsi="Arial" w:cs="Arial"/>
          <w:sz w:val="24"/>
          <w:szCs w:val="40"/>
        </w:rPr>
        <w:t xml:space="preserve">is able to determine the province where a </w:t>
      </w:r>
      <w:r w:rsidRPr="00002214">
        <w:rPr>
          <w:rFonts w:ascii="Arial" w:hAnsi="Arial" w:cs="Arial"/>
          <w:bCs/>
          <w:color w:val="000000"/>
          <w:sz w:val="24"/>
          <w:szCs w:val="40"/>
        </w:rPr>
        <w:t xml:space="preserve">SASSA </w:t>
      </w:r>
      <w:r w:rsidRPr="00002214">
        <w:rPr>
          <w:rFonts w:ascii="Arial" w:hAnsi="Arial" w:cs="Arial"/>
          <w:sz w:val="24"/>
          <w:szCs w:val="40"/>
        </w:rPr>
        <w:t xml:space="preserve">application is made and where the SASSA grant is drawn; if not, (a) how does SASSA </w:t>
      </w:r>
      <w:r w:rsidRPr="00002214">
        <w:rPr>
          <w:rFonts w:ascii="Arial" w:hAnsi="Arial" w:cs="Arial"/>
          <w:sz w:val="24"/>
          <w:szCs w:val="40"/>
          <w:lang w:val="en-GB"/>
        </w:rPr>
        <w:t>measure</w:t>
      </w:r>
      <w:r w:rsidRPr="00002214">
        <w:rPr>
          <w:rFonts w:ascii="Arial" w:hAnsi="Arial" w:cs="Arial"/>
          <w:sz w:val="24"/>
          <w:szCs w:val="40"/>
        </w:rPr>
        <w:t xml:space="preserve"> demand versus allocation of (a) offices, (b) staffing and (c) other resource capacity; if so, what is the breakdown of beneficiaries in each province?</w:t>
      </w:r>
      <w:r w:rsidR="00002214">
        <w:rPr>
          <w:rFonts w:ascii="Arial" w:hAnsi="Arial" w:cs="Arial"/>
          <w:sz w:val="24"/>
          <w:szCs w:val="40"/>
        </w:rPr>
        <w:tab/>
      </w:r>
      <w:r w:rsidR="00002214">
        <w:rPr>
          <w:rFonts w:ascii="Arial" w:hAnsi="Arial" w:cs="Arial"/>
          <w:sz w:val="24"/>
          <w:szCs w:val="40"/>
        </w:rPr>
        <w:tab/>
      </w:r>
      <w:r w:rsidR="00002214">
        <w:rPr>
          <w:rFonts w:ascii="Arial" w:hAnsi="Arial" w:cs="Arial"/>
          <w:sz w:val="24"/>
          <w:szCs w:val="40"/>
        </w:rPr>
        <w:tab/>
      </w:r>
      <w:r w:rsidR="00002214">
        <w:rPr>
          <w:rFonts w:ascii="Arial" w:hAnsi="Arial" w:cs="Arial"/>
          <w:sz w:val="24"/>
          <w:szCs w:val="40"/>
        </w:rPr>
        <w:tab/>
      </w:r>
      <w:r w:rsidR="00002214">
        <w:rPr>
          <w:rFonts w:ascii="Arial" w:hAnsi="Arial" w:cs="Arial"/>
          <w:sz w:val="24"/>
          <w:szCs w:val="40"/>
        </w:rPr>
        <w:tab/>
      </w:r>
      <w:r w:rsidR="00002214">
        <w:rPr>
          <w:rFonts w:ascii="Arial" w:hAnsi="Arial" w:cs="Arial"/>
          <w:sz w:val="24"/>
          <w:szCs w:val="40"/>
        </w:rPr>
        <w:tab/>
      </w:r>
      <w:r w:rsidR="00002214">
        <w:rPr>
          <w:rFonts w:ascii="Arial" w:hAnsi="Arial" w:cs="Arial"/>
          <w:sz w:val="24"/>
          <w:szCs w:val="40"/>
        </w:rPr>
        <w:tab/>
      </w:r>
      <w:r w:rsidRPr="00002214">
        <w:rPr>
          <w:rFonts w:ascii="Arial" w:hAnsi="Arial" w:cs="Arial"/>
          <w:sz w:val="24"/>
          <w:szCs w:val="40"/>
        </w:rPr>
        <w:t>NW1946E</w:t>
      </w:r>
    </w:p>
    <w:p w:rsidR="00DA4793" w:rsidRPr="00002214" w:rsidRDefault="00DA4793" w:rsidP="00002214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002214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</w:p>
    <w:p w:rsidR="00337141" w:rsidRPr="00002214" w:rsidRDefault="00337141" w:rsidP="00002214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</w:p>
    <w:p w:rsidR="007C35DF" w:rsidRPr="00002214" w:rsidRDefault="00337141" w:rsidP="00002214">
      <w:pPr>
        <w:pStyle w:val="ListParagraph"/>
        <w:spacing w:after="0" w:line="360" w:lineRule="auto"/>
        <w:ind w:left="360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SASSA is able to determine the province where the application for a social grant is made, if such an application was done in person </w:t>
      </w:r>
      <w:r w:rsidR="007C35DF"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at</w:t>
      </w: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a SASSA office. For online applications done through the internet, SASSA is unable to determine the location </w:t>
      </w:r>
      <w:r w:rsidR="007C35DF"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from w</w:t>
      </w: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hich the application was done</w:t>
      </w:r>
      <w:r w:rsidR="007C35DF"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.  However, the address provided by the applicant confirms the province in which the applicant resides.</w:t>
      </w:r>
    </w:p>
    <w:p w:rsidR="007C35DF" w:rsidRPr="00002214" w:rsidRDefault="007C35DF" w:rsidP="00002214">
      <w:pPr>
        <w:pStyle w:val="ListParagraph"/>
        <w:spacing w:after="0" w:line="360" w:lineRule="auto"/>
        <w:ind w:left="360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7C35DF" w:rsidRPr="00002214" w:rsidRDefault="007C35DF" w:rsidP="00002214">
      <w:pPr>
        <w:pStyle w:val="ListParagraph"/>
        <w:spacing w:after="0" w:line="360" w:lineRule="auto"/>
        <w:ind w:left="360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In addition to knowing where an application emanates, </w:t>
      </w:r>
      <w:r w:rsidR="00337141"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SASSA </w:t>
      </w: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i</w:t>
      </w:r>
      <w:r w:rsidR="00337141"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s able to determine where the grant money was withdrawn </w:t>
      </w: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for </w:t>
      </w:r>
      <w:r w:rsidR="00337141"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beneficiar</w:t>
      </w: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ies who receive</w:t>
      </w:r>
      <w:r w:rsidR="00337141"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their</w:t>
      </w:r>
      <w:r w:rsidR="00337141"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money </w:t>
      </w: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through the SASSA/SAPO card.  This information is provided by the South African Post Office to SASSA.  However, where the grant is deposited into a personal bank account, SASSA is unable to determine where the grant is withdrawn.</w:t>
      </w:r>
    </w:p>
    <w:p w:rsidR="007C35DF" w:rsidRPr="00002214" w:rsidRDefault="007C35DF" w:rsidP="00002214">
      <w:pPr>
        <w:pStyle w:val="ListParagraph"/>
        <w:spacing w:after="0" w:line="360" w:lineRule="auto"/>
        <w:ind w:left="360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8C4126" w:rsidRPr="00002214" w:rsidRDefault="00920368" w:rsidP="00002214">
      <w:pPr>
        <w:pStyle w:val="ListParagraph"/>
        <w:numPr>
          <w:ilvl w:val="0"/>
          <w:numId w:val="17"/>
        </w:numPr>
        <w:spacing w:after="0" w:line="360" w:lineRule="auto"/>
        <w:ind w:left="1151" w:hanging="794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The principles for establishment of offices </w:t>
      </w:r>
      <w:r w:rsidR="003C6F01" w:rsidRPr="00002214">
        <w:rPr>
          <w:rFonts w:ascii="Arial" w:eastAsia="Times New Roman" w:hAnsi="Arial" w:cs="Arial"/>
          <w:snapToGrid w:val="0"/>
          <w:sz w:val="24"/>
          <w:szCs w:val="40"/>
          <w:lang w:val="en-GB"/>
        </w:rPr>
        <w:t>was</w:t>
      </w: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derived from the SASSA Service Delivery Model (SDM) which was introduced in 2010. In terms of the SDM</w:t>
      </w:r>
      <w:r w:rsidR="008C4126"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SASSA committ</w:t>
      </w:r>
      <w:r w:rsidR="007C35DF"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ed</w:t>
      </w: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to </w:t>
      </w:r>
      <w:r w:rsidR="003C6F01" w:rsidRPr="00002214">
        <w:rPr>
          <w:rFonts w:ascii="Arial" w:eastAsia="Times New Roman" w:hAnsi="Arial" w:cs="Arial"/>
          <w:snapToGrid w:val="0"/>
          <w:sz w:val="24"/>
          <w:szCs w:val="40"/>
          <w:lang w:val="en-GB"/>
        </w:rPr>
        <w:t xml:space="preserve">the </w:t>
      </w: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establish</w:t>
      </w:r>
      <w:r w:rsidR="0061031F"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ment of </w:t>
      </w: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service office</w:t>
      </w:r>
      <w:r w:rsidR="003C6F01" w:rsidRPr="00002214">
        <w:rPr>
          <w:rFonts w:ascii="Arial" w:eastAsia="Times New Roman" w:hAnsi="Arial" w:cs="Arial"/>
          <w:snapToGrid w:val="0"/>
          <w:sz w:val="24"/>
          <w:szCs w:val="40"/>
          <w:lang w:val="en-GB"/>
        </w:rPr>
        <w:t>s</w:t>
      </w: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="007C35DF"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within a</w:t>
      </w: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40km radius. </w:t>
      </w:r>
      <w:r w:rsidRPr="00002214">
        <w:rPr>
          <w:rFonts w:ascii="Arial" w:eastAsia="Times New Roman" w:hAnsi="Arial" w:cs="Arial"/>
          <w:snapToGrid w:val="0"/>
          <w:sz w:val="24"/>
          <w:szCs w:val="40"/>
          <w:lang w:val="en-GB"/>
        </w:rPr>
        <w:t>Where there is insufficient infrastructure available in the 40km radius and</w:t>
      </w:r>
      <w:r w:rsidR="007C35DF" w:rsidRPr="00002214">
        <w:rPr>
          <w:rFonts w:ascii="Arial" w:eastAsia="Times New Roman" w:hAnsi="Arial" w:cs="Arial"/>
          <w:snapToGrid w:val="0"/>
          <w:sz w:val="24"/>
          <w:szCs w:val="40"/>
          <w:lang w:val="en-GB"/>
        </w:rPr>
        <w:t>/or</w:t>
      </w:r>
      <w:r w:rsidRPr="00002214">
        <w:rPr>
          <w:rFonts w:ascii="Arial" w:eastAsia="Times New Roman" w:hAnsi="Arial" w:cs="Arial"/>
          <w:snapToGrid w:val="0"/>
          <w:sz w:val="24"/>
          <w:szCs w:val="40"/>
          <w:lang w:val="en-GB"/>
        </w:rPr>
        <w:t xml:space="preserve"> the beneficiary numbers do not justify a </w:t>
      </w:r>
      <w:r w:rsidR="003C6F01" w:rsidRPr="00002214">
        <w:rPr>
          <w:rFonts w:ascii="Arial" w:eastAsia="Times New Roman" w:hAnsi="Arial" w:cs="Arial"/>
          <w:snapToGrid w:val="0"/>
          <w:sz w:val="24"/>
          <w:szCs w:val="40"/>
          <w:lang w:val="en-GB"/>
        </w:rPr>
        <w:t xml:space="preserve">physical </w:t>
      </w:r>
      <w:r w:rsidRPr="00002214">
        <w:rPr>
          <w:rFonts w:ascii="Arial" w:eastAsia="Times New Roman" w:hAnsi="Arial" w:cs="Arial"/>
          <w:snapToGrid w:val="0"/>
          <w:sz w:val="24"/>
          <w:szCs w:val="40"/>
          <w:lang w:val="en-GB"/>
        </w:rPr>
        <w:t xml:space="preserve">building, a mobile office unit and field workers </w:t>
      </w:r>
      <w:r w:rsidR="003C6F01" w:rsidRPr="00002214">
        <w:rPr>
          <w:rFonts w:ascii="Arial" w:eastAsia="Times New Roman" w:hAnsi="Arial" w:cs="Arial"/>
          <w:snapToGrid w:val="0"/>
          <w:sz w:val="24"/>
          <w:szCs w:val="40"/>
          <w:lang w:val="en-GB"/>
        </w:rPr>
        <w:t>would be deployed. In the process of attempting to establish th</w:t>
      </w:r>
      <w:r w:rsidR="007C35DF" w:rsidRPr="00002214">
        <w:rPr>
          <w:rFonts w:ascii="Arial" w:eastAsia="Times New Roman" w:hAnsi="Arial" w:cs="Arial"/>
          <w:snapToGrid w:val="0"/>
          <w:sz w:val="24"/>
          <w:szCs w:val="40"/>
          <w:lang w:val="en-GB"/>
        </w:rPr>
        <w:t xml:space="preserve">ese </w:t>
      </w:r>
      <w:r w:rsidR="0061031F" w:rsidRPr="00002214">
        <w:rPr>
          <w:rFonts w:ascii="Arial" w:eastAsia="Times New Roman" w:hAnsi="Arial" w:cs="Arial"/>
          <w:snapToGrid w:val="0"/>
          <w:sz w:val="24"/>
          <w:szCs w:val="40"/>
          <w:lang w:val="en-GB"/>
        </w:rPr>
        <w:t xml:space="preserve">service offices, SASSA does take </w:t>
      </w:r>
      <w:r w:rsidR="0061031F"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reasonable </w:t>
      </w:r>
      <w:r w:rsidR="0061031F" w:rsidRPr="00002214">
        <w:rPr>
          <w:rFonts w:ascii="Arial" w:eastAsia="Times New Roman" w:hAnsi="Arial" w:cs="Arial"/>
          <w:snapToGrid w:val="0"/>
          <w:sz w:val="24"/>
          <w:szCs w:val="40"/>
          <w:lang w:val="en-GB"/>
        </w:rPr>
        <w:t>consideration of available</w:t>
      </w:r>
      <w:r w:rsidR="0061031F"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resources</w:t>
      </w:r>
      <w:r w:rsidR="0061031F" w:rsidRPr="00002214">
        <w:rPr>
          <w:rFonts w:ascii="Arial" w:eastAsia="Times New Roman" w:hAnsi="Arial" w:cs="Arial"/>
          <w:snapToGrid w:val="0"/>
          <w:sz w:val="24"/>
          <w:szCs w:val="40"/>
          <w:lang w:val="en-GB"/>
        </w:rPr>
        <w:t xml:space="preserve"> </w:t>
      </w:r>
      <w:r w:rsidR="0061031F" w:rsidRPr="0000221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(staffing, finance and other tools of trade)</w:t>
      </w:r>
      <w:r w:rsidR="0061031F" w:rsidRPr="00002214">
        <w:rPr>
          <w:rFonts w:ascii="Arial" w:eastAsia="Times New Roman" w:hAnsi="Arial" w:cs="Arial"/>
          <w:snapToGrid w:val="0"/>
          <w:sz w:val="24"/>
          <w:szCs w:val="40"/>
          <w:lang w:val="en-GB"/>
        </w:rPr>
        <w:t xml:space="preserve"> </w:t>
      </w:r>
      <w:r w:rsidR="0061031F"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to </w:t>
      </w:r>
      <w:r w:rsidR="0061031F" w:rsidRPr="00002214">
        <w:rPr>
          <w:rFonts w:ascii="Arial" w:eastAsia="Times New Roman" w:hAnsi="Arial" w:cs="Arial"/>
          <w:snapToGrid w:val="0"/>
          <w:sz w:val="24"/>
          <w:szCs w:val="40"/>
          <w:lang w:val="en-GB"/>
        </w:rPr>
        <w:t xml:space="preserve">help </w:t>
      </w:r>
      <w:r w:rsidR="0061031F"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achieve the progressive realisation of </w:t>
      </w:r>
      <w:r w:rsidR="0061031F" w:rsidRPr="00002214">
        <w:rPr>
          <w:rFonts w:ascii="Arial" w:eastAsia="Times New Roman" w:hAnsi="Arial" w:cs="Arial"/>
          <w:snapToGrid w:val="0"/>
          <w:sz w:val="24"/>
          <w:szCs w:val="40"/>
          <w:lang w:val="en-GB"/>
        </w:rPr>
        <w:t>this objective.</w:t>
      </w:r>
    </w:p>
    <w:p w:rsidR="007C35DF" w:rsidRPr="00002214" w:rsidRDefault="007C35DF" w:rsidP="00002214">
      <w:pPr>
        <w:pStyle w:val="ListParagraph"/>
        <w:spacing w:after="0" w:line="360" w:lineRule="auto"/>
        <w:ind w:left="740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E274CD" w:rsidRPr="00002214" w:rsidRDefault="001E0214" w:rsidP="00002214">
      <w:pPr>
        <w:pStyle w:val="ListParagraph"/>
        <w:numPr>
          <w:ilvl w:val="0"/>
          <w:numId w:val="17"/>
        </w:numPr>
        <w:spacing w:after="0" w:line="360" w:lineRule="auto"/>
        <w:ind w:left="1151" w:hanging="794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In order to establish any additional service point,</w:t>
      </w:r>
      <w:r w:rsidR="00D45427"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funded </w:t>
      </w:r>
      <w:r w:rsidR="00D45427"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posts</w:t>
      </w:r>
      <w:r w:rsidR="00E274CD"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must exist on the organisational structure</w:t>
      </w: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.  Where mobile services are provided, the staff are taken from the local offices to provide the service on specific days.</w:t>
      </w:r>
    </w:p>
    <w:p w:rsidR="001E0214" w:rsidRPr="00002214" w:rsidRDefault="001E0214" w:rsidP="00002214">
      <w:pPr>
        <w:pStyle w:val="ListParagraph"/>
        <w:spacing w:line="360" w:lineRule="auto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E274CD" w:rsidRPr="00002214" w:rsidRDefault="001E0214" w:rsidP="00002214">
      <w:pPr>
        <w:pStyle w:val="ListParagraph"/>
        <w:numPr>
          <w:ilvl w:val="0"/>
          <w:numId w:val="17"/>
        </w:numPr>
        <w:spacing w:after="0" w:line="360" w:lineRule="auto"/>
        <w:ind w:left="1151" w:hanging="794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E</w:t>
      </w:r>
      <w:r w:rsidR="00D45427"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xisting offices are allocated resources on the basis of </w:t>
      </w: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t</w:t>
      </w:r>
      <w:r w:rsidR="00D45427"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he following critical elements :</w:t>
      </w:r>
    </w:p>
    <w:p w:rsidR="00D45427" w:rsidRPr="00002214" w:rsidRDefault="00D45427" w:rsidP="00002214">
      <w:pPr>
        <w:pStyle w:val="ListParagraph"/>
        <w:spacing w:line="360" w:lineRule="auto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D45427" w:rsidRPr="00002214" w:rsidRDefault="00D45427" w:rsidP="00002214">
      <w:pPr>
        <w:pStyle w:val="ListParagraph"/>
        <w:numPr>
          <w:ilvl w:val="1"/>
          <w:numId w:val="17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Number of beneficiaries serviced by the affected office.</w:t>
      </w:r>
    </w:p>
    <w:p w:rsidR="001E0214" w:rsidRPr="00002214" w:rsidRDefault="00D45427" w:rsidP="00002214">
      <w:pPr>
        <w:pStyle w:val="ListParagraph"/>
        <w:numPr>
          <w:ilvl w:val="1"/>
          <w:numId w:val="17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Number of communities the office services which may </w:t>
      </w:r>
      <w:r w:rsidR="001E0214"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require extensive </w:t>
      </w: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travelling</w:t>
      </w:r>
    </w:p>
    <w:p w:rsidR="008C4126" w:rsidRDefault="008C4126" w:rsidP="00002214">
      <w:pPr>
        <w:pStyle w:val="ListParagraph"/>
        <w:numPr>
          <w:ilvl w:val="1"/>
          <w:numId w:val="17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002214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Financial resources available at the time.</w:t>
      </w:r>
    </w:p>
    <w:p w:rsidR="00002214" w:rsidRDefault="00002214" w:rsidP="0000221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002214" w:rsidRDefault="00002214" w:rsidP="0000221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002214" w:rsidRDefault="00002214" w:rsidP="0000221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002214" w:rsidRDefault="00002214" w:rsidP="0000221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002214" w:rsidRDefault="00002214" w:rsidP="0000221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002214" w:rsidRDefault="00002214" w:rsidP="0000221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002214" w:rsidRDefault="00002214" w:rsidP="0000221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002214" w:rsidRDefault="00002214" w:rsidP="0000221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002214" w:rsidRDefault="00002214" w:rsidP="0000221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002214" w:rsidRDefault="00002214" w:rsidP="0000221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002214" w:rsidRPr="00002214" w:rsidRDefault="00002214" w:rsidP="0000221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bookmarkStart w:id="0" w:name="_GoBack"/>
      <w:bookmarkEnd w:id="0"/>
    </w:p>
    <w:p w:rsidR="00E274CD" w:rsidRPr="00002214" w:rsidRDefault="00E274CD" w:rsidP="00E274CD">
      <w:pPr>
        <w:pStyle w:val="ListParagraph"/>
        <w:rPr>
          <w:rFonts w:ascii="Arial" w:hAnsi="Arial" w:cs="Arial"/>
          <w:sz w:val="24"/>
          <w:szCs w:val="40"/>
        </w:rPr>
      </w:pPr>
    </w:p>
    <w:p w:rsidR="00337141" w:rsidRPr="00002214" w:rsidRDefault="00D45427" w:rsidP="0061031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002214">
        <w:rPr>
          <w:rFonts w:ascii="Arial" w:hAnsi="Arial" w:cs="Arial"/>
          <w:sz w:val="24"/>
          <w:szCs w:val="40"/>
        </w:rPr>
        <w:t xml:space="preserve"> </w:t>
      </w:r>
      <w:r w:rsidRPr="00002214">
        <w:rPr>
          <w:rFonts w:ascii="Arial" w:hAnsi="Arial" w:cs="Arial"/>
          <w:b/>
          <w:sz w:val="24"/>
          <w:szCs w:val="40"/>
        </w:rPr>
        <w:t>B</w:t>
      </w:r>
      <w:r w:rsidR="00337141" w:rsidRPr="00002214">
        <w:rPr>
          <w:rFonts w:ascii="Arial" w:hAnsi="Arial" w:cs="Arial"/>
          <w:b/>
          <w:sz w:val="24"/>
          <w:szCs w:val="40"/>
        </w:rPr>
        <w:t>reakdown of beneficiaries in each province</w:t>
      </w:r>
      <w:r w:rsidRPr="00002214">
        <w:rPr>
          <w:rFonts w:ascii="Arial" w:hAnsi="Arial" w:cs="Arial"/>
          <w:b/>
          <w:sz w:val="24"/>
          <w:szCs w:val="40"/>
        </w:rPr>
        <w:t xml:space="preserve"> </w:t>
      </w:r>
      <w:r w:rsidR="00337141" w:rsidRPr="00002214">
        <w:rPr>
          <w:rFonts w:ascii="Arial" w:hAnsi="Arial" w:cs="Arial"/>
          <w:b/>
          <w:sz w:val="24"/>
          <w:szCs w:val="40"/>
        </w:rPr>
        <w:tab/>
      </w:r>
    </w:p>
    <w:p w:rsidR="00D66CE3" w:rsidRPr="00002214" w:rsidRDefault="00D66CE3" w:rsidP="00D66CE3">
      <w:pPr>
        <w:pStyle w:val="ListParagraph"/>
        <w:spacing w:after="0" w:line="240" w:lineRule="auto"/>
        <w:ind w:left="74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002214">
        <w:rPr>
          <w:rFonts w:ascii="Arial" w:hAnsi="Arial" w:cs="Arial"/>
          <w:b/>
          <w:sz w:val="24"/>
          <w:szCs w:val="40"/>
        </w:rPr>
        <w:tab/>
      </w:r>
    </w:p>
    <w:tbl>
      <w:tblPr>
        <w:tblW w:w="10201" w:type="dxa"/>
        <w:tblLayout w:type="fixed"/>
        <w:tblLook w:val="04A0"/>
      </w:tblPr>
      <w:tblGrid>
        <w:gridCol w:w="988"/>
        <w:gridCol w:w="850"/>
        <w:gridCol w:w="1134"/>
        <w:gridCol w:w="1418"/>
        <w:gridCol w:w="992"/>
        <w:gridCol w:w="850"/>
        <w:gridCol w:w="851"/>
        <w:gridCol w:w="992"/>
        <w:gridCol w:w="992"/>
        <w:gridCol w:w="1134"/>
      </w:tblGrid>
      <w:tr w:rsidR="00D66CE3" w:rsidRPr="00E36C5C" w:rsidTr="00D66CE3">
        <w:trPr>
          <w:trHeight w:val="290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Total number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BENEFICIARIES</w:t>
            </w: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in Payment by region and Grant Type as at 202203</w:t>
            </w:r>
          </w:p>
        </w:tc>
      </w:tr>
      <w:tr w:rsidR="00D66CE3" w:rsidRPr="00E36C5C" w:rsidTr="00D66CE3">
        <w:trPr>
          <w:trHeight w:val="7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Care Dependency Grant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Child Support Grant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Combination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(foster child and care dependency)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Disability Grant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66CE3" w:rsidRPr="00E36C5C" w:rsidRDefault="00D66CE3" w:rsidP="00D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Foster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hild</w:t>
            </w: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Grant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Grant-In-Aid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Old Age Grant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66CE3" w:rsidRPr="00E36C5C" w:rsidRDefault="00D66CE3" w:rsidP="00D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War Veterans Grant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Grand Total</w:t>
            </w:r>
          </w:p>
        </w:tc>
      </w:tr>
      <w:tr w:rsidR="00D66CE3" w:rsidRPr="00E36C5C" w:rsidTr="00D66CE3">
        <w:trPr>
          <w:trHeight w:val="5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Eastern Cape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D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1079071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36422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595873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1721073</w:t>
            </w:r>
          </w:p>
        </w:tc>
      </w:tr>
      <w:tr w:rsidR="00D66CE3" w:rsidRPr="00E36C5C" w:rsidTr="00D66CE3">
        <w:trPr>
          <w:trHeight w:val="2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Free State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D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418796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75276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214703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672672</w:t>
            </w:r>
          </w:p>
        </w:tc>
      </w:tr>
      <w:tr w:rsidR="00D66CE3" w:rsidRPr="00E36C5C" w:rsidTr="00D66CE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Gauteng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D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1179473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115924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26651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700253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1951636</w:t>
            </w:r>
          </w:p>
        </w:tc>
      </w:tr>
      <w:tr w:rsidR="00D66CE3" w:rsidRPr="00E36C5C" w:rsidTr="00D66CE3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D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Kwa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Z</w:t>
            </w: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ulu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Natal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36983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1642112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215294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38724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81766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741335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2476262</w:t>
            </w:r>
          </w:p>
        </w:tc>
      </w:tr>
      <w:tr w:rsidR="00D66CE3" w:rsidRPr="00E36C5C" w:rsidTr="00D66CE3">
        <w:trPr>
          <w:trHeight w:val="2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Limpopo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D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1064528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95731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26332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56198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494929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1589530</w:t>
            </w:r>
          </w:p>
        </w:tc>
      </w:tr>
      <w:tr w:rsidR="00D66CE3" w:rsidRPr="00E36C5C" w:rsidTr="00D66CE3">
        <w:trPr>
          <w:trHeight w:val="5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Mpumalanga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D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655480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76135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270796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957640</w:t>
            </w:r>
          </w:p>
        </w:tc>
      </w:tr>
      <w:tr w:rsidR="00D66CE3" w:rsidRPr="00E36C5C" w:rsidTr="00D66CE3">
        <w:trPr>
          <w:trHeight w:val="5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North West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498010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61456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280052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807904</w:t>
            </w:r>
          </w:p>
        </w:tc>
      </w:tr>
      <w:tr w:rsidR="00D66CE3" w:rsidRPr="00E36C5C" w:rsidTr="00D66CE3">
        <w:trPr>
          <w:trHeight w:val="5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Northern Cape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181501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93362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301871</w:t>
            </w:r>
          </w:p>
        </w:tc>
      </w:tr>
      <w:tr w:rsidR="00D66CE3" w:rsidRPr="00E36C5C" w:rsidTr="00D66CE3">
        <w:trPr>
          <w:trHeight w:val="5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Western Cape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D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636676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145133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383301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1125222</w:t>
            </w:r>
          </w:p>
        </w:tc>
      </w:tr>
      <w:tr w:rsidR="00D66CE3" w:rsidRPr="00E36C5C" w:rsidTr="00D66CE3">
        <w:trPr>
          <w:trHeight w:val="5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Grand 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143931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7355641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6786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1004798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283771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3774604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66CE3" w:rsidRPr="00E36C5C" w:rsidRDefault="00D66CE3" w:rsidP="00455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11603801</w:t>
            </w:r>
          </w:p>
        </w:tc>
      </w:tr>
    </w:tbl>
    <w:p w:rsidR="00B22B16" w:rsidRPr="008E5698" w:rsidRDefault="00B22B16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04359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889" w:rsidRDefault="00AE6889">
      <w:pPr>
        <w:spacing w:after="0" w:line="240" w:lineRule="auto"/>
      </w:pPr>
      <w:r>
        <w:separator/>
      </w:r>
    </w:p>
  </w:endnote>
  <w:endnote w:type="continuationSeparator" w:id="0">
    <w:p w:rsidR="00AE6889" w:rsidRDefault="00AE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04359E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AE68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889" w:rsidRDefault="00AE6889">
      <w:pPr>
        <w:spacing w:after="0" w:line="240" w:lineRule="auto"/>
      </w:pPr>
      <w:r>
        <w:separator/>
      </w:r>
    </w:p>
  </w:footnote>
  <w:footnote w:type="continuationSeparator" w:id="0">
    <w:p w:rsidR="00AE6889" w:rsidRDefault="00AE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265AF9"/>
    <w:multiLevelType w:val="hybridMultilevel"/>
    <w:tmpl w:val="1D1E6B30"/>
    <w:lvl w:ilvl="0" w:tplc="BB7AD1B8">
      <w:start w:val="1"/>
      <w:numFmt w:val="lowerLetter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E00B33"/>
    <w:multiLevelType w:val="hybridMultilevel"/>
    <w:tmpl w:val="89947108"/>
    <w:lvl w:ilvl="0" w:tplc="A60A64AA">
      <w:start w:val="1"/>
      <w:numFmt w:val="lowerLetter"/>
      <w:lvlText w:val="(%1)"/>
      <w:lvlJc w:val="left"/>
      <w:pPr>
        <w:ind w:left="740" w:hanging="38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6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214"/>
    <w:rsid w:val="00002553"/>
    <w:rsid w:val="000035C4"/>
    <w:rsid w:val="00003917"/>
    <w:rsid w:val="0001673F"/>
    <w:rsid w:val="00022DAF"/>
    <w:rsid w:val="00030F7E"/>
    <w:rsid w:val="00041AA3"/>
    <w:rsid w:val="00041FD4"/>
    <w:rsid w:val="00042BE0"/>
    <w:rsid w:val="0004359E"/>
    <w:rsid w:val="00045724"/>
    <w:rsid w:val="00051EC2"/>
    <w:rsid w:val="000606D9"/>
    <w:rsid w:val="00061748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0214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4EB9"/>
    <w:rsid w:val="00317C62"/>
    <w:rsid w:val="00322453"/>
    <w:rsid w:val="00337141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724D"/>
    <w:rsid w:val="003C0935"/>
    <w:rsid w:val="003C16FC"/>
    <w:rsid w:val="003C2393"/>
    <w:rsid w:val="003C2FF2"/>
    <w:rsid w:val="003C4309"/>
    <w:rsid w:val="003C44B1"/>
    <w:rsid w:val="003C6F01"/>
    <w:rsid w:val="003D6032"/>
    <w:rsid w:val="003E2446"/>
    <w:rsid w:val="003F023C"/>
    <w:rsid w:val="003F157F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0EBD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3D06"/>
    <w:rsid w:val="004F5481"/>
    <w:rsid w:val="004F58F7"/>
    <w:rsid w:val="004F736D"/>
    <w:rsid w:val="00501A17"/>
    <w:rsid w:val="0050367D"/>
    <w:rsid w:val="00505A71"/>
    <w:rsid w:val="00506466"/>
    <w:rsid w:val="00514645"/>
    <w:rsid w:val="00515132"/>
    <w:rsid w:val="00526786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031F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27979"/>
    <w:rsid w:val="00631AD1"/>
    <w:rsid w:val="00634F63"/>
    <w:rsid w:val="00641798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6F6F8E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659D"/>
    <w:rsid w:val="007C35DF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86EF8"/>
    <w:rsid w:val="00892AE6"/>
    <w:rsid w:val="008A0BDC"/>
    <w:rsid w:val="008A43F9"/>
    <w:rsid w:val="008A5D65"/>
    <w:rsid w:val="008B175E"/>
    <w:rsid w:val="008B3F12"/>
    <w:rsid w:val="008B5901"/>
    <w:rsid w:val="008C1BDF"/>
    <w:rsid w:val="008C4126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0368"/>
    <w:rsid w:val="00920B4A"/>
    <w:rsid w:val="00923C66"/>
    <w:rsid w:val="00925A2E"/>
    <w:rsid w:val="00926BB8"/>
    <w:rsid w:val="009311E4"/>
    <w:rsid w:val="00935D20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2C59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E6889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3DA6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436F"/>
    <w:rsid w:val="00CE5049"/>
    <w:rsid w:val="00CE6830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45427"/>
    <w:rsid w:val="00D51239"/>
    <w:rsid w:val="00D61A84"/>
    <w:rsid w:val="00D66CE3"/>
    <w:rsid w:val="00D67D54"/>
    <w:rsid w:val="00D703A5"/>
    <w:rsid w:val="00D71E36"/>
    <w:rsid w:val="00D77748"/>
    <w:rsid w:val="00D80E2E"/>
    <w:rsid w:val="00DA1E4E"/>
    <w:rsid w:val="00DA4793"/>
    <w:rsid w:val="00DB32F0"/>
    <w:rsid w:val="00DC028F"/>
    <w:rsid w:val="00DC221D"/>
    <w:rsid w:val="00DC5658"/>
    <w:rsid w:val="00DD0D64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274CD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6AE2"/>
    <w:rsid w:val="00E90BBD"/>
    <w:rsid w:val="00E90C03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E5E8E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0593"/>
    <w:rsid w:val="00F43329"/>
    <w:rsid w:val="00F43695"/>
    <w:rsid w:val="00F468FA"/>
    <w:rsid w:val="00F56AFA"/>
    <w:rsid w:val="00F62AF9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2B05-45AB-4BCB-A9F4-4034C406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2022-05-18T08:02:00Z</dcterms:created>
  <dcterms:modified xsi:type="dcterms:W3CDTF">2022-05-18T08:02:00Z</dcterms:modified>
</cp:coreProperties>
</file>