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bookmarkStart w:id="0" w:name="_GoBack"/>
      <w:bookmarkEnd w:id="0"/>
    </w:p>
    <w:tbl>
      <w:tblPr>
        <w:tblStyle w:val="GridTable6ColorfulAccent3"/>
        <w:tblW w:w="0" w:type="auto"/>
        <w:tblLook w:val="04A0"/>
      </w:tblPr>
      <w:tblGrid>
        <w:gridCol w:w="9350"/>
      </w:tblGrid>
      <w:tr w:rsidR="00114EE5" w:rsidTr="00114EE5">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1476A6" w:rsidRPr="00DC6183" w:rsidRDefault="001476A6" w:rsidP="001476A6">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1476A6" w:rsidRPr="00DC6183" w:rsidRDefault="001476A6" w:rsidP="001476A6">
      <w:pPr>
        <w:jc w:val="center"/>
        <w:rPr>
          <w:rFonts w:ascii="Arial" w:hAnsi="Arial" w:cs="Arial"/>
          <w:b/>
          <w:bCs/>
          <w:lang w:val="en-ZA"/>
        </w:rPr>
      </w:pPr>
      <w:r w:rsidRPr="00DC6183">
        <w:rPr>
          <w:rFonts w:ascii="Arial" w:hAnsi="Arial" w:cs="Arial"/>
          <w:b/>
          <w:bCs/>
          <w:lang w:val="en-ZA"/>
        </w:rPr>
        <w:t>FOR WRITTEN REPLY</w:t>
      </w:r>
    </w:p>
    <w:p w:rsidR="001476A6" w:rsidRPr="00DC6183" w:rsidRDefault="001476A6" w:rsidP="001476A6">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1616</w:t>
      </w:r>
    </w:p>
    <w:p w:rsidR="001476A6" w:rsidRPr="00DC6183" w:rsidRDefault="001476A6" w:rsidP="001476A6">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28</w:t>
      </w:r>
      <w:r w:rsidRPr="00DC6183">
        <w:rPr>
          <w:rFonts w:ascii="Arial" w:hAnsi="Arial" w:cs="Arial"/>
          <w:b/>
          <w:bCs/>
          <w:lang w:val="en-ZA"/>
        </w:rPr>
        <w:t>/</w:t>
      </w:r>
      <w:r>
        <w:rPr>
          <w:rFonts w:ascii="Arial" w:hAnsi="Arial" w:cs="Arial"/>
          <w:b/>
          <w:bCs/>
          <w:lang w:val="en-ZA"/>
        </w:rPr>
        <w:t>05</w:t>
      </w:r>
      <w:r w:rsidRPr="00DC6183">
        <w:rPr>
          <w:rFonts w:ascii="Arial" w:hAnsi="Arial" w:cs="Arial"/>
          <w:b/>
          <w:bCs/>
          <w:lang w:val="en-ZA"/>
        </w:rPr>
        <w:t>/20</w:t>
      </w:r>
      <w:r>
        <w:rPr>
          <w:rFonts w:ascii="Arial" w:hAnsi="Arial" w:cs="Arial"/>
          <w:b/>
          <w:bCs/>
          <w:lang w:val="en-ZA"/>
        </w:rPr>
        <w:t>21</w:t>
      </w:r>
    </w:p>
    <w:p w:rsidR="001476A6" w:rsidRPr="00FF2AAB" w:rsidRDefault="001476A6" w:rsidP="001476A6">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15</w:t>
      </w:r>
      <w:r w:rsidRPr="00DC6183">
        <w:rPr>
          <w:rFonts w:ascii="Arial" w:hAnsi="Arial" w:cs="Arial"/>
          <w:b/>
          <w:bCs/>
          <w:lang w:val="en-ZA"/>
        </w:rPr>
        <w:t xml:space="preserve"> OF 20</w:t>
      </w:r>
      <w:r>
        <w:rPr>
          <w:rFonts w:ascii="Arial" w:hAnsi="Arial" w:cs="Arial"/>
          <w:b/>
          <w:bCs/>
          <w:lang w:val="en-ZA"/>
        </w:rPr>
        <w:t>21</w:t>
      </w:r>
    </w:p>
    <w:p w:rsidR="001476A6" w:rsidRPr="002E488D" w:rsidRDefault="001476A6" w:rsidP="001476A6">
      <w:pPr>
        <w:spacing w:before="100" w:beforeAutospacing="1" w:after="100" w:afterAutospacing="1" w:line="360" w:lineRule="auto"/>
        <w:ind w:left="720" w:hanging="720"/>
        <w:jc w:val="both"/>
        <w:outlineLvl w:val="0"/>
        <w:rPr>
          <w:rFonts w:ascii="Arial" w:hAnsi="Arial" w:cs="Arial"/>
          <w:b/>
          <w:lang w:val="en-ZA"/>
        </w:rPr>
      </w:pPr>
      <w:r w:rsidRPr="002E488D">
        <w:rPr>
          <w:rFonts w:ascii="Arial" w:hAnsi="Arial" w:cs="Arial"/>
          <w:b/>
          <w:lang w:val="en-ZA"/>
        </w:rPr>
        <w:t>Ms C V King (DA) to ask the Minister of Higher Education, Science and Innovation</w:t>
      </w:r>
      <w:r w:rsidR="00845FF1" w:rsidRPr="002E488D">
        <w:rPr>
          <w:rFonts w:ascii="Arial" w:hAnsi="Arial" w:cs="Arial"/>
          <w:b/>
          <w:lang w:val="en-ZA"/>
        </w:rPr>
        <w:fldChar w:fldCharType="begin"/>
      </w:r>
      <w:r w:rsidRPr="002E488D">
        <w:rPr>
          <w:rFonts w:ascii="Arial" w:hAnsi="Arial" w:cs="Arial"/>
          <w:lang w:val="en-ZA"/>
        </w:rPr>
        <w:instrText xml:space="preserve"> XE "</w:instrText>
      </w:r>
      <w:r w:rsidRPr="002E488D">
        <w:rPr>
          <w:rFonts w:ascii="Arial" w:hAnsi="Arial" w:cs="Arial"/>
          <w:b/>
          <w:lang w:val="en-ZA"/>
        </w:rPr>
        <w:instrText>Higher</w:instrText>
      </w:r>
      <w:r w:rsidRPr="002E488D">
        <w:rPr>
          <w:rFonts w:ascii="Arial" w:hAnsi="Arial" w:cs="Arial"/>
          <w:b/>
        </w:rPr>
        <w:instrText xml:space="preserve"> Education, Science and Innovation</w:instrText>
      </w:r>
      <w:r w:rsidRPr="002E488D">
        <w:rPr>
          <w:rFonts w:ascii="Arial" w:hAnsi="Arial" w:cs="Arial"/>
          <w:lang w:val="en-ZA"/>
        </w:rPr>
        <w:instrText xml:space="preserve">" </w:instrText>
      </w:r>
      <w:r w:rsidR="00845FF1" w:rsidRPr="002E488D">
        <w:rPr>
          <w:rFonts w:ascii="Arial" w:hAnsi="Arial" w:cs="Arial"/>
          <w:b/>
          <w:lang w:val="en-ZA"/>
        </w:rPr>
        <w:fldChar w:fldCharType="end"/>
      </w:r>
      <w:r w:rsidRPr="002E488D">
        <w:rPr>
          <w:rFonts w:ascii="Arial" w:hAnsi="Arial" w:cs="Arial"/>
          <w:b/>
          <w:lang w:val="en-ZA"/>
        </w:rPr>
        <w:t>:</w:t>
      </w:r>
    </w:p>
    <w:p w:rsidR="001476A6" w:rsidRDefault="001476A6" w:rsidP="001476A6">
      <w:pPr>
        <w:spacing w:before="100" w:beforeAutospacing="1" w:after="100" w:afterAutospacing="1" w:line="360" w:lineRule="auto"/>
        <w:ind w:left="720"/>
        <w:contextualSpacing/>
        <w:jc w:val="both"/>
        <w:rPr>
          <w:rFonts w:ascii="Arial" w:eastAsia="Times New Roman" w:hAnsi="Arial" w:cs="Arial"/>
          <w:lang w:val="en-US" w:eastAsia="en-ZA"/>
        </w:rPr>
      </w:pPr>
      <w:r w:rsidRPr="002E488D">
        <w:rPr>
          <w:rFonts w:ascii="Arial" w:eastAsia="SimSun" w:hAnsi="Arial" w:cs="Arial"/>
          <w:lang w:val="en-ZA" w:eastAsia="en-ZA"/>
        </w:rPr>
        <w:t xml:space="preserve">(a) Which technical vocational </w:t>
      </w:r>
      <w:r w:rsidRPr="002E488D">
        <w:rPr>
          <w:rFonts w:ascii="Arial" w:hAnsi="Arial" w:cs="Arial"/>
          <w:lang w:val="en-ZA"/>
        </w:rPr>
        <w:t>education</w:t>
      </w:r>
      <w:r w:rsidRPr="002E488D">
        <w:rPr>
          <w:rFonts w:ascii="Arial" w:eastAsia="SimSun" w:hAnsi="Arial" w:cs="Arial"/>
          <w:lang w:val="en-ZA" w:eastAsia="en-ZA"/>
        </w:rPr>
        <w:t xml:space="preserve"> and training colleges breached the funding claims regulations in (</w:t>
      </w:r>
      <w:proofErr w:type="spellStart"/>
      <w:r w:rsidRPr="002E488D">
        <w:rPr>
          <w:rFonts w:ascii="Arial" w:eastAsia="SimSun" w:hAnsi="Arial" w:cs="Arial"/>
          <w:lang w:val="en-ZA" w:eastAsia="en-ZA"/>
        </w:rPr>
        <w:t>i</w:t>
      </w:r>
      <w:proofErr w:type="spellEnd"/>
      <w:r w:rsidRPr="002E488D">
        <w:rPr>
          <w:rFonts w:ascii="Arial" w:eastAsia="SimSun" w:hAnsi="Arial" w:cs="Arial"/>
          <w:lang w:val="en-ZA" w:eastAsia="en-ZA"/>
        </w:rPr>
        <w:t>) 2020 and (ii) 2021 and (b) what measures are in place to address this</w:t>
      </w:r>
      <w:r w:rsidRPr="002E488D">
        <w:rPr>
          <w:rFonts w:ascii="Arial" w:eastAsia="Times New Roman" w:hAnsi="Arial" w:cs="Arial"/>
          <w:lang w:val="en-US" w:eastAsia="en-ZA"/>
        </w:rPr>
        <w:t>?</w:t>
      </w:r>
      <w:r w:rsidRPr="002E488D">
        <w:rPr>
          <w:rFonts w:ascii="Arial" w:eastAsia="Times New Roman" w:hAnsi="Arial" w:cs="Arial"/>
          <w:lang w:val="en-US" w:eastAsia="en-ZA"/>
        </w:rPr>
        <w:tab/>
      </w:r>
      <w:r w:rsidRPr="002E488D">
        <w:rPr>
          <w:rFonts w:ascii="Arial" w:eastAsia="Times New Roman" w:hAnsi="Arial" w:cs="Arial"/>
          <w:lang w:val="en-US" w:eastAsia="en-ZA"/>
        </w:rPr>
        <w:tab/>
      </w:r>
      <w:r w:rsidRPr="002E488D">
        <w:rPr>
          <w:rFonts w:ascii="Arial" w:eastAsia="Times New Roman" w:hAnsi="Arial" w:cs="Arial"/>
          <w:lang w:val="en-US" w:eastAsia="en-ZA"/>
        </w:rPr>
        <w:tab/>
      </w:r>
      <w:r w:rsidRPr="002E488D">
        <w:rPr>
          <w:rFonts w:ascii="Arial" w:eastAsia="Times New Roman" w:hAnsi="Arial" w:cs="Arial"/>
          <w:lang w:val="en-US" w:eastAsia="en-ZA"/>
        </w:rPr>
        <w:tab/>
      </w:r>
      <w:r w:rsidRPr="002E488D">
        <w:rPr>
          <w:rFonts w:ascii="Arial" w:eastAsia="Times New Roman" w:hAnsi="Arial" w:cs="Arial"/>
          <w:lang w:val="en-US" w:eastAsia="en-ZA"/>
        </w:rPr>
        <w:tab/>
      </w:r>
      <w:r w:rsidRPr="002E488D">
        <w:rPr>
          <w:rFonts w:ascii="Arial" w:eastAsia="Times New Roman" w:hAnsi="Arial" w:cs="Arial"/>
          <w:lang w:val="en-US" w:eastAsia="en-ZA"/>
        </w:rPr>
        <w:tab/>
      </w:r>
      <w:r w:rsidRPr="002E488D">
        <w:rPr>
          <w:rFonts w:ascii="Arial" w:eastAsia="Times New Roman" w:hAnsi="Arial" w:cs="Arial"/>
          <w:lang w:val="en-US" w:eastAsia="en-ZA"/>
        </w:rPr>
        <w:tab/>
      </w:r>
      <w:r w:rsidRPr="002E488D">
        <w:rPr>
          <w:rFonts w:ascii="Arial" w:eastAsia="Times New Roman" w:hAnsi="Arial" w:cs="Arial"/>
          <w:lang w:val="en-US" w:eastAsia="en-ZA"/>
        </w:rPr>
        <w:tab/>
      </w:r>
      <w:r w:rsidRPr="002E488D">
        <w:rPr>
          <w:rFonts w:ascii="Arial" w:eastAsia="Times New Roman" w:hAnsi="Arial" w:cs="Arial"/>
          <w:lang w:val="en-US" w:eastAsia="en-ZA"/>
        </w:rPr>
        <w:tab/>
      </w:r>
      <w:r w:rsidRPr="002E488D">
        <w:rPr>
          <w:rFonts w:ascii="Arial" w:eastAsia="Times New Roman" w:hAnsi="Arial" w:cs="Arial"/>
          <w:lang w:val="en-US" w:eastAsia="en-ZA"/>
        </w:rPr>
        <w:tab/>
      </w:r>
    </w:p>
    <w:p w:rsidR="001476A6" w:rsidRPr="002E488D" w:rsidRDefault="001476A6" w:rsidP="001476A6">
      <w:pPr>
        <w:spacing w:before="100" w:beforeAutospacing="1" w:after="100" w:afterAutospacing="1" w:line="360" w:lineRule="auto"/>
        <w:ind w:left="7200" w:firstLine="720"/>
        <w:contextualSpacing/>
        <w:jc w:val="both"/>
        <w:rPr>
          <w:rFonts w:ascii="Arial" w:eastAsia="SimSun" w:hAnsi="Arial" w:cs="Arial"/>
          <w:b/>
          <w:lang w:val="en-ZA" w:eastAsia="en-ZA"/>
        </w:rPr>
      </w:pPr>
      <w:r w:rsidRPr="002E488D">
        <w:rPr>
          <w:rFonts w:ascii="Arial" w:eastAsia="Times New Roman" w:hAnsi="Arial" w:cs="Arial"/>
          <w:b/>
          <w:lang w:val="en-US" w:eastAsia="en-ZA"/>
        </w:rPr>
        <w:t>NW1822E</w:t>
      </w:r>
    </w:p>
    <w:p w:rsidR="001476A6" w:rsidRDefault="001476A6" w:rsidP="001476A6">
      <w:pPr>
        <w:spacing w:before="100" w:beforeAutospacing="1" w:after="100" w:afterAutospacing="1" w:line="360" w:lineRule="auto"/>
        <w:jc w:val="both"/>
        <w:outlineLvl w:val="0"/>
        <w:rPr>
          <w:rFonts w:ascii="Arial" w:hAnsi="Arial" w:cs="Arial"/>
          <w:b/>
        </w:rPr>
      </w:pPr>
    </w:p>
    <w:p w:rsidR="001476A6" w:rsidRDefault="001476A6" w:rsidP="001476A6">
      <w:pPr>
        <w:spacing w:before="100" w:beforeAutospacing="1" w:after="100" w:afterAutospacing="1" w:line="360" w:lineRule="auto"/>
        <w:jc w:val="both"/>
        <w:outlineLvl w:val="0"/>
        <w:rPr>
          <w:rFonts w:ascii="Arial" w:hAnsi="Arial" w:cs="Arial"/>
          <w:b/>
        </w:rPr>
      </w:pPr>
    </w:p>
    <w:p w:rsidR="001476A6" w:rsidRDefault="001476A6" w:rsidP="001476A6">
      <w:pPr>
        <w:spacing w:before="100" w:beforeAutospacing="1" w:after="100" w:afterAutospacing="1" w:line="360" w:lineRule="auto"/>
        <w:jc w:val="both"/>
        <w:outlineLvl w:val="0"/>
        <w:rPr>
          <w:rFonts w:ascii="Arial" w:hAnsi="Arial" w:cs="Arial"/>
          <w:b/>
        </w:rPr>
      </w:pPr>
    </w:p>
    <w:p w:rsidR="001476A6" w:rsidRDefault="001476A6" w:rsidP="001476A6">
      <w:pPr>
        <w:spacing w:before="100" w:beforeAutospacing="1" w:after="100" w:afterAutospacing="1" w:line="360" w:lineRule="auto"/>
        <w:jc w:val="both"/>
        <w:outlineLvl w:val="0"/>
        <w:rPr>
          <w:rFonts w:ascii="Arial" w:hAnsi="Arial" w:cs="Arial"/>
          <w:b/>
        </w:rPr>
      </w:pPr>
    </w:p>
    <w:p w:rsidR="001476A6" w:rsidRDefault="001476A6" w:rsidP="001476A6">
      <w:pPr>
        <w:spacing w:before="100" w:beforeAutospacing="1" w:after="100" w:afterAutospacing="1" w:line="360" w:lineRule="auto"/>
        <w:jc w:val="both"/>
        <w:outlineLvl w:val="0"/>
        <w:rPr>
          <w:rFonts w:ascii="Arial" w:hAnsi="Arial" w:cs="Arial"/>
          <w:b/>
        </w:rPr>
      </w:pPr>
    </w:p>
    <w:p w:rsidR="001476A6" w:rsidRDefault="001476A6" w:rsidP="001476A6">
      <w:pPr>
        <w:spacing w:before="100" w:beforeAutospacing="1" w:after="100" w:afterAutospacing="1" w:line="360" w:lineRule="auto"/>
        <w:jc w:val="both"/>
        <w:outlineLvl w:val="0"/>
        <w:rPr>
          <w:rFonts w:ascii="Arial" w:hAnsi="Arial" w:cs="Arial"/>
          <w:b/>
        </w:rPr>
      </w:pPr>
    </w:p>
    <w:p w:rsidR="001476A6" w:rsidRDefault="001476A6" w:rsidP="001476A6">
      <w:pPr>
        <w:spacing w:before="100" w:beforeAutospacing="1" w:after="100" w:afterAutospacing="1" w:line="360" w:lineRule="auto"/>
        <w:jc w:val="both"/>
        <w:outlineLvl w:val="0"/>
        <w:rPr>
          <w:rFonts w:ascii="Arial" w:hAnsi="Arial" w:cs="Arial"/>
          <w:b/>
        </w:rPr>
      </w:pPr>
    </w:p>
    <w:p w:rsidR="001476A6" w:rsidRDefault="001476A6" w:rsidP="001476A6">
      <w:pPr>
        <w:spacing w:before="100" w:beforeAutospacing="1" w:after="100" w:afterAutospacing="1" w:line="360" w:lineRule="auto"/>
        <w:jc w:val="both"/>
        <w:outlineLvl w:val="0"/>
        <w:rPr>
          <w:rFonts w:ascii="Arial" w:hAnsi="Arial" w:cs="Arial"/>
          <w:b/>
        </w:rPr>
      </w:pPr>
    </w:p>
    <w:p w:rsidR="001476A6" w:rsidRDefault="001476A6" w:rsidP="001476A6">
      <w:pPr>
        <w:spacing w:before="100" w:beforeAutospacing="1" w:after="100" w:afterAutospacing="1" w:line="360" w:lineRule="auto"/>
        <w:jc w:val="both"/>
        <w:outlineLvl w:val="0"/>
        <w:rPr>
          <w:rFonts w:ascii="Arial" w:hAnsi="Arial" w:cs="Arial"/>
          <w:b/>
        </w:rPr>
      </w:pPr>
    </w:p>
    <w:p w:rsidR="001476A6" w:rsidRDefault="001476A6" w:rsidP="001476A6">
      <w:pPr>
        <w:spacing w:before="100" w:beforeAutospacing="1" w:after="100" w:afterAutospacing="1" w:line="360" w:lineRule="auto"/>
        <w:jc w:val="both"/>
        <w:outlineLvl w:val="0"/>
        <w:rPr>
          <w:rFonts w:ascii="Arial" w:hAnsi="Arial" w:cs="Arial"/>
          <w:b/>
        </w:rPr>
      </w:pPr>
    </w:p>
    <w:p w:rsidR="001476A6" w:rsidRDefault="001476A6" w:rsidP="001476A6">
      <w:pPr>
        <w:spacing w:before="100" w:beforeAutospacing="1" w:after="100" w:afterAutospacing="1" w:line="360" w:lineRule="auto"/>
        <w:jc w:val="both"/>
        <w:outlineLvl w:val="0"/>
        <w:rPr>
          <w:rFonts w:ascii="Arial" w:hAnsi="Arial" w:cs="Arial"/>
          <w:b/>
        </w:rPr>
      </w:pPr>
    </w:p>
    <w:p w:rsidR="001476A6" w:rsidRPr="00FD745A" w:rsidRDefault="001476A6" w:rsidP="001476A6">
      <w:pPr>
        <w:spacing w:before="100" w:beforeAutospacing="1" w:after="100" w:afterAutospacing="1" w:line="360" w:lineRule="auto"/>
        <w:jc w:val="both"/>
        <w:outlineLvl w:val="0"/>
        <w:rPr>
          <w:rFonts w:ascii="Arial" w:hAnsi="Arial" w:cs="Arial"/>
          <w:lang w:val="en-ZA"/>
        </w:rPr>
      </w:pPr>
      <w:r w:rsidRPr="004F3DF8">
        <w:rPr>
          <w:rFonts w:ascii="Arial" w:hAnsi="Arial" w:cs="Arial"/>
          <w:b/>
        </w:rPr>
        <w:lastRenderedPageBreak/>
        <w:t>REPLY:</w:t>
      </w:r>
    </w:p>
    <w:p w:rsidR="001476A6" w:rsidRDefault="001476A6" w:rsidP="001476A6">
      <w:pPr>
        <w:pStyle w:val="NormalWeb"/>
        <w:spacing w:line="360" w:lineRule="auto"/>
        <w:jc w:val="both"/>
        <w:rPr>
          <w:rFonts w:ascii="Arial" w:hAnsi="Arial" w:cs="Arial"/>
          <w:sz w:val="22"/>
          <w:szCs w:val="22"/>
        </w:rPr>
      </w:pPr>
      <w:r w:rsidRPr="00853169">
        <w:rPr>
          <w:rFonts w:ascii="Arial" w:hAnsi="Arial" w:cs="Arial"/>
          <w:sz w:val="22"/>
          <w:szCs w:val="22"/>
        </w:rPr>
        <w:t>(a) The National Student Financial Aid Scheme (NSFAS) pays allowances directly to students enrolled at 44 Technical and Vocational Education and Training (TVET) colleges through the wallet system. Furthermore, NSFAS transfers funds for the allowances of qualifying students enrolled at six colleges that are responsible for making payments to their respective students.</w:t>
      </w:r>
      <w:r>
        <w:rPr>
          <w:rFonts w:ascii="Arial" w:hAnsi="Arial" w:cs="Arial"/>
          <w:sz w:val="22"/>
          <w:szCs w:val="22"/>
        </w:rPr>
        <w:t xml:space="preserve"> The following TVET colleges make allowance payments to their NSFAS students:</w:t>
      </w:r>
    </w:p>
    <w:p w:rsidR="001476A6" w:rsidRDefault="001476A6" w:rsidP="001476A6">
      <w:pPr>
        <w:pStyle w:val="NormalWeb"/>
        <w:numPr>
          <w:ilvl w:val="0"/>
          <w:numId w:val="50"/>
        </w:numPr>
        <w:spacing w:line="360" w:lineRule="auto"/>
        <w:jc w:val="both"/>
        <w:rPr>
          <w:rFonts w:ascii="Arial" w:hAnsi="Arial" w:cs="Arial"/>
          <w:sz w:val="22"/>
          <w:szCs w:val="22"/>
        </w:rPr>
      </w:pPr>
      <w:r>
        <w:rPr>
          <w:rFonts w:ascii="Arial" w:hAnsi="Arial" w:cs="Arial"/>
          <w:sz w:val="22"/>
          <w:szCs w:val="22"/>
        </w:rPr>
        <w:t>College of Cape Town;</w:t>
      </w:r>
    </w:p>
    <w:p w:rsidR="001476A6" w:rsidRDefault="001476A6" w:rsidP="001476A6">
      <w:pPr>
        <w:pStyle w:val="NormalWeb"/>
        <w:numPr>
          <w:ilvl w:val="0"/>
          <w:numId w:val="50"/>
        </w:numPr>
        <w:spacing w:line="360" w:lineRule="auto"/>
        <w:jc w:val="both"/>
        <w:rPr>
          <w:rFonts w:ascii="Arial" w:hAnsi="Arial" w:cs="Arial"/>
          <w:sz w:val="22"/>
          <w:szCs w:val="22"/>
        </w:rPr>
      </w:pPr>
      <w:proofErr w:type="spellStart"/>
      <w:r>
        <w:rPr>
          <w:rFonts w:ascii="Arial" w:hAnsi="Arial" w:cs="Arial"/>
          <w:sz w:val="22"/>
          <w:szCs w:val="22"/>
        </w:rPr>
        <w:t>Northlink</w:t>
      </w:r>
      <w:proofErr w:type="spellEnd"/>
      <w:r>
        <w:rPr>
          <w:rFonts w:ascii="Arial" w:hAnsi="Arial" w:cs="Arial"/>
          <w:sz w:val="22"/>
          <w:szCs w:val="22"/>
        </w:rPr>
        <w:t>;</w:t>
      </w:r>
    </w:p>
    <w:p w:rsidR="001476A6" w:rsidRDefault="001476A6" w:rsidP="001476A6">
      <w:pPr>
        <w:pStyle w:val="NormalWeb"/>
        <w:numPr>
          <w:ilvl w:val="0"/>
          <w:numId w:val="50"/>
        </w:numPr>
        <w:spacing w:line="360" w:lineRule="auto"/>
        <w:jc w:val="both"/>
        <w:rPr>
          <w:rFonts w:ascii="Arial" w:hAnsi="Arial" w:cs="Arial"/>
          <w:sz w:val="22"/>
          <w:szCs w:val="22"/>
        </w:rPr>
      </w:pPr>
      <w:r>
        <w:rPr>
          <w:rFonts w:ascii="Arial" w:hAnsi="Arial" w:cs="Arial"/>
          <w:sz w:val="22"/>
          <w:szCs w:val="22"/>
        </w:rPr>
        <w:t>False Bay;</w:t>
      </w:r>
    </w:p>
    <w:p w:rsidR="001476A6" w:rsidRDefault="001476A6" w:rsidP="001476A6">
      <w:pPr>
        <w:pStyle w:val="NormalWeb"/>
        <w:numPr>
          <w:ilvl w:val="0"/>
          <w:numId w:val="50"/>
        </w:numPr>
        <w:spacing w:line="360" w:lineRule="auto"/>
        <w:jc w:val="both"/>
        <w:rPr>
          <w:rFonts w:ascii="Arial" w:hAnsi="Arial" w:cs="Arial"/>
          <w:sz w:val="22"/>
          <w:szCs w:val="22"/>
        </w:rPr>
      </w:pPr>
      <w:r>
        <w:rPr>
          <w:rFonts w:ascii="Arial" w:hAnsi="Arial" w:cs="Arial"/>
          <w:sz w:val="22"/>
          <w:szCs w:val="22"/>
        </w:rPr>
        <w:t>Boland;</w:t>
      </w:r>
    </w:p>
    <w:p w:rsidR="001476A6" w:rsidRDefault="001476A6" w:rsidP="001476A6">
      <w:pPr>
        <w:pStyle w:val="NormalWeb"/>
        <w:numPr>
          <w:ilvl w:val="0"/>
          <w:numId w:val="50"/>
        </w:numPr>
        <w:spacing w:line="360" w:lineRule="auto"/>
        <w:jc w:val="both"/>
        <w:rPr>
          <w:rFonts w:ascii="Arial" w:hAnsi="Arial" w:cs="Arial"/>
          <w:sz w:val="22"/>
          <w:szCs w:val="22"/>
        </w:rPr>
      </w:pPr>
      <w:r>
        <w:rPr>
          <w:rFonts w:ascii="Arial" w:hAnsi="Arial" w:cs="Arial"/>
          <w:sz w:val="22"/>
          <w:szCs w:val="22"/>
        </w:rPr>
        <w:t>West Coast; and</w:t>
      </w:r>
    </w:p>
    <w:p w:rsidR="001476A6" w:rsidRDefault="001476A6" w:rsidP="001476A6">
      <w:pPr>
        <w:pStyle w:val="NormalWeb"/>
        <w:numPr>
          <w:ilvl w:val="0"/>
          <w:numId w:val="50"/>
        </w:numPr>
        <w:spacing w:line="360" w:lineRule="auto"/>
        <w:jc w:val="both"/>
        <w:rPr>
          <w:rFonts w:ascii="Arial" w:hAnsi="Arial" w:cs="Arial"/>
          <w:sz w:val="22"/>
          <w:szCs w:val="22"/>
        </w:rPr>
      </w:pPr>
      <w:r>
        <w:rPr>
          <w:rFonts w:ascii="Arial" w:hAnsi="Arial" w:cs="Arial"/>
          <w:sz w:val="22"/>
          <w:szCs w:val="22"/>
        </w:rPr>
        <w:t>South Cape.</w:t>
      </w:r>
    </w:p>
    <w:p w:rsidR="001476A6" w:rsidRPr="00853169" w:rsidRDefault="001476A6" w:rsidP="001476A6">
      <w:pPr>
        <w:pStyle w:val="NormalWeb"/>
        <w:spacing w:line="360" w:lineRule="auto"/>
        <w:jc w:val="both"/>
        <w:rPr>
          <w:rFonts w:ascii="Arial" w:hAnsi="Arial" w:cs="Arial"/>
          <w:sz w:val="22"/>
          <w:szCs w:val="22"/>
        </w:rPr>
      </w:pPr>
      <w:r w:rsidRPr="00853169">
        <w:rPr>
          <w:rFonts w:ascii="Arial" w:hAnsi="Arial" w:cs="Arial"/>
          <w:sz w:val="22"/>
          <w:szCs w:val="22"/>
        </w:rPr>
        <w:t>The below responses are based on data obtained from NSFAS, as the Department is still in the process of obtaining the necessary information from the six colleges responsible for disbursing allowances.</w:t>
      </w:r>
    </w:p>
    <w:p w:rsidR="001476A6" w:rsidRPr="00853169" w:rsidRDefault="001476A6" w:rsidP="001476A6">
      <w:pPr>
        <w:pStyle w:val="NormalWeb"/>
        <w:spacing w:line="360" w:lineRule="auto"/>
        <w:jc w:val="both"/>
        <w:rPr>
          <w:rFonts w:ascii="Arial" w:hAnsi="Arial" w:cs="Arial"/>
          <w:sz w:val="22"/>
          <w:szCs w:val="22"/>
        </w:rPr>
      </w:pPr>
      <w:r w:rsidRPr="00853169">
        <w:rPr>
          <w:rFonts w:ascii="Arial" w:hAnsi="Arial" w:cs="Arial"/>
          <w:sz w:val="22"/>
          <w:szCs w:val="22"/>
        </w:rPr>
        <w:t>            (</w:t>
      </w:r>
      <w:proofErr w:type="spellStart"/>
      <w:r w:rsidRPr="00853169">
        <w:rPr>
          <w:rFonts w:ascii="Arial" w:hAnsi="Arial" w:cs="Arial"/>
          <w:sz w:val="22"/>
          <w:szCs w:val="22"/>
        </w:rPr>
        <w:t>i</w:t>
      </w:r>
      <w:proofErr w:type="spellEnd"/>
      <w:r w:rsidRPr="00853169">
        <w:rPr>
          <w:rFonts w:ascii="Arial" w:hAnsi="Arial" w:cs="Arial"/>
          <w:sz w:val="22"/>
          <w:szCs w:val="22"/>
        </w:rPr>
        <w:t xml:space="preserve">) </w:t>
      </w:r>
      <w:r w:rsidRPr="00853169">
        <w:rPr>
          <w:rStyle w:val="Strong"/>
          <w:rFonts w:ascii="Arial" w:hAnsi="Arial" w:cs="Arial"/>
          <w:sz w:val="22"/>
          <w:szCs w:val="22"/>
        </w:rPr>
        <w:t>2020</w:t>
      </w:r>
    </w:p>
    <w:p w:rsidR="001476A6" w:rsidRPr="00853169" w:rsidRDefault="001476A6" w:rsidP="001476A6">
      <w:pPr>
        <w:pStyle w:val="NormalWeb"/>
        <w:spacing w:line="360" w:lineRule="auto"/>
        <w:ind w:left="630"/>
        <w:jc w:val="both"/>
        <w:rPr>
          <w:rFonts w:ascii="Arial" w:hAnsi="Arial" w:cs="Arial"/>
          <w:sz w:val="22"/>
          <w:szCs w:val="22"/>
        </w:rPr>
      </w:pPr>
      <w:r w:rsidRPr="00853169">
        <w:rPr>
          <w:rFonts w:ascii="Arial" w:hAnsi="Arial" w:cs="Arial"/>
          <w:sz w:val="22"/>
          <w:szCs w:val="22"/>
        </w:rPr>
        <w:t xml:space="preserve">In terms of the NSFAS report, 12 colleges contravened the </w:t>
      </w:r>
      <w:r w:rsidRPr="00853169">
        <w:rPr>
          <w:rStyle w:val="Emphasis"/>
          <w:rFonts w:ascii="Arial" w:hAnsi="Arial" w:cs="Arial"/>
          <w:sz w:val="22"/>
          <w:szCs w:val="22"/>
        </w:rPr>
        <w:t>Bursary Rules and Guidelines</w:t>
      </w:r>
      <w:r w:rsidRPr="00853169">
        <w:rPr>
          <w:rFonts w:ascii="Arial" w:hAnsi="Arial" w:cs="Arial"/>
          <w:sz w:val="22"/>
          <w:szCs w:val="22"/>
        </w:rPr>
        <w:t xml:space="preserve"> by lodging student claims for tuition fees exceeding their respective tuition allocations. Furthermore, 26 colleges contravened the bursary policy by lodging claims for accommodation for more than 40% of its NSFAS recipients. Given the broad geographic footprint of TVET colleges with 265 campuses across the country, the Bursary Rules and Guidelines stipulates that colleges may lodge accommodation allowances to a maximum of 40% of its NSFAS recipients.</w:t>
      </w:r>
    </w:p>
    <w:p w:rsidR="001476A6" w:rsidRPr="00853169" w:rsidRDefault="001476A6" w:rsidP="001476A6">
      <w:pPr>
        <w:pStyle w:val="NormalWeb"/>
        <w:spacing w:line="360" w:lineRule="auto"/>
        <w:ind w:left="630"/>
        <w:jc w:val="both"/>
        <w:rPr>
          <w:rFonts w:ascii="Arial" w:hAnsi="Arial" w:cs="Arial"/>
          <w:sz w:val="22"/>
          <w:szCs w:val="22"/>
        </w:rPr>
      </w:pPr>
      <w:r w:rsidRPr="00853169">
        <w:rPr>
          <w:rFonts w:ascii="Arial" w:hAnsi="Arial" w:cs="Arial"/>
          <w:sz w:val="22"/>
          <w:szCs w:val="22"/>
        </w:rPr>
        <w:t>(ii)</w:t>
      </w:r>
      <w:r w:rsidRPr="00853169">
        <w:rPr>
          <w:rStyle w:val="Strong"/>
          <w:rFonts w:ascii="Arial" w:hAnsi="Arial" w:cs="Arial"/>
          <w:sz w:val="22"/>
          <w:szCs w:val="22"/>
        </w:rPr>
        <w:t xml:space="preserve">    2021</w:t>
      </w:r>
    </w:p>
    <w:p w:rsidR="001476A6" w:rsidRPr="00853169" w:rsidRDefault="001476A6" w:rsidP="001476A6">
      <w:pPr>
        <w:pStyle w:val="NormalWeb"/>
        <w:spacing w:line="360" w:lineRule="auto"/>
        <w:ind w:left="630"/>
        <w:jc w:val="both"/>
        <w:rPr>
          <w:rFonts w:ascii="Arial" w:hAnsi="Arial" w:cs="Arial"/>
          <w:sz w:val="22"/>
          <w:szCs w:val="22"/>
        </w:rPr>
      </w:pPr>
      <w:r w:rsidRPr="00853169">
        <w:rPr>
          <w:rFonts w:ascii="Arial" w:hAnsi="Arial" w:cs="Arial"/>
          <w:sz w:val="22"/>
          <w:szCs w:val="22"/>
        </w:rPr>
        <w:t>In terms of the latest NSFAS report, allowances have been paid to all qualifying students. The report indicates that 22 colleges are not complying with the requirement on claims for accommodation, as their claims exceeded 40% of their NSFAS recipients.</w:t>
      </w:r>
    </w:p>
    <w:p w:rsidR="00D05D01" w:rsidRDefault="001476A6" w:rsidP="001476A6">
      <w:pPr>
        <w:spacing w:before="100" w:beforeAutospacing="1" w:after="100" w:afterAutospacing="1" w:line="360" w:lineRule="auto"/>
        <w:jc w:val="both"/>
        <w:rPr>
          <w:rFonts w:ascii="Arial" w:hAnsi="Arial" w:cs="Arial"/>
          <w:b/>
        </w:rPr>
      </w:pPr>
      <w:r w:rsidRPr="00853169">
        <w:rPr>
          <w:rFonts w:ascii="Arial" w:hAnsi="Arial" w:cs="Arial"/>
        </w:rPr>
        <w:lastRenderedPageBreak/>
        <w:t>(b) The Department has introduced various measures to address these challenges and issued a communique in March 2021 compelling colleges to ensure that the awards for allowances are made within the available budget, as the funds earmarked for allowances have been fully allocated to colleges for 2021. The Department, together with NSFAS, convened a meeting on 13 May 2021, with colleges exceeding the stipulated percentage regarding student claims for accommodation. These colleges were urged to work on a strategy that will ensure their compliance with the Bursary Rules and Guidelines in respect of the awards for allowances. Some of these colleges have already shared the strategies they are putting in place to manage the excessive demand for accommodation allowances.</w:t>
      </w:r>
    </w:p>
    <w:p w:rsidR="00BD00C9" w:rsidRPr="00BD00C9" w:rsidRDefault="00BD00C9" w:rsidP="00D05D01">
      <w:pPr>
        <w:spacing w:before="240"/>
        <w:jc w:val="center"/>
        <w:rPr>
          <w:rFonts w:ascii="Arial" w:hAnsi="Arial" w:cs="Arial"/>
        </w:rPr>
      </w:pPr>
    </w:p>
    <w:sectPr w:rsidR="00BD00C9" w:rsidRPr="00BD00C9"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D31371A"/>
    <w:multiLevelType w:val="hybridMultilevel"/>
    <w:tmpl w:val="4754DF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E6B408C"/>
    <w:multiLevelType w:val="multilevel"/>
    <w:tmpl w:val="E18A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C11926"/>
    <w:multiLevelType w:val="hybridMultilevel"/>
    <w:tmpl w:val="7FCC11CE"/>
    <w:lvl w:ilvl="0" w:tplc="02143B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1B344459"/>
    <w:multiLevelType w:val="hybridMultilevel"/>
    <w:tmpl w:val="B7CA36D6"/>
    <w:lvl w:ilvl="0" w:tplc="8D0ECC4A">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7">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0D65AEA"/>
    <w:multiLevelType w:val="multilevel"/>
    <w:tmpl w:val="1152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2">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4">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6">
    <w:nsid w:val="27E839EA"/>
    <w:multiLevelType w:val="hybridMultilevel"/>
    <w:tmpl w:val="87006F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8">
    <w:nsid w:val="2BEB00DB"/>
    <w:multiLevelType w:val="multilevel"/>
    <w:tmpl w:val="0FDE1B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0B71E28"/>
    <w:multiLevelType w:val="multilevel"/>
    <w:tmpl w:val="4096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6600468"/>
    <w:multiLevelType w:val="hybridMultilevel"/>
    <w:tmpl w:val="53E4ADF2"/>
    <w:lvl w:ilvl="0" w:tplc="68CA6572">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7A3BE3"/>
    <w:multiLevelType w:val="hybridMultilevel"/>
    <w:tmpl w:val="96C45000"/>
    <w:lvl w:ilvl="0" w:tplc="AA760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E6E2173"/>
    <w:multiLevelType w:val="multilevel"/>
    <w:tmpl w:val="E018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9">
    <w:nsid w:val="55D63AB8"/>
    <w:multiLevelType w:val="hybridMultilevel"/>
    <w:tmpl w:val="D7EE50D4"/>
    <w:lvl w:ilvl="0" w:tplc="63F4E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74E1EE3"/>
    <w:multiLevelType w:val="hybridMultilevel"/>
    <w:tmpl w:val="8A1861F0"/>
    <w:lvl w:ilvl="0" w:tplc="9AF8CB8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32">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49859ED"/>
    <w:multiLevelType w:val="hybridMultilevel"/>
    <w:tmpl w:val="45983E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9650808"/>
    <w:multiLevelType w:val="hybridMultilevel"/>
    <w:tmpl w:val="402439C2"/>
    <w:lvl w:ilvl="0" w:tplc="C2362B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9136DB"/>
    <w:multiLevelType w:val="hybridMultilevel"/>
    <w:tmpl w:val="DE20EE32"/>
    <w:lvl w:ilvl="0" w:tplc="3446E6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42">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4">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45">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7">
    <w:nsid w:val="7A0E3ED6"/>
    <w:multiLevelType w:val="hybridMultilevel"/>
    <w:tmpl w:val="EF88BF12"/>
    <w:lvl w:ilvl="0" w:tplc="D030460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8">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49"/>
  </w:num>
  <w:num w:numId="3">
    <w:abstractNumId w:val="35"/>
  </w:num>
  <w:num w:numId="4">
    <w:abstractNumId w:val="4"/>
  </w:num>
  <w:num w:numId="5">
    <w:abstractNumId w:val="44"/>
  </w:num>
  <w:num w:numId="6">
    <w:abstractNumId w:val="31"/>
  </w:num>
  <w:num w:numId="7">
    <w:abstractNumId w:val="41"/>
  </w:num>
  <w:num w:numId="8">
    <w:abstractNumId w:val="28"/>
  </w:num>
  <w:num w:numId="9">
    <w:abstractNumId w:val="43"/>
  </w:num>
  <w:num w:numId="10">
    <w:abstractNumId w:val="15"/>
  </w:num>
  <w:num w:numId="11">
    <w:abstractNumId w:val="19"/>
  </w:num>
  <w:num w:numId="12">
    <w:abstractNumId w:val="1"/>
  </w:num>
  <w:num w:numId="13">
    <w:abstractNumId w:val="24"/>
  </w:num>
  <w:num w:numId="14">
    <w:abstractNumId w:val="40"/>
  </w:num>
  <w:num w:numId="15">
    <w:abstractNumId w:val="10"/>
  </w:num>
  <w:num w:numId="16">
    <w:abstractNumId w:val="46"/>
  </w:num>
  <w:num w:numId="17">
    <w:abstractNumId w:val="39"/>
  </w:num>
  <w:num w:numId="18">
    <w:abstractNumId w:val="48"/>
  </w:num>
  <w:num w:numId="19">
    <w:abstractNumId w:val="12"/>
  </w:num>
  <w:num w:numId="20">
    <w:abstractNumId w:val="21"/>
  </w:num>
  <w:num w:numId="21">
    <w:abstractNumId w:val="14"/>
  </w:num>
  <w:num w:numId="22">
    <w:abstractNumId w:val="17"/>
  </w:num>
  <w:num w:numId="23">
    <w:abstractNumId w:val="25"/>
  </w:num>
  <w:num w:numId="24">
    <w:abstractNumId w:val="32"/>
  </w:num>
  <w:num w:numId="25">
    <w:abstractNumId w:val="45"/>
  </w:num>
  <w:num w:numId="26">
    <w:abstractNumId w:val="22"/>
  </w:num>
  <w:num w:numId="27">
    <w:abstractNumId w:val="7"/>
  </w:num>
  <w:num w:numId="28">
    <w:abstractNumId w:val="38"/>
  </w:num>
  <w:num w:numId="29">
    <w:abstractNumId w:val="42"/>
  </w:num>
  <w:num w:numId="30">
    <w:abstractNumId w:val="33"/>
  </w:num>
  <w:num w:numId="31">
    <w:abstractNumId w:val="8"/>
  </w:num>
  <w:num w:numId="32">
    <w:abstractNumId w:val="11"/>
  </w:num>
  <w:num w:numId="33">
    <w:abstractNumId w:val="30"/>
  </w:num>
  <w:num w:numId="34">
    <w:abstractNumId w:val="6"/>
  </w:num>
  <w:num w:numId="35">
    <w:abstractNumId w:val="16"/>
  </w:num>
  <w:num w:numId="36">
    <w:abstractNumId w:val="13"/>
  </w:num>
  <w:num w:numId="37">
    <w:abstractNumId w:val="23"/>
  </w:num>
  <w:num w:numId="38">
    <w:abstractNumId w:val="26"/>
  </w:num>
  <w:num w:numId="39">
    <w:abstractNumId w:val="5"/>
  </w:num>
  <w:num w:numId="40">
    <w:abstractNumId w:val="37"/>
  </w:num>
  <w:num w:numId="41">
    <w:abstractNumId w:val="36"/>
  </w:num>
  <w:num w:numId="42">
    <w:abstractNumId w:val="29"/>
  </w:num>
  <w:num w:numId="43">
    <w:abstractNumId w:val="18"/>
  </w:num>
  <w:num w:numId="44">
    <w:abstractNumId w:val="27"/>
  </w:num>
  <w:num w:numId="45">
    <w:abstractNumId w:val="47"/>
  </w:num>
  <w:num w:numId="46">
    <w:abstractNumId w:val="3"/>
  </w:num>
  <w:num w:numId="47">
    <w:abstractNumId w:val="9"/>
  </w:num>
  <w:num w:numId="48">
    <w:abstractNumId w:val="2"/>
  </w:num>
  <w:num w:numId="49">
    <w:abstractNumId w:val="20"/>
  </w:num>
  <w:num w:numId="50">
    <w:abstractNumId w:val="3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30E84"/>
    <w:rsid w:val="00036A4D"/>
    <w:rsid w:val="0004093A"/>
    <w:rsid w:val="000427EB"/>
    <w:rsid w:val="00042D11"/>
    <w:rsid w:val="0004639E"/>
    <w:rsid w:val="00046F4D"/>
    <w:rsid w:val="00052293"/>
    <w:rsid w:val="000526A8"/>
    <w:rsid w:val="000579B9"/>
    <w:rsid w:val="00057A15"/>
    <w:rsid w:val="00062700"/>
    <w:rsid w:val="00063A3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6A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400F"/>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C7568"/>
    <w:rsid w:val="005D0DA9"/>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45FF1"/>
    <w:rsid w:val="0085255E"/>
    <w:rsid w:val="008527DC"/>
    <w:rsid w:val="00857AAF"/>
    <w:rsid w:val="00861587"/>
    <w:rsid w:val="00866723"/>
    <w:rsid w:val="008676AD"/>
    <w:rsid w:val="008706FF"/>
    <w:rsid w:val="0087257A"/>
    <w:rsid w:val="00873E26"/>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5D7D"/>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semiHidden/>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Strong">
    <w:name w:val="Strong"/>
    <w:basedOn w:val="DefaultParagraphFont"/>
    <w:uiPriority w:val="22"/>
    <w:qFormat/>
    <w:locked/>
    <w:rsid w:val="001476A6"/>
    <w:rPr>
      <w:b/>
      <w:bCs/>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8F09B-1CF8-49FB-A923-4EBCE0129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2021-06-18T10:42:00Z</dcterms:created>
  <dcterms:modified xsi:type="dcterms:W3CDTF">2021-06-18T10:42:00Z</dcterms:modified>
</cp:coreProperties>
</file>