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463E37">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3642CB"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A004D2">
        <w:rPr>
          <w:rFonts w:ascii="Times New Roman" w:hAnsi="Times New Roman" w:cs="Times New Roman"/>
          <w:b/>
          <w:sz w:val="24"/>
          <w:szCs w:val="24"/>
        </w:rPr>
        <w:t xml:space="preserve"> </w:t>
      </w:r>
      <w:r w:rsidR="005A669C">
        <w:rPr>
          <w:rFonts w:ascii="Times New Roman" w:hAnsi="Times New Roman" w:cs="Times New Roman"/>
          <w:b/>
          <w:sz w:val="24"/>
          <w:szCs w:val="24"/>
        </w:rPr>
        <w:t>1614</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DF63FB">
        <w:rPr>
          <w:rFonts w:ascii="Times New Roman" w:hAnsi="Times New Roman" w:cs="Times New Roman"/>
          <w:b/>
          <w:sz w:val="24"/>
          <w:szCs w:val="24"/>
          <w:u w:val="single"/>
        </w:rPr>
        <w:t xml:space="preserve">F INTERNAL QUESTION PAPER: </w:t>
      </w:r>
      <w:r w:rsidR="003642CB">
        <w:rPr>
          <w:rFonts w:ascii="Times New Roman" w:hAnsi="Times New Roman" w:cs="Times New Roman"/>
          <w:b/>
          <w:sz w:val="24"/>
          <w:szCs w:val="24"/>
          <w:u w:val="single"/>
        </w:rPr>
        <w:t>22</w:t>
      </w:r>
      <w:r w:rsidR="00DF63FB">
        <w:rPr>
          <w:rFonts w:ascii="Times New Roman" w:hAnsi="Times New Roman" w:cs="Times New Roman"/>
          <w:b/>
          <w:sz w:val="24"/>
          <w:szCs w:val="24"/>
          <w:u w:val="single"/>
        </w:rPr>
        <w:t>/11</w:t>
      </w:r>
      <w:r w:rsidR="005B389D">
        <w:rPr>
          <w:rFonts w:ascii="Times New Roman" w:hAnsi="Times New Roman" w:cs="Times New Roman"/>
          <w:b/>
          <w:sz w:val="24"/>
          <w:szCs w:val="24"/>
          <w:u w:val="single"/>
        </w:rPr>
        <w:t>/</w:t>
      </w:r>
      <w:r w:rsidR="00A61CFC">
        <w:rPr>
          <w:rFonts w:ascii="Times New Roman" w:hAnsi="Times New Roman" w:cs="Times New Roman"/>
          <w:b/>
          <w:sz w:val="24"/>
          <w:szCs w:val="24"/>
          <w:u w:val="single"/>
        </w:rPr>
        <w:t>2019</w:t>
      </w:r>
    </w:p>
    <w:p w:rsidR="006D7B63" w:rsidRDefault="00DF63FB">
      <w:pPr>
        <w:rPr>
          <w:rFonts w:ascii="Times New Roman" w:hAnsi="Times New Roman" w:cs="Times New Roman"/>
          <w:b/>
          <w:sz w:val="24"/>
          <w:szCs w:val="24"/>
          <w:u w:val="single"/>
        </w:rPr>
      </w:pPr>
      <w:r>
        <w:rPr>
          <w:rFonts w:ascii="Times New Roman" w:hAnsi="Times New Roman" w:cs="Times New Roman"/>
          <w:b/>
          <w:sz w:val="24"/>
          <w:szCs w:val="24"/>
          <w:u w:val="single"/>
        </w:rPr>
        <w:t xml:space="preserve">INTERNAL QUESTION PAPER: </w:t>
      </w:r>
      <w:r w:rsidR="003642CB">
        <w:rPr>
          <w:rFonts w:ascii="Times New Roman" w:hAnsi="Times New Roman" w:cs="Times New Roman"/>
          <w:b/>
          <w:sz w:val="24"/>
          <w:szCs w:val="24"/>
          <w:u w:val="single"/>
        </w:rPr>
        <w:t>29</w:t>
      </w:r>
      <w:r w:rsidR="00A61CFC">
        <w:rPr>
          <w:rFonts w:ascii="Times New Roman" w:hAnsi="Times New Roman" w:cs="Times New Roman"/>
          <w:b/>
          <w:sz w:val="24"/>
          <w:szCs w:val="24"/>
          <w:u w:val="single"/>
        </w:rPr>
        <w:t>/2019</w:t>
      </w:r>
    </w:p>
    <w:p w:rsidR="005A669C" w:rsidRPr="0033599B" w:rsidRDefault="005A669C" w:rsidP="005A669C">
      <w:pPr>
        <w:spacing w:before="100" w:beforeAutospacing="1" w:after="100" w:afterAutospacing="1" w:line="240" w:lineRule="auto"/>
        <w:ind w:left="720" w:hanging="720"/>
        <w:jc w:val="both"/>
        <w:outlineLvl w:val="0"/>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1614.</w:t>
      </w:r>
      <w:r>
        <w:rPr>
          <w:rFonts w:ascii="Times New Roman" w:eastAsia="Times New Roman" w:hAnsi="Times New Roman" w:cs="Times New Roman"/>
          <w:b/>
          <w:sz w:val="24"/>
          <w:szCs w:val="24"/>
          <w:lang w:val="en-US"/>
        </w:rPr>
        <w:tab/>
      </w:r>
      <w:r w:rsidRPr="0033599B">
        <w:rPr>
          <w:rFonts w:ascii="Times New Roman" w:eastAsia="Times New Roman" w:hAnsi="Times New Roman" w:cs="Times New Roman"/>
          <w:b/>
          <w:sz w:val="24"/>
          <w:szCs w:val="24"/>
          <w:lang w:val="en-US"/>
        </w:rPr>
        <w:t>Mrs D van der Walt (DA) to ask the Minister of Basic Education</w:t>
      </w:r>
      <w:r>
        <w:rPr>
          <w:rFonts w:ascii="Times New Roman" w:eastAsia="Times New Roman" w:hAnsi="Times New Roman" w:cs="Times New Roman"/>
          <w:b/>
          <w:sz w:val="24"/>
          <w:szCs w:val="24"/>
          <w:lang w:val="en-US"/>
        </w:rPr>
        <w:fldChar w:fldCharType="begin"/>
      </w:r>
      <w:r>
        <w:instrText xml:space="preserve"> XE "</w:instrText>
      </w:r>
      <w:r w:rsidRPr="002422E3">
        <w:rPr>
          <w:rFonts w:ascii="Times New Roman" w:eastAsia="Times New Roman" w:hAnsi="Times New Roman" w:cs="Times New Roman"/>
          <w:b/>
          <w:sz w:val="24"/>
          <w:szCs w:val="24"/>
          <w:lang w:val="en-US"/>
        </w:rPr>
        <w:instrText>Basic Education</w:instrText>
      </w:r>
      <w:r>
        <w:instrText xml:space="preserve">" </w:instrText>
      </w:r>
      <w:r>
        <w:rPr>
          <w:rFonts w:ascii="Times New Roman" w:eastAsia="Times New Roman" w:hAnsi="Times New Roman" w:cs="Times New Roman"/>
          <w:b/>
          <w:sz w:val="24"/>
          <w:szCs w:val="24"/>
          <w:lang w:val="en-US"/>
        </w:rPr>
        <w:fldChar w:fldCharType="end"/>
      </w:r>
      <w:r w:rsidRPr="0033599B">
        <w:rPr>
          <w:rFonts w:ascii="Times New Roman" w:eastAsia="Times New Roman" w:hAnsi="Times New Roman" w:cs="Times New Roman"/>
          <w:b/>
          <w:sz w:val="24"/>
          <w:szCs w:val="24"/>
          <w:lang w:val="en-US"/>
        </w:rPr>
        <w:t>:</w:t>
      </w:r>
    </w:p>
    <w:p w:rsidR="005A669C" w:rsidRPr="0033599B" w:rsidRDefault="005A669C" w:rsidP="005A669C">
      <w:pPr>
        <w:spacing w:before="100" w:beforeAutospacing="1" w:after="100" w:afterAutospacing="1" w:line="240" w:lineRule="auto"/>
        <w:ind w:left="1440" w:hanging="720"/>
        <w:jc w:val="both"/>
        <w:rPr>
          <w:rFonts w:ascii="Times New Roman" w:hAnsi="Times New Roman" w:cs="Times New Roman"/>
          <w:sz w:val="24"/>
          <w:szCs w:val="24"/>
        </w:rPr>
      </w:pPr>
      <w:r w:rsidRPr="0033599B">
        <w:rPr>
          <w:rFonts w:ascii="Times New Roman" w:hAnsi="Times New Roman" w:cs="Times New Roman"/>
          <w:sz w:val="24"/>
          <w:szCs w:val="24"/>
        </w:rPr>
        <w:t>(1)</w:t>
      </w:r>
      <w:r w:rsidRPr="0033599B">
        <w:rPr>
          <w:rFonts w:ascii="Times New Roman" w:hAnsi="Times New Roman" w:cs="Times New Roman"/>
          <w:sz w:val="24"/>
          <w:szCs w:val="24"/>
        </w:rPr>
        <w:tab/>
        <w:t>With reference to spending cuts announced by the Minister of Finance</w:t>
      </w:r>
      <w:r>
        <w:rPr>
          <w:rFonts w:ascii="Times New Roman" w:hAnsi="Times New Roman" w:cs="Times New Roman"/>
          <w:sz w:val="24"/>
          <w:szCs w:val="24"/>
        </w:rPr>
        <w:fldChar w:fldCharType="begin"/>
      </w:r>
      <w:r>
        <w:instrText xml:space="preserve"> XE "</w:instrText>
      </w:r>
      <w:r w:rsidRPr="002422E3">
        <w:rPr>
          <w:rFonts w:ascii="Times New Roman" w:hAnsi="Times New Roman" w:cs="Times New Roman"/>
          <w:b/>
          <w:sz w:val="24"/>
          <w:szCs w:val="24"/>
        </w:rPr>
        <w:instrText>Finance</w:instrText>
      </w:r>
      <w:r>
        <w:instrText xml:space="preserve">" </w:instrText>
      </w:r>
      <w:r>
        <w:rPr>
          <w:rFonts w:ascii="Times New Roman" w:hAnsi="Times New Roman" w:cs="Times New Roman"/>
          <w:sz w:val="24"/>
          <w:szCs w:val="24"/>
        </w:rPr>
        <w:fldChar w:fldCharType="end"/>
      </w:r>
      <w:r w:rsidRPr="0033599B">
        <w:rPr>
          <w:rFonts w:ascii="Times New Roman" w:hAnsi="Times New Roman" w:cs="Times New Roman"/>
          <w:sz w:val="24"/>
          <w:szCs w:val="24"/>
        </w:rPr>
        <w:t xml:space="preserve"> on 30 October 2019, (a) what is the total cut to the budget for her department and (b) which infrastructure projects are affected;</w:t>
      </w:r>
    </w:p>
    <w:p w:rsidR="005A669C" w:rsidRPr="0033599B" w:rsidRDefault="005A669C" w:rsidP="005A669C">
      <w:pPr>
        <w:spacing w:before="100" w:beforeAutospacing="1" w:after="100" w:afterAutospacing="1" w:line="240" w:lineRule="auto"/>
        <w:ind w:left="1440" w:hanging="720"/>
        <w:jc w:val="both"/>
        <w:rPr>
          <w:rFonts w:ascii="Times New Roman" w:hAnsi="Times New Roman" w:cs="Times New Roman"/>
          <w:sz w:val="24"/>
          <w:szCs w:val="24"/>
        </w:rPr>
      </w:pPr>
      <w:r w:rsidRPr="0033599B">
        <w:rPr>
          <w:rFonts w:ascii="Times New Roman" w:hAnsi="Times New Roman" w:cs="Times New Roman"/>
          <w:sz w:val="24"/>
          <w:szCs w:val="24"/>
        </w:rPr>
        <w:t>(2)</w:t>
      </w:r>
      <w:r w:rsidRPr="0033599B">
        <w:rPr>
          <w:rFonts w:ascii="Times New Roman" w:hAnsi="Times New Roman" w:cs="Times New Roman"/>
          <w:sz w:val="24"/>
          <w:szCs w:val="24"/>
        </w:rPr>
        <w:tab/>
        <w:t>whether allocations to provinces will be affected; if so, (a) how and (b) what steps will be taken by her department to continue with the projects that are affected</w:t>
      </w:r>
      <w:r w:rsidRPr="0033599B">
        <w:rPr>
          <w:rFonts w:ascii="Times New Roman" w:hAnsi="Times New Roman" w:cs="Times New Roman"/>
          <w:color w:val="000000" w:themeColor="text1"/>
          <w:sz w:val="24"/>
          <w:szCs w:val="24"/>
        </w:rPr>
        <w:t>?</w:t>
      </w:r>
      <w:r w:rsidRPr="0033599B">
        <w:rPr>
          <w:rFonts w:ascii="Times New Roman" w:hAnsi="Times New Roman" w:cs="Times New Roman"/>
          <w:color w:val="000000" w:themeColor="text1"/>
          <w:sz w:val="24"/>
          <w:szCs w:val="24"/>
        </w:rPr>
        <w:tab/>
      </w:r>
      <w:r w:rsidRPr="0033599B">
        <w:rPr>
          <w:rFonts w:ascii="Times New Roman" w:hAnsi="Times New Roman" w:cs="Times New Roman"/>
          <w:color w:val="000000" w:themeColor="text1"/>
          <w:sz w:val="24"/>
          <w:szCs w:val="24"/>
        </w:rPr>
        <w:tab/>
      </w:r>
      <w:r w:rsidRPr="0033599B">
        <w:rPr>
          <w:rFonts w:ascii="Times New Roman" w:hAnsi="Times New Roman" w:cs="Times New Roman"/>
          <w:color w:val="000000" w:themeColor="text1"/>
          <w:sz w:val="24"/>
          <w:szCs w:val="24"/>
        </w:rPr>
        <w:tab/>
      </w:r>
      <w:r w:rsidRPr="0033599B">
        <w:rPr>
          <w:rFonts w:ascii="Times New Roman" w:hAnsi="Times New Roman" w:cs="Times New Roman"/>
          <w:color w:val="000000" w:themeColor="text1"/>
          <w:sz w:val="24"/>
          <w:szCs w:val="24"/>
        </w:rPr>
        <w:tab/>
      </w:r>
      <w:r w:rsidRPr="0033599B">
        <w:rPr>
          <w:rFonts w:ascii="Times New Roman" w:hAnsi="Times New Roman" w:cs="Times New Roman"/>
          <w:color w:val="000000" w:themeColor="text1"/>
          <w:sz w:val="24"/>
          <w:szCs w:val="24"/>
        </w:rPr>
        <w:tab/>
      </w:r>
      <w:r w:rsidRPr="0033599B">
        <w:rPr>
          <w:rFonts w:ascii="Times New Roman" w:hAnsi="Times New Roman" w:cs="Times New Roman"/>
          <w:color w:val="000000" w:themeColor="text1"/>
          <w:sz w:val="24"/>
          <w:szCs w:val="24"/>
        </w:rPr>
        <w:tab/>
      </w:r>
      <w:r w:rsidRPr="0033599B">
        <w:rPr>
          <w:rFonts w:ascii="Times New Roman" w:hAnsi="Times New Roman" w:cs="Times New Roman"/>
          <w:color w:val="000000" w:themeColor="text1"/>
          <w:sz w:val="24"/>
          <w:szCs w:val="24"/>
        </w:rPr>
        <w:tab/>
      </w:r>
      <w:r w:rsidRPr="0033599B">
        <w:rPr>
          <w:rFonts w:ascii="Times New Roman" w:hAnsi="Times New Roman" w:cs="Times New Roman"/>
          <w:color w:val="000000" w:themeColor="text1"/>
          <w:sz w:val="24"/>
          <w:szCs w:val="24"/>
        </w:rPr>
        <w:tab/>
      </w:r>
      <w:r w:rsidRPr="00247A9D">
        <w:rPr>
          <w:rFonts w:ascii="Times New Roman" w:eastAsia="Times New Roman" w:hAnsi="Times New Roman" w:cs="Times New Roman"/>
          <w:color w:val="000000" w:themeColor="text1"/>
          <w:sz w:val="20"/>
          <w:szCs w:val="20"/>
          <w:lang w:val="en-US"/>
        </w:rPr>
        <w:t>NW2970E</w:t>
      </w:r>
    </w:p>
    <w:p w:rsidR="00FE2772" w:rsidRDefault="00FE2772">
      <w:pPr>
        <w:rPr>
          <w:rFonts w:ascii="Times New Roman" w:hAnsi="Times New Roman" w:cs="Times New Roman"/>
          <w:sz w:val="28"/>
          <w:szCs w:val="28"/>
        </w:rPr>
      </w:pPr>
    </w:p>
    <w:p w:rsidR="006D7B63" w:rsidRDefault="00FE2772">
      <w:pPr>
        <w:rPr>
          <w:rFonts w:ascii="Times New Roman" w:hAnsi="Times New Roman" w:cs="Times New Roman"/>
          <w:b/>
          <w:sz w:val="28"/>
          <w:szCs w:val="28"/>
        </w:rPr>
      </w:pPr>
      <w:r w:rsidRPr="00FE2772">
        <w:rPr>
          <w:rFonts w:ascii="Times New Roman" w:hAnsi="Times New Roman" w:cs="Times New Roman"/>
          <w:b/>
          <w:sz w:val="28"/>
          <w:szCs w:val="28"/>
        </w:rPr>
        <w:t xml:space="preserve">Response </w:t>
      </w:r>
    </w:p>
    <w:p w:rsidR="005A35EA" w:rsidRPr="00312687" w:rsidRDefault="005A35EA" w:rsidP="005A35EA">
      <w:pPr>
        <w:spacing w:before="100" w:beforeAutospacing="1" w:after="100" w:afterAutospacing="1" w:line="240" w:lineRule="auto"/>
        <w:ind w:left="1440" w:hanging="360"/>
        <w:jc w:val="both"/>
        <w:rPr>
          <w:rFonts w:ascii="Times New Roman" w:hAnsi="Times New Roman" w:cs="Times New Roman"/>
          <w:b/>
        </w:rPr>
      </w:pPr>
      <w:r w:rsidRPr="005A35EA">
        <w:rPr>
          <w:rFonts w:ascii="Times New Roman" w:hAnsi="Times New Roman" w:cs="Times New Roman"/>
          <w:b/>
        </w:rPr>
        <w:t>(1)  (</w:t>
      </w:r>
      <w:proofErr w:type="gramStart"/>
      <w:r w:rsidRPr="005A35EA">
        <w:rPr>
          <w:rFonts w:ascii="Times New Roman" w:hAnsi="Times New Roman" w:cs="Times New Roman"/>
          <w:b/>
        </w:rPr>
        <w:t>a</w:t>
      </w:r>
      <w:proofErr w:type="gramEnd"/>
      <w:r w:rsidRPr="005A35EA">
        <w:rPr>
          <w:rFonts w:ascii="Times New Roman" w:hAnsi="Times New Roman" w:cs="Times New Roman"/>
          <w:b/>
        </w:rPr>
        <w:t>)</w:t>
      </w:r>
      <w:r>
        <w:rPr>
          <w:rFonts w:ascii="Times New Roman" w:hAnsi="Times New Roman" w:cs="Times New Roman"/>
          <w:b/>
        </w:rPr>
        <w:t xml:space="preserve"> </w:t>
      </w:r>
      <w:r w:rsidRPr="00312687">
        <w:rPr>
          <w:rFonts w:ascii="Times New Roman" w:hAnsi="Times New Roman" w:cs="Times New Roman"/>
          <w:b/>
        </w:rPr>
        <w:t>MTEF BASELINE REDUCTIONS</w:t>
      </w:r>
    </w:p>
    <w:tbl>
      <w:tblPr>
        <w:tblStyle w:val="TableGrid"/>
        <w:tblW w:w="0" w:type="auto"/>
        <w:tblInd w:w="1075" w:type="dxa"/>
        <w:tblLook w:val="04A0" w:firstRow="1" w:lastRow="0" w:firstColumn="1" w:lastColumn="0" w:noHBand="0" w:noVBand="1"/>
      </w:tblPr>
      <w:tblGrid>
        <w:gridCol w:w="2874"/>
        <w:gridCol w:w="2509"/>
        <w:gridCol w:w="2558"/>
      </w:tblGrid>
      <w:tr w:rsidR="005A35EA" w:rsidRPr="00312687" w:rsidTr="00CF71BE">
        <w:tc>
          <w:tcPr>
            <w:tcW w:w="2874" w:type="dxa"/>
          </w:tcPr>
          <w:p w:rsidR="005A35EA" w:rsidRDefault="005A35EA" w:rsidP="00CF71BE">
            <w:pPr>
              <w:spacing w:before="100" w:beforeAutospacing="1" w:after="100" w:afterAutospacing="1"/>
              <w:jc w:val="center"/>
              <w:rPr>
                <w:rFonts w:ascii="Times New Roman" w:hAnsi="Times New Roman" w:cs="Times New Roman"/>
                <w:b/>
                <w:sz w:val="24"/>
                <w:szCs w:val="24"/>
              </w:rPr>
            </w:pPr>
            <w:r w:rsidRPr="00312687">
              <w:rPr>
                <w:rFonts w:ascii="Times New Roman" w:hAnsi="Times New Roman" w:cs="Times New Roman"/>
                <w:b/>
                <w:sz w:val="24"/>
                <w:szCs w:val="24"/>
              </w:rPr>
              <w:t>2020/21</w:t>
            </w:r>
          </w:p>
          <w:p w:rsidR="005A35EA" w:rsidRPr="00312687" w:rsidRDefault="005A35EA" w:rsidP="00CF71BE">
            <w:pPr>
              <w:spacing w:before="100" w:beforeAutospacing="1" w:after="100" w:afterAutospacing="1"/>
              <w:jc w:val="right"/>
              <w:rPr>
                <w:rFonts w:ascii="Times New Roman" w:hAnsi="Times New Roman" w:cs="Times New Roman"/>
                <w:b/>
                <w:sz w:val="24"/>
                <w:szCs w:val="24"/>
              </w:rPr>
            </w:pPr>
            <w:r>
              <w:rPr>
                <w:rFonts w:ascii="Times New Roman" w:hAnsi="Times New Roman" w:cs="Times New Roman"/>
                <w:b/>
                <w:sz w:val="24"/>
                <w:szCs w:val="24"/>
              </w:rPr>
              <w:t>R’000</w:t>
            </w:r>
          </w:p>
        </w:tc>
        <w:tc>
          <w:tcPr>
            <w:tcW w:w="2509" w:type="dxa"/>
          </w:tcPr>
          <w:p w:rsidR="005A35EA" w:rsidRDefault="005A35EA" w:rsidP="00CF71BE">
            <w:pPr>
              <w:spacing w:before="100" w:beforeAutospacing="1" w:after="100" w:afterAutospacing="1"/>
              <w:jc w:val="center"/>
              <w:rPr>
                <w:rFonts w:ascii="Times New Roman" w:hAnsi="Times New Roman" w:cs="Times New Roman"/>
                <w:b/>
                <w:sz w:val="24"/>
                <w:szCs w:val="24"/>
              </w:rPr>
            </w:pPr>
            <w:r w:rsidRPr="00312687">
              <w:rPr>
                <w:rFonts w:ascii="Times New Roman" w:hAnsi="Times New Roman" w:cs="Times New Roman"/>
                <w:b/>
                <w:sz w:val="24"/>
                <w:szCs w:val="24"/>
              </w:rPr>
              <w:t>2021/22</w:t>
            </w:r>
          </w:p>
          <w:p w:rsidR="005A35EA" w:rsidRPr="00312687" w:rsidRDefault="005A35EA" w:rsidP="00CF71BE">
            <w:pPr>
              <w:spacing w:before="100" w:beforeAutospacing="1" w:after="100" w:afterAutospacing="1"/>
              <w:jc w:val="right"/>
              <w:rPr>
                <w:rFonts w:ascii="Times New Roman" w:hAnsi="Times New Roman" w:cs="Times New Roman"/>
                <w:b/>
                <w:sz w:val="24"/>
                <w:szCs w:val="24"/>
              </w:rPr>
            </w:pPr>
            <w:r>
              <w:rPr>
                <w:rFonts w:ascii="Times New Roman" w:hAnsi="Times New Roman" w:cs="Times New Roman"/>
                <w:b/>
                <w:sz w:val="24"/>
                <w:szCs w:val="24"/>
              </w:rPr>
              <w:t>R’000</w:t>
            </w:r>
          </w:p>
        </w:tc>
        <w:tc>
          <w:tcPr>
            <w:tcW w:w="2558" w:type="dxa"/>
          </w:tcPr>
          <w:p w:rsidR="005A35EA" w:rsidRDefault="005A35EA" w:rsidP="00CF71BE">
            <w:pPr>
              <w:spacing w:before="100" w:beforeAutospacing="1" w:after="100" w:afterAutospacing="1"/>
              <w:jc w:val="center"/>
              <w:rPr>
                <w:rFonts w:ascii="Times New Roman" w:hAnsi="Times New Roman" w:cs="Times New Roman"/>
                <w:b/>
                <w:sz w:val="24"/>
                <w:szCs w:val="24"/>
              </w:rPr>
            </w:pPr>
            <w:r w:rsidRPr="00312687">
              <w:rPr>
                <w:rFonts w:ascii="Times New Roman" w:hAnsi="Times New Roman" w:cs="Times New Roman"/>
                <w:b/>
                <w:sz w:val="24"/>
                <w:szCs w:val="24"/>
              </w:rPr>
              <w:t>2022/23</w:t>
            </w:r>
          </w:p>
          <w:p w:rsidR="005A35EA" w:rsidRPr="00312687" w:rsidRDefault="005A35EA" w:rsidP="00CF71BE">
            <w:pPr>
              <w:spacing w:before="100" w:beforeAutospacing="1" w:after="100" w:afterAutospacing="1"/>
              <w:jc w:val="right"/>
              <w:rPr>
                <w:rFonts w:ascii="Times New Roman" w:hAnsi="Times New Roman" w:cs="Times New Roman"/>
                <w:b/>
                <w:sz w:val="24"/>
                <w:szCs w:val="24"/>
              </w:rPr>
            </w:pPr>
            <w:r>
              <w:rPr>
                <w:rFonts w:ascii="Times New Roman" w:hAnsi="Times New Roman" w:cs="Times New Roman"/>
                <w:b/>
                <w:sz w:val="24"/>
                <w:szCs w:val="24"/>
              </w:rPr>
              <w:t>R’000</w:t>
            </w:r>
          </w:p>
        </w:tc>
      </w:tr>
      <w:tr w:rsidR="005A35EA" w:rsidTr="00CF71BE">
        <w:tc>
          <w:tcPr>
            <w:tcW w:w="2874" w:type="dxa"/>
          </w:tcPr>
          <w:p w:rsidR="005A35EA" w:rsidRDefault="005A35EA" w:rsidP="00CF71BE">
            <w:pPr>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t>(659 416)</w:t>
            </w:r>
          </w:p>
        </w:tc>
        <w:tc>
          <w:tcPr>
            <w:tcW w:w="2509" w:type="dxa"/>
          </w:tcPr>
          <w:p w:rsidR="005A35EA" w:rsidRDefault="005A35EA" w:rsidP="00CF71BE">
            <w:pPr>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t>(856 412)</w:t>
            </w:r>
          </w:p>
        </w:tc>
        <w:tc>
          <w:tcPr>
            <w:tcW w:w="2558" w:type="dxa"/>
          </w:tcPr>
          <w:p w:rsidR="005A35EA" w:rsidRDefault="005A35EA" w:rsidP="00CF71BE">
            <w:pPr>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t>(1 050 774)</w:t>
            </w:r>
          </w:p>
        </w:tc>
      </w:tr>
    </w:tbl>
    <w:p w:rsidR="005A35EA" w:rsidRDefault="005A35EA" w:rsidP="005A35EA">
      <w:pPr>
        <w:pStyle w:val="ListParagraph"/>
        <w:numPr>
          <w:ilvl w:val="0"/>
          <w:numId w:val="2"/>
        </w:numPr>
        <w:spacing w:before="100" w:beforeAutospacing="1" w:after="100" w:afterAutospacing="1" w:line="240" w:lineRule="auto"/>
        <w:jc w:val="both"/>
        <w:rPr>
          <w:rFonts w:ascii="Times New Roman" w:hAnsi="Times New Roman" w:cs="Times New Roman"/>
          <w:sz w:val="24"/>
          <w:szCs w:val="24"/>
        </w:rPr>
      </w:pPr>
      <w:r w:rsidRPr="005A35EA">
        <w:rPr>
          <w:rFonts w:ascii="Times New Roman" w:hAnsi="Times New Roman" w:cs="Times New Roman"/>
          <w:b/>
          <w:sz w:val="24"/>
          <w:szCs w:val="24"/>
        </w:rPr>
        <w:t>(b)</w:t>
      </w:r>
      <w:r w:rsidRPr="00B80D68">
        <w:rPr>
          <w:rFonts w:ascii="Times New Roman" w:hAnsi="Times New Roman" w:cs="Times New Roman"/>
          <w:b/>
          <w:sz w:val="24"/>
          <w:szCs w:val="24"/>
        </w:rPr>
        <w:t>S</w:t>
      </w:r>
      <w:r>
        <w:rPr>
          <w:rFonts w:ascii="Times New Roman" w:hAnsi="Times New Roman" w:cs="Times New Roman"/>
          <w:b/>
          <w:sz w:val="24"/>
          <w:szCs w:val="24"/>
        </w:rPr>
        <w:t>CHOOL INFRASTRUCTURE BACKLOGS</w:t>
      </w:r>
      <w:r w:rsidRPr="00B80D68">
        <w:rPr>
          <w:rFonts w:ascii="Times New Roman" w:hAnsi="Times New Roman" w:cs="Times New Roman"/>
          <w:b/>
          <w:sz w:val="24"/>
          <w:szCs w:val="24"/>
        </w:rPr>
        <w:t>:</w:t>
      </w:r>
      <w:r>
        <w:rPr>
          <w:rFonts w:ascii="Times New Roman" w:hAnsi="Times New Roman" w:cs="Times New Roman"/>
          <w:sz w:val="24"/>
          <w:szCs w:val="24"/>
        </w:rPr>
        <w:t xml:space="preserve"> Indirect Grant (buildings and other fixed structures)</w:t>
      </w:r>
    </w:p>
    <w:tbl>
      <w:tblPr>
        <w:tblStyle w:val="TableGrid"/>
        <w:tblW w:w="0" w:type="auto"/>
        <w:tblInd w:w="1080" w:type="dxa"/>
        <w:tblLook w:val="04A0" w:firstRow="1" w:lastRow="0" w:firstColumn="1" w:lastColumn="0" w:noHBand="0" w:noVBand="1"/>
      </w:tblPr>
      <w:tblGrid>
        <w:gridCol w:w="2875"/>
        <w:gridCol w:w="2520"/>
        <w:gridCol w:w="2541"/>
      </w:tblGrid>
      <w:tr w:rsidR="005A35EA" w:rsidTr="00CF71BE">
        <w:tc>
          <w:tcPr>
            <w:tcW w:w="2875" w:type="dxa"/>
          </w:tcPr>
          <w:p w:rsidR="005A35EA" w:rsidRDefault="005A35EA" w:rsidP="00CF71BE">
            <w:pPr>
              <w:pStyle w:val="ListParagraph"/>
              <w:spacing w:before="100" w:beforeAutospacing="1" w:after="100" w:afterAutospacing="1"/>
              <w:ind w:left="0"/>
              <w:jc w:val="center"/>
              <w:rPr>
                <w:rFonts w:ascii="Times New Roman" w:hAnsi="Times New Roman" w:cs="Times New Roman"/>
                <w:b/>
                <w:sz w:val="24"/>
                <w:szCs w:val="24"/>
              </w:rPr>
            </w:pPr>
            <w:r w:rsidRPr="00201089">
              <w:rPr>
                <w:rFonts w:ascii="Times New Roman" w:hAnsi="Times New Roman" w:cs="Times New Roman"/>
                <w:b/>
                <w:sz w:val="24"/>
                <w:szCs w:val="24"/>
              </w:rPr>
              <w:t>2020/21</w:t>
            </w:r>
          </w:p>
          <w:p w:rsidR="005A35EA" w:rsidRPr="00201089" w:rsidRDefault="005A35EA" w:rsidP="00CF71BE">
            <w:pPr>
              <w:pStyle w:val="ListParagraph"/>
              <w:spacing w:before="100" w:beforeAutospacing="1" w:after="100" w:afterAutospacing="1"/>
              <w:ind w:left="0"/>
              <w:jc w:val="right"/>
              <w:rPr>
                <w:rFonts w:ascii="Times New Roman" w:hAnsi="Times New Roman" w:cs="Times New Roman"/>
                <w:b/>
                <w:sz w:val="24"/>
                <w:szCs w:val="24"/>
              </w:rPr>
            </w:pPr>
            <w:r>
              <w:rPr>
                <w:rFonts w:ascii="Times New Roman" w:hAnsi="Times New Roman" w:cs="Times New Roman"/>
                <w:b/>
                <w:sz w:val="24"/>
                <w:szCs w:val="24"/>
              </w:rPr>
              <w:t>R’000</w:t>
            </w:r>
          </w:p>
        </w:tc>
        <w:tc>
          <w:tcPr>
            <w:tcW w:w="2520" w:type="dxa"/>
          </w:tcPr>
          <w:p w:rsidR="005A35EA" w:rsidRDefault="005A35EA" w:rsidP="00CF71BE">
            <w:pPr>
              <w:pStyle w:val="ListParagraph"/>
              <w:spacing w:before="100" w:beforeAutospacing="1" w:after="100" w:afterAutospacing="1"/>
              <w:ind w:left="0"/>
              <w:jc w:val="center"/>
              <w:rPr>
                <w:rFonts w:ascii="Times New Roman" w:hAnsi="Times New Roman" w:cs="Times New Roman"/>
                <w:b/>
                <w:sz w:val="24"/>
                <w:szCs w:val="24"/>
              </w:rPr>
            </w:pPr>
            <w:r w:rsidRPr="00201089">
              <w:rPr>
                <w:rFonts w:ascii="Times New Roman" w:hAnsi="Times New Roman" w:cs="Times New Roman"/>
                <w:b/>
                <w:sz w:val="24"/>
                <w:szCs w:val="24"/>
              </w:rPr>
              <w:t>2021/22</w:t>
            </w:r>
          </w:p>
          <w:p w:rsidR="005A35EA" w:rsidRPr="00201089" w:rsidRDefault="005A35EA" w:rsidP="00CF71BE">
            <w:pPr>
              <w:pStyle w:val="ListParagraph"/>
              <w:spacing w:before="100" w:beforeAutospacing="1" w:after="100" w:afterAutospacing="1"/>
              <w:ind w:left="0"/>
              <w:jc w:val="right"/>
              <w:rPr>
                <w:rFonts w:ascii="Times New Roman" w:hAnsi="Times New Roman" w:cs="Times New Roman"/>
                <w:b/>
                <w:sz w:val="24"/>
                <w:szCs w:val="24"/>
              </w:rPr>
            </w:pPr>
            <w:r>
              <w:rPr>
                <w:rFonts w:ascii="Times New Roman" w:hAnsi="Times New Roman" w:cs="Times New Roman"/>
                <w:b/>
                <w:sz w:val="24"/>
                <w:szCs w:val="24"/>
              </w:rPr>
              <w:t>R’000</w:t>
            </w:r>
          </w:p>
        </w:tc>
        <w:tc>
          <w:tcPr>
            <w:tcW w:w="2541" w:type="dxa"/>
          </w:tcPr>
          <w:p w:rsidR="005A35EA" w:rsidRDefault="005A35EA" w:rsidP="00CF71BE">
            <w:pPr>
              <w:pStyle w:val="ListParagraph"/>
              <w:spacing w:before="100" w:beforeAutospacing="1" w:after="100" w:afterAutospacing="1"/>
              <w:ind w:left="0"/>
              <w:jc w:val="center"/>
              <w:rPr>
                <w:rFonts w:ascii="Times New Roman" w:hAnsi="Times New Roman" w:cs="Times New Roman"/>
                <w:b/>
                <w:sz w:val="24"/>
                <w:szCs w:val="24"/>
              </w:rPr>
            </w:pPr>
            <w:r w:rsidRPr="00201089">
              <w:rPr>
                <w:rFonts w:ascii="Times New Roman" w:hAnsi="Times New Roman" w:cs="Times New Roman"/>
                <w:b/>
                <w:sz w:val="24"/>
                <w:szCs w:val="24"/>
              </w:rPr>
              <w:t>2022/23</w:t>
            </w:r>
          </w:p>
          <w:p w:rsidR="005A35EA" w:rsidRPr="00201089" w:rsidRDefault="005A35EA" w:rsidP="00CF71BE">
            <w:pPr>
              <w:pStyle w:val="ListParagraph"/>
              <w:spacing w:before="100" w:beforeAutospacing="1" w:after="100" w:afterAutospacing="1"/>
              <w:ind w:left="0"/>
              <w:jc w:val="right"/>
              <w:rPr>
                <w:rFonts w:ascii="Times New Roman" w:hAnsi="Times New Roman" w:cs="Times New Roman"/>
                <w:b/>
                <w:sz w:val="24"/>
                <w:szCs w:val="24"/>
              </w:rPr>
            </w:pPr>
            <w:r>
              <w:rPr>
                <w:rFonts w:ascii="Times New Roman" w:hAnsi="Times New Roman" w:cs="Times New Roman"/>
                <w:b/>
                <w:sz w:val="24"/>
                <w:szCs w:val="24"/>
              </w:rPr>
              <w:t>R’000</w:t>
            </w:r>
          </w:p>
        </w:tc>
      </w:tr>
      <w:tr w:rsidR="005A35EA" w:rsidTr="00CF71BE">
        <w:tc>
          <w:tcPr>
            <w:tcW w:w="2875" w:type="dxa"/>
          </w:tcPr>
          <w:p w:rsidR="005A35EA" w:rsidRDefault="005A35EA" w:rsidP="00CF71BE">
            <w:pPr>
              <w:pStyle w:val="ListParagraph"/>
              <w:spacing w:before="100" w:beforeAutospacing="1" w:after="100" w:afterAutospacing="1"/>
              <w:ind w:left="0"/>
              <w:jc w:val="right"/>
              <w:rPr>
                <w:rFonts w:ascii="Times New Roman" w:hAnsi="Times New Roman" w:cs="Times New Roman"/>
                <w:sz w:val="24"/>
                <w:szCs w:val="24"/>
              </w:rPr>
            </w:pPr>
            <w:r>
              <w:rPr>
                <w:rFonts w:ascii="Times New Roman" w:hAnsi="Times New Roman" w:cs="Times New Roman"/>
                <w:sz w:val="24"/>
                <w:szCs w:val="24"/>
              </w:rPr>
              <w:t>(32 623)</w:t>
            </w:r>
          </w:p>
        </w:tc>
        <w:tc>
          <w:tcPr>
            <w:tcW w:w="2520" w:type="dxa"/>
          </w:tcPr>
          <w:p w:rsidR="005A35EA" w:rsidRDefault="005A35EA" w:rsidP="00CF71BE">
            <w:pPr>
              <w:pStyle w:val="ListParagraph"/>
              <w:spacing w:before="100" w:beforeAutospacing="1" w:after="100" w:afterAutospacing="1"/>
              <w:ind w:left="0"/>
              <w:jc w:val="right"/>
              <w:rPr>
                <w:rFonts w:ascii="Times New Roman" w:hAnsi="Times New Roman" w:cs="Times New Roman"/>
                <w:sz w:val="24"/>
                <w:szCs w:val="24"/>
              </w:rPr>
            </w:pPr>
            <w:r>
              <w:rPr>
                <w:rFonts w:ascii="Times New Roman" w:hAnsi="Times New Roman" w:cs="Times New Roman"/>
                <w:sz w:val="24"/>
                <w:szCs w:val="24"/>
              </w:rPr>
              <w:t>(43 836)</w:t>
            </w:r>
          </w:p>
        </w:tc>
        <w:tc>
          <w:tcPr>
            <w:tcW w:w="2541" w:type="dxa"/>
          </w:tcPr>
          <w:p w:rsidR="005A35EA" w:rsidRDefault="005A35EA" w:rsidP="00CF71BE">
            <w:pPr>
              <w:pStyle w:val="ListParagraph"/>
              <w:spacing w:before="100" w:beforeAutospacing="1" w:after="100" w:afterAutospacing="1"/>
              <w:ind w:left="0"/>
              <w:jc w:val="right"/>
              <w:rPr>
                <w:rFonts w:ascii="Times New Roman" w:hAnsi="Times New Roman" w:cs="Times New Roman"/>
                <w:sz w:val="24"/>
                <w:szCs w:val="24"/>
              </w:rPr>
            </w:pPr>
            <w:r>
              <w:rPr>
                <w:rFonts w:ascii="Times New Roman" w:hAnsi="Times New Roman" w:cs="Times New Roman"/>
                <w:sz w:val="24"/>
                <w:szCs w:val="24"/>
              </w:rPr>
              <w:t>(46 345)</w:t>
            </w:r>
          </w:p>
        </w:tc>
      </w:tr>
    </w:tbl>
    <w:p w:rsidR="005A35EA" w:rsidRDefault="005A35EA" w:rsidP="005A35EA">
      <w:pPr>
        <w:ind w:left="360"/>
        <w:rPr>
          <w:rFonts w:ascii="Times New Roman" w:hAnsi="Times New Roman" w:cs="Times New Roman"/>
        </w:rPr>
      </w:pPr>
    </w:p>
    <w:p w:rsidR="00E62053" w:rsidRDefault="005A35EA" w:rsidP="005A35EA">
      <w:pPr>
        <w:ind w:left="993"/>
        <w:rPr>
          <w:rFonts w:ascii="Times New Roman" w:hAnsi="Times New Roman" w:cs="Times New Roman"/>
        </w:rPr>
      </w:pPr>
      <w:r w:rsidRPr="005A35EA">
        <w:rPr>
          <w:rFonts w:ascii="Times New Roman" w:hAnsi="Times New Roman" w:cs="Times New Roman"/>
          <w:b/>
        </w:rPr>
        <w:t xml:space="preserve">(1) </w:t>
      </w:r>
      <w:r w:rsidR="00E62053" w:rsidRPr="005A35EA">
        <w:rPr>
          <w:rFonts w:ascii="Times New Roman" w:hAnsi="Times New Roman" w:cs="Times New Roman"/>
          <w:b/>
        </w:rPr>
        <w:t>(b)</w:t>
      </w:r>
      <w:r w:rsidR="00E62053" w:rsidRPr="005A35EA">
        <w:rPr>
          <w:rFonts w:ascii="Times New Roman" w:hAnsi="Times New Roman" w:cs="Times New Roman"/>
        </w:rPr>
        <w:t xml:space="preserve"> </w:t>
      </w:r>
      <w:r w:rsidRPr="005A35EA">
        <w:rPr>
          <w:rFonts w:ascii="Times New Roman" w:hAnsi="Times New Roman" w:cs="Times New Roman"/>
        </w:rPr>
        <w:t>With regard to the provincial infrastructure programme funded through the Education Infrastructure Grant, the reduction will have a negative impact in terms of meeting the Minimum Uniform Norms and Standards for Public School Infrastructure. There has always been a deficit in terms of total budget required to eradicate backlogs and the current reduction will exacerbate the challenge. Provinces will also be left with a small window to introduce new projects into the pipeline.</w:t>
      </w:r>
    </w:p>
    <w:p w:rsidR="005A35EA" w:rsidRDefault="005A35EA" w:rsidP="005A35EA">
      <w:pPr>
        <w:ind w:left="993" w:hanging="633"/>
        <w:rPr>
          <w:rFonts w:ascii="Times New Roman" w:hAnsi="Times New Roman" w:cs="Times New Roman"/>
        </w:rPr>
      </w:pPr>
    </w:p>
    <w:p w:rsidR="005A35EA" w:rsidRDefault="005A35EA" w:rsidP="005A35EA">
      <w:pPr>
        <w:ind w:left="993" w:hanging="633"/>
        <w:rPr>
          <w:rFonts w:ascii="Times New Roman" w:hAnsi="Times New Roman" w:cs="Times New Roman"/>
        </w:rPr>
      </w:pPr>
    </w:p>
    <w:p w:rsidR="005A35EA" w:rsidRDefault="005A35EA" w:rsidP="005A35EA">
      <w:pPr>
        <w:ind w:left="993" w:hanging="633"/>
        <w:rPr>
          <w:rFonts w:ascii="Times New Roman" w:hAnsi="Times New Roman" w:cs="Times New Roman"/>
        </w:rPr>
      </w:pPr>
    </w:p>
    <w:p w:rsidR="005A35EA" w:rsidRPr="005A35EA" w:rsidRDefault="005A35EA" w:rsidP="005A35EA">
      <w:pPr>
        <w:tabs>
          <w:tab w:val="left" w:pos="1080"/>
        </w:tabs>
        <w:ind w:left="1080"/>
        <w:rPr>
          <w:rFonts w:ascii="Times New Roman" w:hAnsi="Times New Roman" w:cs="Times New Roman"/>
          <w:b/>
          <w:sz w:val="24"/>
          <w:szCs w:val="24"/>
        </w:rPr>
      </w:pPr>
      <w:r>
        <w:rPr>
          <w:rFonts w:ascii="Times New Roman" w:hAnsi="Times New Roman" w:cs="Times New Roman"/>
          <w:b/>
          <w:sz w:val="24"/>
          <w:szCs w:val="24"/>
        </w:rPr>
        <w:lastRenderedPageBreak/>
        <w:t>(2)</w:t>
      </w:r>
      <w:r w:rsidRPr="005A35EA">
        <w:rPr>
          <w:rFonts w:ascii="Times New Roman" w:hAnsi="Times New Roman" w:cs="Times New Roman"/>
          <w:b/>
          <w:sz w:val="24"/>
          <w:szCs w:val="24"/>
        </w:rPr>
        <w:t>(a) ADJUSTMENTS TO CONDITIONAL GRANTS</w:t>
      </w:r>
    </w:p>
    <w:tbl>
      <w:tblPr>
        <w:tblStyle w:val="TableGrid"/>
        <w:tblW w:w="0" w:type="auto"/>
        <w:tblInd w:w="1075" w:type="dxa"/>
        <w:tblLook w:val="04A0" w:firstRow="1" w:lastRow="0" w:firstColumn="1" w:lastColumn="0" w:noHBand="0" w:noVBand="1"/>
      </w:tblPr>
      <w:tblGrid>
        <w:gridCol w:w="2700"/>
        <w:gridCol w:w="1980"/>
        <w:gridCol w:w="1800"/>
        <w:gridCol w:w="1461"/>
      </w:tblGrid>
      <w:tr w:rsidR="005A35EA" w:rsidTr="00CF71BE">
        <w:trPr>
          <w:trHeight w:val="384"/>
        </w:trPr>
        <w:tc>
          <w:tcPr>
            <w:tcW w:w="2700" w:type="dxa"/>
          </w:tcPr>
          <w:p w:rsidR="005A35EA" w:rsidRPr="008B7768" w:rsidRDefault="005A35EA" w:rsidP="00CF71BE">
            <w:pPr>
              <w:rPr>
                <w:rFonts w:ascii="Times New Roman" w:hAnsi="Times New Roman" w:cs="Times New Roman"/>
                <w:b/>
                <w:sz w:val="24"/>
                <w:szCs w:val="24"/>
              </w:rPr>
            </w:pPr>
            <w:r w:rsidRPr="008B7768">
              <w:rPr>
                <w:rFonts w:ascii="Times New Roman" w:hAnsi="Times New Roman" w:cs="Times New Roman"/>
                <w:b/>
                <w:sz w:val="24"/>
                <w:szCs w:val="24"/>
              </w:rPr>
              <w:t>MTEF YEAR</w:t>
            </w:r>
          </w:p>
        </w:tc>
        <w:tc>
          <w:tcPr>
            <w:tcW w:w="1980" w:type="dxa"/>
          </w:tcPr>
          <w:p w:rsidR="005A35EA" w:rsidRDefault="005A35EA" w:rsidP="00CF71BE">
            <w:pPr>
              <w:jc w:val="center"/>
              <w:rPr>
                <w:rFonts w:ascii="Times New Roman" w:hAnsi="Times New Roman" w:cs="Times New Roman"/>
                <w:b/>
                <w:sz w:val="24"/>
                <w:szCs w:val="24"/>
              </w:rPr>
            </w:pPr>
            <w:r w:rsidRPr="008B7768">
              <w:rPr>
                <w:rFonts w:ascii="Times New Roman" w:hAnsi="Times New Roman" w:cs="Times New Roman"/>
                <w:b/>
                <w:sz w:val="24"/>
                <w:szCs w:val="24"/>
              </w:rPr>
              <w:t>2020/21</w:t>
            </w:r>
          </w:p>
          <w:p w:rsidR="005A35EA" w:rsidRPr="008B7768" w:rsidRDefault="005A35EA" w:rsidP="00CF71BE">
            <w:pPr>
              <w:jc w:val="right"/>
              <w:rPr>
                <w:rFonts w:ascii="Times New Roman" w:hAnsi="Times New Roman" w:cs="Times New Roman"/>
                <w:b/>
                <w:sz w:val="24"/>
                <w:szCs w:val="24"/>
              </w:rPr>
            </w:pPr>
            <w:r>
              <w:rPr>
                <w:rFonts w:ascii="Times New Roman" w:hAnsi="Times New Roman" w:cs="Times New Roman"/>
                <w:b/>
                <w:sz w:val="24"/>
                <w:szCs w:val="24"/>
              </w:rPr>
              <w:t>R’000</w:t>
            </w:r>
          </w:p>
        </w:tc>
        <w:tc>
          <w:tcPr>
            <w:tcW w:w="1800" w:type="dxa"/>
          </w:tcPr>
          <w:p w:rsidR="005A35EA" w:rsidRDefault="005A35EA" w:rsidP="00CF71BE">
            <w:pPr>
              <w:jc w:val="center"/>
              <w:rPr>
                <w:rFonts w:ascii="Times New Roman" w:hAnsi="Times New Roman" w:cs="Times New Roman"/>
                <w:b/>
                <w:sz w:val="24"/>
                <w:szCs w:val="24"/>
              </w:rPr>
            </w:pPr>
            <w:r w:rsidRPr="008B7768">
              <w:rPr>
                <w:rFonts w:ascii="Times New Roman" w:hAnsi="Times New Roman" w:cs="Times New Roman"/>
                <w:b/>
                <w:sz w:val="24"/>
                <w:szCs w:val="24"/>
              </w:rPr>
              <w:t>2021/22</w:t>
            </w:r>
          </w:p>
          <w:p w:rsidR="005A35EA" w:rsidRPr="008B7768" w:rsidRDefault="005A35EA" w:rsidP="00CF71BE">
            <w:pPr>
              <w:jc w:val="right"/>
              <w:rPr>
                <w:rFonts w:ascii="Times New Roman" w:hAnsi="Times New Roman" w:cs="Times New Roman"/>
                <w:b/>
                <w:sz w:val="24"/>
                <w:szCs w:val="24"/>
              </w:rPr>
            </w:pPr>
            <w:r>
              <w:rPr>
                <w:rFonts w:ascii="Times New Roman" w:hAnsi="Times New Roman" w:cs="Times New Roman"/>
                <w:b/>
                <w:sz w:val="24"/>
                <w:szCs w:val="24"/>
              </w:rPr>
              <w:t>R’000</w:t>
            </w:r>
          </w:p>
        </w:tc>
        <w:tc>
          <w:tcPr>
            <w:tcW w:w="1461" w:type="dxa"/>
          </w:tcPr>
          <w:p w:rsidR="005A35EA" w:rsidRDefault="005A35EA" w:rsidP="00CF71BE">
            <w:pPr>
              <w:jc w:val="center"/>
              <w:rPr>
                <w:rFonts w:ascii="Times New Roman" w:hAnsi="Times New Roman" w:cs="Times New Roman"/>
                <w:b/>
                <w:sz w:val="24"/>
                <w:szCs w:val="24"/>
              </w:rPr>
            </w:pPr>
            <w:r w:rsidRPr="008B7768">
              <w:rPr>
                <w:rFonts w:ascii="Times New Roman" w:hAnsi="Times New Roman" w:cs="Times New Roman"/>
                <w:b/>
                <w:sz w:val="24"/>
                <w:szCs w:val="24"/>
              </w:rPr>
              <w:t>2022/23</w:t>
            </w:r>
          </w:p>
          <w:p w:rsidR="005A35EA" w:rsidRPr="008B7768" w:rsidRDefault="005A35EA" w:rsidP="00CF71BE">
            <w:pPr>
              <w:jc w:val="right"/>
              <w:rPr>
                <w:rFonts w:ascii="Times New Roman" w:hAnsi="Times New Roman" w:cs="Times New Roman"/>
                <w:b/>
                <w:sz w:val="24"/>
                <w:szCs w:val="24"/>
              </w:rPr>
            </w:pPr>
            <w:r>
              <w:rPr>
                <w:rFonts w:ascii="Times New Roman" w:hAnsi="Times New Roman" w:cs="Times New Roman"/>
                <w:b/>
                <w:sz w:val="24"/>
                <w:szCs w:val="24"/>
              </w:rPr>
              <w:t>R’000</w:t>
            </w:r>
          </w:p>
        </w:tc>
      </w:tr>
      <w:tr w:rsidR="005A35EA" w:rsidTr="00CF71BE">
        <w:tc>
          <w:tcPr>
            <w:tcW w:w="2700" w:type="dxa"/>
          </w:tcPr>
          <w:p w:rsidR="005A35EA" w:rsidRDefault="005A35EA" w:rsidP="00CF71BE">
            <w:pPr>
              <w:rPr>
                <w:rFonts w:ascii="Times New Roman" w:hAnsi="Times New Roman" w:cs="Times New Roman"/>
                <w:sz w:val="24"/>
                <w:szCs w:val="24"/>
              </w:rPr>
            </w:pPr>
            <w:r>
              <w:rPr>
                <w:rFonts w:ascii="Times New Roman" w:hAnsi="Times New Roman" w:cs="Times New Roman"/>
                <w:sz w:val="24"/>
                <w:szCs w:val="24"/>
              </w:rPr>
              <w:t>National School Nutrition Programme</w:t>
            </w:r>
          </w:p>
        </w:tc>
        <w:tc>
          <w:tcPr>
            <w:tcW w:w="1980" w:type="dxa"/>
          </w:tcPr>
          <w:p w:rsidR="005A35EA" w:rsidRDefault="005A35EA" w:rsidP="00CF71BE">
            <w:pPr>
              <w:jc w:val="right"/>
              <w:rPr>
                <w:rFonts w:ascii="Times New Roman" w:hAnsi="Times New Roman" w:cs="Times New Roman"/>
                <w:sz w:val="24"/>
                <w:szCs w:val="24"/>
              </w:rPr>
            </w:pPr>
            <w:r>
              <w:rPr>
                <w:rFonts w:ascii="Times New Roman" w:hAnsi="Times New Roman" w:cs="Times New Roman"/>
                <w:sz w:val="24"/>
                <w:szCs w:val="24"/>
              </w:rPr>
              <w:t>(30 014)</w:t>
            </w:r>
          </w:p>
        </w:tc>
        <w:tc>
          <w:tcPr>
            <w:tcW w:w="1800" w:type="dxa"/>
          </w:tcPr>
          <w:p w:rsidR="005A35EA" w:rsidRDefault="005A35EA" w:rsidP="00CF71BE">
            <w:pPr>
              <w:jc w:val="right"/>
              <w:rPr>
                <w:rFonts w:ascii="Times New Roman" w:hAnsi="Times New Roman" w:cs="Times New Roman"/>
                <w:sz w:val="24"/>
                <w:szCs w:val="24"/>
              </w:rPr>
            </w:pPr>
            <w:r>
              <w:rPr>
                <w:rFonts w:ascii="Times New Roman" w:hAnsi="Times New Roman" w:cs="Times New Roman"/>
                <w:sz w:val="24"/>
                <w:szCs w:val="24"/>
              </w:rPr>
              <w:t>(40 010)</w:t>
            </w:r>
          </w:p>
        </w:tc>
        <w:tc>
          <w:tcPr>
            <w:tcW w:w="1461" w:type="dxa"/>
          </w:tcPr>
          <w:p w:rsidR="005A35EA" w:rsidRDefault="005A35EA" w:rsidP="00CF71BE">
            <w:pPr>
              <w:jc w:val="right"/>
              <w:rPr>
                <w:rFonts w:ascii="Times New Roman" w:hAnsi="Times New Roman" w:cs="Times New Roman"/>
                <w:sz w:val="24"/>
                <w:szCs w:val="24"/>
              </w:rPr>
            </w:pPr>
            <w:r>
              <w:rPr>
                <w:rFonts w:ascii="Times New Roman" w:hAnsi="Times New Roman" w:cs="Times New Roman"/>
                <w:sz w:val="24"/>
                <w:szCs w:val="24"/>
              </w:rPr>
              <w:t>(53 055)</w:t>
            </w:r>
          </w:p>
        </w:tc>
      </w:tr>
      <w:tr w:rsidR="005A35EA" w:rsidTr="00CF71BE">
        <w:tc>
          <w:tcPr>
            <w:tcW w:w="2700" w:type="dxa"/>
          </w:tcPr>
          <w:p w:rsidR="005A35EA" w:rsidRDefault="005A35EA" w:rsidP="00CF71BE">
            <w:pPr>
              <w:rPr>
                <w:rFonts w:ascii="Times New Roman" w:hAnsi="Times New Roman" w:cs="Times New Roman"/>
                <w:sz w:val="24"/>
                <w:szCs w:val="24"/>
              </w:rPr>
            </w:pPr>
            <w:r>
              <w:rPr>
                <w:rFonts w:ascii="Times New Roman" w:hAnsi="Times New Roman" w:cs="Times New Roman"/>
                <w:sz w:val="24"/>
                <w:szCs w:val="24"/>
              </w:rPr>
              <w:t>HIV and AIDS (Life Skills Education)</w:t>
            </w:r>
          </w:p>
        </w:tc>
        <w:tc>
          <w:tcPr>
            <w:tcW w:w="1980" w:type="dxa"/>
          </w:tcPr>
          <w:p w:rsidR="005A35EA" w:rsidRDefault="005A35EA" w:rsidP="00CF71BE">
            <w:pPr>
              <w:jc w:val="right"/>
              <w:rPr>
                <w:rFonts w:ascii="Times New Roman" w:hAnsi="Times New Roman" w:cs="Times New Roman"/>
                <w:sz w:val="24"/>
                <w:szCs w:val="24"/>
              </w:rPr>
            </w:pPr>
            <w:r>
              <w:rPr>
                <w:rFonts w:ascii="Times New Roman" w:hAnsi="Times New Roman" w:cs="Times New Roman"/>
                <w:sz w:val="24"/>
                <w:szCs w:val="24"/>
              </w:rPr>
              <w:t>(23 945)</w:t>
            </w:r>
          </w:p>
        </w:tc>
        <w:tc>
          <w:tcPr>
            <w:tcW w:w="1800" w:type="dxa"/>
          </w:tcPr>
          <w:p w:rsidR="005A35EA" w:rsidRDefault="005A35EA" w:rsidP="00CF71BE">
            <w:pPr>
              <w:jc w:val="right"/>
              <w:rPr>
                <w:rFonts w:ascii="Times New Roman" w:hAnsi="Times New Roman" w:cs="Times New Roman"/>
                <w:sz w:val="24"/>
                <w:szCs w:val="24"/>
              </w:rPr>
            </w:pPr>
            <w:r>
              <w:rPr>
                <w:rFonts w:ascii="Times New Roman" w:hAnsi="Times New Roman" w:cs="Times New Roman"/>
                <w:sz w:val="24"/>
                <w:szCs w:val="24"/>
              </w:rPr>
              <w:t>(26 987)</w:t>
            </w:r>
          </w:p>
        </w:tc>
        <w:tc>
          <w:tcPr>
            <w:tcW w:w="1461" w:type="dxa"/>
          </w:tcPr>
          <w:p w:rsidR="005A35EA" w:rsidRDefault="005A35EA" w:rsidP="00CF71BE">
            <w:pPr>
              <w:jc w:val="right"/>
              <w:rPr>
                <w:rFonts w:ascii="Times New Roman" w:hAnsi="Times New Roman" w:cs="Times New Roman"/>
                <w:sz w:val="24"/>
                <w:szCs w:val="24"/>
              </w:rPr>
            </w:pPr>
            <w:r>
              <w:rPr>
                <w:rFonts w:ascii="Times New Roman" w:hAnsi="Times New Roman" w:cs="Times New Roman"/>
                <w:sz w:val="24"/>
                <w:szCs w:val="24"/>
              </w:rPr>
              <w:t>(33 939)</w:t>
            </w:r>
          </w:p>
        </w:tc>
      </w:tr>
      <w:tr w:rsidR="005A35EA" w:rsidTr="00CF71BE">
        <w:tc>
          <w:tcPr>
            <w:tcW w:w="2700" w:type="dxa"/>
          </w:tcPr>
          <w:p w:rsidR="005A35EA" w:rsidRDefault="005A35EA" w:rsidP="00CF71BE">
            <w:pPr>
              <w:rPr>
                <w:rFonts w:ascii="Times New Roman" w:hAnsi="Times New Roman" w:cs="Times New Roman"/>
                <w:sz w:val="24"/>
                <w:szCs w:val="24"/>
              </w:rPr>
            </w:pPr>
            <w:r>
              <w:rPr>
                <w:rFonts w:ascii="Times New Roman" w:hAnsi="Times New Roman" w:cs="Times New Roman"/>
                <w:sz w:val="24"/>
                <w:szCs w:val="24"/>
              </w:rPr>
              <w:t>Education Infrastructure Grant</w:t>
            </w:r>
          </w:p>
        </w:tc>
        <w:tc>
          <w:tcPr>
            <w:tcW w:w="1980" w:type="dxa"/>
          </w:tcPr>
          <w:p w:rsidR="005A35EA" w:rsidRDefault="005A35EA" w:rsidP="00CF71BE">
            <w:pPr>
              <w:jc w:val="right"/>
              <w:rPr>
                <w:rFonts w:ascii="Times New Roman" w:hAnsi="Times New Roman" w:cs="Times New Roman"/>
                <w:sz w:val="24"/>
                <w:szCs w:val="24"/>
              </w:rPr>
            </w:pPr>
            <w:r>
              <w:rPr>
                <w:rFonts w:ascii="Times New Roman" w:hAnsi="Times New Roman" w:cs="Times New Roman"/>
                <w:sz w:val="24"/>
                <w:szCs w:val="24"/>
              </w:rPr>
              <w:t>(458 665)</w:t>
            </w:r>
          </w:p>
        </w:tc>
        <w:tc>
          <w:tcPr>
            <w:tcW w:w="1800" w:type="dxa"/>
          </w:tcPr>
          <w:p w:rsidR="005A35EA" w:rsidRDefault="005A35EA" w:rsidP="00CF71BE">
            <w:pPr>
              <w:jc w:val="right"/>
              <w:rPr>
                <w:rFonts w:ascii="Times New Roman" w:hAnsi="Times New Roman" w:cs="Times New Roman"/>
                <w:sz w:val="24"/>
                <w:szCs w:val="24"/>
              </w:rPr>
            </w:pPr>
            <w:r>
              <w:rPr>
                <w:rFonts w:ascii="Times New Roman" w:hAnsi="Times New Roman" w:cs="Times New Roman"/>
                <w:sz w:val="24"/>
                <w:szCs w:val="24"/>
              </w:rPr>
              <w:t>(616 331)</w:t>
            </w:r>
          </w:p>
        </w:tc>
        <w:tc>
          <w:tcPr>
            <w:tcW w:w="1461" w:type="dxa"/>
          </w:tcPr>
          <w:p w:rsidR="005A35EA" w:rsidRDefault="005A35EA" w:rsidP="00CF71BE">
            <w:pPr>
              <w:jc w:val="right"/>
              <w:rPr>
                <w:rFonts w:ascii="Times New Roman" w:hAnsi="Times New Roman" w:cs="Times New Roman"/>
                <w:sz w:val="24"/>
                <w:szCs w:val="24"/>
              </w:rPr>
            </w:pPr>
            <w:r>
              <w:rPr>
                <w:rFonts w:ascii="Times New Roman" w:hAnsi="Times New Roman" w:cs="Times New Roman"/>
                <w:sz w:val="24"/>
                <w:szCs w:val="24"/>
              </w:rPr>
              <w:t>(775 099)</w:t>
            </w:r>
          </w:p>
        </w:tc>
      </w:tr>
      <w:tr w:rsidR="005A35EA" w:rsidTr="00CF71BE">
        <w:tc>
          <w:tcPr>
            <w:tcW w:w="2700" w:type="dxa"/>
          </w:tcPr>
          <w:p w:rsidR="005A35EA" w:rsidRDefault="005A35EA" w:rsidP="00CF71BE">
            <w:pPr>
              <w:rPr>
                <w:rFonts w:ascii="Times New Roman" w:hAnsi="Times New Roman" w:cs="Times New Roman"/>
                <w:sz w:val="24"/>
                <w:szCs w:val="24"/>
              </w:rPr>
            </w:pPr>
            <w:r>
              <w:rPr>
                <w:rFonts w:ascii="Times New Roman" w:hAnsi="Times New Roman" w:cs="Times New Roman"/>
                <w:sz w:val="24"/>
                <w:szCs w:val="24"/>
              </w:rPr>
              <w:t>Maths, Science and Technology Grant</w:t>
            </w:r>
          </w:p>
        </w:tc>
        <w:tc>
          <w:tcPr>
            <w:tcW w:w="1980" w:type="dxa"/>
          </w:tcPr>
          <w:p w:rsidR="005A35EA" w:rsidRDefault="005A35EA" w:rsidP="00CF71BE">
            <w:pPr>
              <w:jc w:val="right"/>
              <w:rPr>
                <w:rFonts w:ascii="Times New Roman" w:hAnsi="Times New Roman" w:cs="Times New Roman"/>
                <w:sz w:val="24"/>
                <w:szCs w:val="24"/>
              </w:rPr>
            </w:pPr>
            <w:r>
              <w:rPr>
                <w:rFonts w:ascii="Times New Roman" w:hAnsi="Times New Roman" w:cs="Times New Roman"/>
                <w:sz w:val="24"/>
                <w:szCs w:val="24"/>
              </w:rPr>
              <w:t>(12 397)</w:t>
            </w:r>
          </w:p>
        </w:tc>
        <w:tc>
          <w:tcPr>
            <w:tcW w:w="1800" w:type="dxa"/>
          </w:tcPr>
          <w:p w:rsidR="005A35EA" w:rsidRDefault="005A35EA" w:rsidP="00CF71BE">
            <w:pPr>
              <w:jc w:val="right"/>
              <w:rPr>
                <w:rFonts w:ascii="Times New Roman" w:hAnsi="Times New Roman" w:cs="Times New Roman"/>
                <w:sz w:val="24"/>
                <w:szCs w:val="24"/>
              </w:rPr>
            </w:pPr>
            <w:r>
              <w:rPr>
                <w:rFonts w:ascii="Times New Roman" w:hAnsi="Times New Roman" w:cs="Times New Roman"/>
                <w:sz w:val="24"/>
                <w:szCs w:val="24"/>
              </w:rPr>
              <w:t>(13 079)</w:t>
            </w:r>
          </w:p>
        </w:tc>
        <w:tc>
          <w:tcPr>
            <w:tcW w:w="1461" w:type="dxa"/>
          </w:tcPr>
          <w:p w:rsidR="005A35EA" w:rsidRDefault="005A35EA" w:rsidP="00CF71BE">
            <w:pPr>
              <w:jc w:val="right"/>
              <w:rPr>
                <w:rFonts w:ascii="Times New Roman" w:hAnsi="Times New Roman" w:cs="Times New Roman"/>
                <w:sz w:val="24"/>
                <w:szCs w:val="24"/>
              </w:rPr>
            </w:pPr>
            <w:r>
              <w:rPr>
                <w:rFonts w:ascii="Times New Roman" w:hAnsi="Times New Roman" w:cs="Times New Roman"/>
                <w:sz w:val="24"/>
                <w:szCs w:val="24"/>
              </w:rPr>
              <w:t>(13 708)</w:t>
            </w:r>
          </w:p>
        </w:tc>
      </w:tr>
      <w:tr w:rsidR="005A35EA" w:rsidTr="00CF71BE">
        <w:tc>
          <w:tcPr>
            <w:tcW w:w="2700" w:type="dxa"/>
          </w:tcPr>
          <w:p w:rsidR="005A35EA" w:rsidRPr="008B7768" w:rsidRDefault="005A35EA" w:rsidP="00CF71BE">
            <w:pPr>
              <w:rPr>
                <w:rFonts w:ascii="Times New Roman" w:hAnsi="Times New Roman" w:cs="Times New Roman"/>
                <w:b/>
                <w:sz w:val="24"/>
                <w:szCs w:val="24"/>
              </w:rPr>
            </w:pPr>
            <w:r w:rsidRPr="008B7768">
              <w:rPr>
                <w:rFonts w:ascii="Times New Roman" w:hAnsi="Times New Roman" w:cs="Times New Roman"/>
                <w:b/>
                <w:sz w:val="24"/>
                <w:szCs w:val="24"/>
              </w:rPr>
              <w:t>TOTAL</w:t>
            </w:r>
          </w:p>
        </w:tc>
        <w:tc>
          <w:tcPr>
            <w:tcW w:w="1980" w:type="dxa"/>
          </w:tcPr>
          <w:p w:rsidR="005A35EA" w:rsidRPr="008B7768" w:rsidRDefault="005A35EA" w:rsidP="00CF71BE">
            <w:pPr>
              <w:jc w:val="right"/>
              <w:rPr>
                <w:rFonts w:ascii="Times New Roman" w:hAnsi="Times New Roman" w:cs="Times New Roman"/>
                <w:b/>
                <w:sz w:val="24"/>
                <w:szCs w:val="24"/>
              </w:rPr>
            </w:pPr>
            <w:r w:rsidRPr="008B7768">
              <w:rPr>
                <w:rFonts w:ascii="Times New Roman" w:hAnsi="Times New Roman" w:cs="Times New Roman"/>
                <w:b/>
                <w:sz w:val="24"/>
                <w:szCs w:val="24"/>
              </w:rPr>
              <w:t>(525 0</w:t>
            </w:r>
            <w:r>
              <w:rPr>
                <w:rFonts w:ascii="Times New Roman" w:hAnsi="Times New Roman" w:cs="Times New Roman"/>
                <w:b/>
                <w:sz w:val="24"/>
                <w:szCs w:val="24"/>
              </w:rPr>
              <w:t>2</w:t>
            </w:r>
            <w:r w:rsidRPr="008B7768">
              <w:rPr>
                <w:rFonts w:ascii="Times New Roman" w:hAnsi="Times New Roman" w:cs="Times New Roman"/>
                <w:b/>
                <w:sz w:val="24"/>
                <w:szCs w:val="24"/>
              </w:rPr>
              <w:t>1)</w:t>
            </w:r>
          </w:p>
        </w:tc>
        <w:tc>
          <w:tcPr>
            <w:tcW w:w="1800" w:type="dxa"/>
          </w:tcPr>
          <w:p w:rsidR="005A35EA" w:rsidRPr="008B7768" w:rsidRDefault="005A35EA" w:rsidP="00CF71BE">
            <w:pPr>
              <w:jc w:val="right"/>
              <w:rPr>
                <w:rFonts w:ascii="Times New Roman" w:hAnsi="Times New Roman" w:cs="Times New Roman"/>
                <w:b/>
                <w:sz w:val="24"/>
                <w:szCs w:val="24"/>
              </w:rPr>
            </w:pPr>
            <w:r w:rsidRPr="008B7768">
              <w:rPr>
                <w:rFonts w:ascii="Times New Roman" w:hAnsi="Times New Roman" w:cs="Times New Roman"/>
                <w:b/>
                <w:sz w:val="24"/>
                <w:szCs w:val="24"/>
              </w:rPr>
              <w:t>(696 407)</w:t>
            </w:r>
          </w:p>
        </w:tc>
        <w:tc>
          <w:tcPr>
            <w:tcW w:w="1461" w:type="dxa"/>
          </w:tcPr>
          <w:p w:rsidR="005A35EA" w:rsidRPr="008B7768" w:rsidRDefault="005A35EA" w:rsidP="00CF71BE">
            <w:pPr>
              <w:jc w:val="right"/>
              <w:rPr>
                <w:rFonts w:ascii="Times New Roman" w:hAnsi="Times New Roman" w:cs="Times New Roman"/>
                <w:b/>
                <w:sz w:val="24"/>
                <w:szCs w:val="24"/>
              </w:rPr>
            </w:pPr>
            <w:r w:rsidRPr="008B7768">
              <w:rPr>
                <w:rFonts w:ascii="Times New Roman" w:hAnsi="Times New Roman" w:cs="Times New Roman"/>
                <w:b/>
                <w:sz w:val="24"/>
                <w:szCs w:val="24"/>
              </w:rPr>
              <w:t>(875 801)</w:t>
            </w:r>
          </w:p>
        </w:tc>
      </w:tr>
    </w:tbl>
    <w:p w:rsidR="005A35EA" w:rsidRDefault="005A35EA" w:rsidP="005A35EA">
      <w:pPr>
        <w:pStyle w:val="ListParagraph"/>
        <w:rPr>
          <w:rFonts w:ascii="Times New Roman" w:hAnsi="Times New Roman" w:cs="Times New Roman"/>
        </w:rPr>
      </w:pPr>
    </w:p>
    <w:p w:rsidR="005A35EA" w:rsidRDefault="005A35EA" w:rsidP="005A35EA">
      <w:pPr>
        <w:pStyle w:val="ListParagraph"/>
        <w:ind w:left="1134"/>
        <w:jc w:val="both"/>
        <w:rPr>
          <w:rFonts w:ascii="Times New Roman" w:hAnsi="Times New Roman" w:cs="Times New Roman"/>
        </w:rPr>
      </w:pPr>
      <w:r w:rsidRPr="005A35EA">
        <w:rPr>
          <w:rFonts w:ascii="Times New Roman" w:hAnsi="Times New Roman" w:cs="Times New Roman"/>
          <w:b/>
        </w:rPr>
        <w:t>(2)</w:t>
      </w:r>
      <w:r w:rsidR="00E62053" w:rsidRPr="005A35EA">
        <w:rPr>
          <w:rFonts w:ascii="Times New Roman" w:hAnsi="Times New Roman" w:cs="Times New Roman"/>
          <w:b/>
        </w:rPr>
        <w:t>(b)</w:t>
      </w:r>
      <w:r>
        <w:rPr>
          <w:rFonts w:ascii="Times New Roman" w:hAnsi="Times New Roman" w:cs="Times New Roman"/>
          <w:b/>
        </w:rPr>
        <w:t xml:space="preserve"> </w:t>
      </w:r>
      <w:r w:rsidRPr="00E62053">
        <w:rPr>
          <w:rFonts w:ascii="Times New Roman" w:hAnsi="Times New Roman" w:cs="Times New Roman"/>
        </w:rPr>
        <w:t>The Pro</w:t>
      </w:r>
      <w:r>
        <w:rPr>
          <w:rFonts w:ascii="Times New Roman" w:hAnsi="Times New Roman" w:cs="Times New Roman"/>
        </w:rPr>
        <w:t>vincial Departments of Education</w:t>
      </w:r>
      <w:r w:rsidRPr="00E62053">
        <w:rPr>
          <w:rFonts w:ascii="Times New Roman" w:hAnsi="Times New Roman" w:cs="Times New Roman"/>
        </w:rPr>
        <w:t xml:space="preserve"> will have to revise their plans and delay planned projects that cannot be funded as a result of the cut. On the Accelerated Schools Infrastructure Delivery Initiative (ASIDI) projects, no current projects will be affected as savings derived from the programme will be used to ensure that projects continue </w:t>
      </w:r>
      <w:r>
        <w:rPr>
          <w:rFonts w:ascii="Times New Roman" w:hAnsi="Times New Roman" w:cs="Times New Roman"/>
        </w:rPr>
        <w:t xml:space="preserve">as </w:t>
      </w:r>
      <w:r w:rsidRPr="00E62053">
        <w:rPr>
          <w:rFonts w:ascii="Times New Roman" w:hAnsi="Times New Roman" w:cs="Times New Roman"/>
        </w:rPr>
        <w:t>schedule</w:t>
      </w:r>
      <w:r>
        <w:rPr>
          <w:rFonts w:ascii="Times New Roman" w:hAnsi="Times New Roman" w:cs="Times New Roman"/>
        </w:rPr>
        <w:t>d.</w:t>
      </w:r>
    </w:p>
    <w:p w:rsidR="006D7B63" w:rsidRPr="005A35EA" w:rsidRDefault="006D7B63" w:rsidP="005A35EA">
      <w:pPr>
        <w:pStyle w:val="ListParagraph"/>
        <w:rPr>
          <w:rFonts w:ascii="Times New Roman" w:hAnsi="Times New Roman" w:cs="Times New Roman"/>
          <w:b/>
        </w:rPr>
      </w:pPr>
    </w:p>
    <w:p w:rsidR="00E62053" w:rsidRDefault="00E62053" w:rsidP="00E62053"/>
    <w:p w:rsidR="00E62053" w:rsidRDefault="00E62053" w:rsidP="00E62053"/>
    <w:p w:rsidR="00E62053" w:rsidRDefault="00E62053" w:rsidP="00E62053"/>
    <w:p w:rsidR="00E62053" w:rsidRDefault="00E62053" w:rsidP="00E62053"/>
    <w:p w:rsidR="005A35EA" w:rsidRDefault="005A35EA" w:rsidP="00E62053"/>
    <w:p w:rsidR="005A35EA" w:rsidRDefault="005A35EA" w:rsidP="00E62053"/>
    <w:p w:rsidR="005A35EA" w:rsidRDefault="005A35EA" w:rsidP="00E62053"/>
    <w:p w:rsidR="005A35EA" w:rsidRDefault="005A35EA" w:rsidP="00E62053"/>
    <w:p w:rsidR="005A35EA" w:rsidRDefault="005A35EA" w:rsidP="00E62053"/>
    <w:p w:rsidR="005A35EA" w:rsidRDefault="005A35EA" w:rsidP="00E62053"/>
    <w:p w:rsidR="00E62053" w:rsidRDefault="00E62053" w:rsidP="00E62053">
      <w:bookmarkStart w:id="0" w:name="_GoBack"/>
      <w:bookmarkEnd w:id="0"/>
    </w:p>
    <w:sectPr w:rsidR="00E62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74E0E"/>
    <w:multiLevelType w:val="hybridMultilevel"/>
    <w:tmpl w:val="FD00967C"/>
    <w:lvl w:ilvl="0" w:tplc="7B8E567A">
      <w:start w:val="1"/>
      <w:numFmt w:val="decimal"/>
      <w:lvlText w:val="(%1)"/>
      <w:lvlJc w:val="left"/>
      <w:pPr>
        <w:ind w:left="1440" w:hanging="360"/>
      </w:pPr>
      <w:rPr>
        <w:rFonts w:hint="default"/>
        <w:b/>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38AE17A2"/>
    <w:multiLevelType w:val="hybridMultilevel"/>
    <w:tmpl w:val="FEAC9302"/>
    <w:lvl w:ilvl="0" w:tplc="5ACCAE12">
      <w:start w:val="1"/>
      <w:numFmt w:val="decimal"/>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4C57604F"/>
    <w:multiLevelType w:val="hybridMultilevel"/>
    <w:tmpl w:val="9716CC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34EB"/>
    <w:rsid w:val="001363D0"/>
    <w:rsid w:val="001415B1"/>
    <w:rsid w:val="00170990"/>
    <w:rsid w:val="00171447"/>
    <w:rsid w:val="00183BCF"/>
    <w:rsid w:val="00192884"/>
    <w:rsid w:val="0020126E"/>
    <w:rsid w:val="00213AAB"/>
    <w:rsid w:val="00226801"/>
    <w:rsid w:val="00236728"/>
    <w:rsid w:val="00240B13"/>
    <w:rsid w:val="0027063B"/>
    <w:rsid w:val="002A6821"/>
    <w:rsid w:val="002C32A6"/>
    <w:rsid w:val="002D1513"/>
    <w:rsid w:val="00310F5F"/>
    <w:rsid w:val="0033504C"/>
    <w:rsid w:val="00341226"/>
    <w:rsid w:val="00343876"/>
    <w:rsid w:val="003511EF"/>
    <w:rsid w:val="003642CB"/>
    <w:rsid w:val="0037043F"/>
    <w:rsid w:val="00372905"/>
    <w:rsid w:val="003B39A7"/>
    <w:rsid w:val="003F26D9"/>
    <w:rsid w:val="00400D7D"/>
    <w:rsid w:val="00401744"/>
    <w:rsid w:val="00405587"/>
    <w:rsid w:val="00430337"/>
    <w:rsid w:val="00445162"/>
    <w:rsid w:val="00445915"/>
    <w:rsid w:val="004460E6"/>
    <w:rsid w:val="004532C0"/>
    <w:rsid w:val="00463E37"/>
    <w:rsid w:val="00465C3C"/>
    <w:rsid w:val="004A2F02"/>
    <w:rsid w:val="004B34AC"/>
    <w:rsid w:val="004E39FB"/>
    <w:rsid w:val="005676F7"/>
    <w:rsid w:val="00570560"/>
    <w:rsid w:val="005827AF"/>
    <w:rsid w:val="0059663A"/>
    <w:rsid w:val="005A35EA"/>
    <w:rsid w:val="005A669C"/>
    <w:rsid w:val="005B389D"/>
    <w:rsid w:val="005C4AB6"/>
    <w:rsid w:val="00607436"/>
    <w:rsid w:val="00613631"/>
    <w:rsid w:val="00615A3B"/>
    <w:rsid w:val="00666324"/>
    <w:rsid w:val="00667A76"/>
    <w:rsid w:val="00692B11"/>
    <w:rsid w:val="006C1F10"/>
    <w:rsid w:val="006D5600"/>
    <w:rsid w:val="006D7B63"/>
    <w:rsid w:val="006F297B"/>
    <w:rsid w:val="006F55B1"/>
    <w:rsid w:val="00710D44"/>
    <w:rsid w:val="00720CC4"/>
    <w:rsid w:val="00735204"/>
    <w:rsid w:val="007A4190"/>
    <w:rsid w:val="007D5B29"/>
    <w:rsid w:val="007F25CB"/>
    <w:rsid w:val="008015CE"/>
    <w:rsid w:val="008224B8"/>
    <w:rsid w:val="00830D56"/>
    <w:rsid w:val="00830FC7"/>
    <w:rsid w:val="008569F0"/>
    <w:rsid w:val="00857A1D"/>
    <w:rsid w:val="008C09A4"/>
    <w:rsid w:val="008E742B"/>
    <w:rsid w:val="009132A2"/>
    <w:rsid w:val="009434F5"/>
    <w:rsid w:val="009524A0"/>
    <w:rsid w:val="00975403"/>
    <w:rsid w:val="00996F09"/>
    <w:rsid w:val="009B6115"/>
    <w:rsid w:val="009C2773"/>
    <w:rsid w:val="009D302C"/>
    <w:rsid w:val="009F03E8"/>
    <w:rsid w:val="00A004D2"/>
    <w:rsid w:val="00A20079"/>
    <w:rsid w:val="00A451EB"/>
    <w:rsid w:val="00A603D7"/>
    <w:rsid w:val="00A61CFC"/>
    <w:rsid w:val="00A62005"/>
    <w:rsid w:val="00A666AB"/>
    <w:rsid w:val="00AB5B77"/>
    <w:rsid w:val="00AE1828"/>
    <w:rsid w:val="00B6783D"/>
    <w:rsid w:val="00B81D4D"/>
    <w:rsid w:val="00BA70AC"/>
    <w:rsid w:val="00C00DC4"/>
    <w:rsid w:val="00C4444B"/>
    <w:rsid w:val="00C90C8F"/>
    <w:rsid w:val="00D13D42"/>
    <w:rsid w:val="00D34C31"/>
    <w:rsid w:val="00D6328E"/>
    <w:rsid w:val="00D713FC"/>
    <w:rsid w:val="00D9276C"/>
    <w:rsid w:val="00D94B1F"/>
    <w:rsid w:val="00D97E99"/>
    <w:rsid w:val="00DF63FB"/>
    <w:rsid w:val="00E34908"/>
    <w:rsid w:val="00E44789"/>
    <w:rsid w:val="00E62053"/>
    <w:rsid w:val="00E67F6F"/>
    <w:rsid w:val="00EA485B"/>
    <w:rsid w:val="00EC7F74"/>
    <w:rsid w:val="00EF5B30"/>
    <w:rsid w:val="00F11816"/>
    <w:rsid w:val="00F5012D"/>
    <w:rsid w:val="00F574BB"/>
    <w:rsid w:val="00FA6EFF"/>
    <w:rsid w:val="00FB6195"/>
    <w:rsid w:val="00FC20D9"/>
    <w:rsid w:val="00FE27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F55B1"/>
    <w:rPr>
      <w:rFonts w:cs="Times New Roman"/>
      <w:i/>
      <w:iCs/>
    </w:rPr>
  </w:style>
  <w:style w:type="paragraph" w:styleId="ListParagraph">
    <w:name w:val="List Paragraph"/>
    <w:basedOn w:val="Normal"/>
    <w:uiPriority w:val="34"/>
    <w:qFormat/>
    <w:rsid w:val="00E62053"/>
    <w:pPr>
      <w:ind w:left="720"/>
      <w:contextualSpacing/>
    </w:pPr>
  </w:style>
  <w:style w:type="table" w:styleId="TableGrid">
    <w:name w:val="Table Grid"/>
    <w:basedOn w:val="TableNormal"/>
    <w:uiPriority w:val="59"/>
    <w:rsid w:val="005A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4</cp:revision>
  <dcterms:created xsi:type="dcterms:W3CDTF">2019-11-27T06:57:00Z</dcterms:created>
  <dcterms:modified xsi:type="dcterms:W3CDTF">2020-01-06T06:49:00Z</dcterms:modified>
</cp:coreProperties>
</file>