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87269E">
        <w:rPr>
          <w:rFonts w:cs="Arial"/>
          <w:sz w:val="22"/>
          <w:szCs w:val="22"/>
          <w:u w:val="none"/>
          <w:lang w:val="en-ZA"/>
        </w:rPr>
        <w:t>613</w:t>
      </w:r>
    </w:p>
    <w:p w:rsidR="00DA0998" w:rsidRDefault="00DA0998" w:rsidP="00F47756">
      <w:pPr>
        <w:rPr>
          <w:rFonts w:ascii="Arial" w:hAnsi="Arial" w:cs="Arial"/>
          <w:b/>
          <w:lang w:val="en-ZA" w:eastAsia="x-none"/>
        </w:rPr>
      </w:pPr>
    </w:p>
    <w:p w:rsidR="0087269E" w:rsidRPr="007109BD" w:rsidRDefault="0087269E" w:rsidP="0087269E">
      <w:pPr>
        <w:spacing w:before="100" w:beforeAutospacing="1" w:after="100" w:afterAutospacing="1" w:line="240" w:lineRule="auto"/>
        <w:ind w:left="851" w:hanging="851"/>
        <w:jc w:val="both"/>
        <w:outlineLvl w:val="0"/>
        <w:rPr>
          <w:rFonts w:ascii="Arial" w:hAnsi="Arial" w:cs="Arial"/>
          <w:b/>
          <w:noProof/>
          <w:lang w:val="af-ZA"/>
        </w:rPr>
      </w:pPr>
      <w:r w:rsidRPr="007109BD">
        <w:rPr>
          <w:rFonts w:ascii="Arial" w:hAnsi="Arial" w:cs="Arial"/>
          <w:b/>
          <w:noProof/>
          <w:lang w:val="af-ZA"/>
        </w:rPr>
        <w:t>1613.</w:t>
      </w:r>
      <w:r w:rsidRPr="007109BD">
        <w:rPr>
          <w:rFonts w:ascii="Arial" w:hAnsi="Arial" w:cs="Arial"/>
          <w:b/>
          <w:noProof/>
          <w:lang w:val="af-ZA"/>
        </w:rPr>
        <w:tab/>
        <w:t>Adv A de W Alberts (FF Plus) to ask the Minister of Transport</w:t>
      </w:r>
      <w:r w:rsidRPr="007109BD">
        <w:rPr>
          <w:rFonts w:ascii="Arial" w:hAnsi="Arial" w:cs="Arial"/>
          <w:b/>
          <w:lang w:val="af-ZA"/>
        </w:rPr>
        <w:t>:†</w:t>
      </w:r>
    </w:p>
    <w:p w:rsidR="0087269E" w:rsidRPr="007109BD" w:rsidRDefault="0087269E" w:rsidP="007109BD">
      <w:pPr>
        <w:spacing w:before="100" w:beforeAutospacing="1" w:after="100" w:afterAutospacing="1" w:line="120" w:lineRule="atLeast"/>
        <w:ind w:left="851" w:hanging="851"/>
        <w:jc w:val="both"/>
        <w:rPr>
          <w:rFonts w:ascii="Arial" w:hAnsi="Arial" w:cs="Arial"/>
          <w:noProof/>
          <w:lang w:val="af-ZA"/>
        </w:rPr>
      </w:pPr>
      <w:r w:rsidRPr="007109BD">
        <w:rPr>
          <w:rFonts w:ascii="Arial" w:hAnsi="Arial" w:cs="Arial"/>
          <w:noProof/>
          <w:lang w:val="af-ZA"/>
        </w:rPr>
        <w:t>(1)</w:t>
      </w:r>
      <w:r w:rsidRPr="007109BD">
        <w:rPr>
          <w:rFonts w:ascii="Arial" w:hAnsi="Arial" w:cs="Arial"/>
          <w:noProof/>
          <w:lang w:val="af-ZA"/>
        </w:rPr>
        <w:tab/>
        <w:t xml:space="preserve">Whether, with reference to the judgment in the case </w:t>
      </w:r>
      <w:r w:rsidRPr="007109BD">
        <w:rPr>
          <w:rFonts w:ascii="Arial" w:hAnsi="Arial" w:cs="Arial"/>
          <w:i/>
          <w:noProof/>
          <w:lang w:val="af-ZA"/>
        </w:rPr>
        <w:t xml:space="preserve">The Road Traffic Infringement Agency Board v Fines 4 U (Pty) Ltd and Another </w:t>
      </w:r>
      <w:r w:rsidRPr="007109BD">
        <w:rPr>
          <w:rFonts w:ascii="Arial" w:hAnsi="Arial" w:cs="Arial"/>
          <w:noProof/>
          <w:lang w:val="af-ZA"/>
        </w:rPr>
        <w:t xml:space="preserve">in April 2017, in which it was found that the Road Traffic Infringement Agency  did not comply with the Administrative Adjudication of Road Traffic Offences Act (AARTO), she will take steps to ensure that all officials in the AARTO process comply fully with the provisions of the specified legislation; if not, what is the position in this regard; if so, what are the relevant particulars;  </w:t>
      </w:r>
    </w:p>
    <w:p w:rsidR="0087269E" w:rsidRPr="007109BD" w:rsidRDefault="0087269E" w:rsidP="007109BD">
      <w:pPr>
        <w:spacing w:before="100" w:beforeAutospacing="1" w:after="100" w:afterAutospacing="1" w:line="120" w:lineRule="atLeast"/>
        <w:ind w:left="851" w:hanging="851"/>
        <w:jc w:val="both"/>
        <w:rPr>
          <w:rFonts w:ascii="Arial" w:hAnsi="Arial" w:cs="Arial"/>
          <w:noProof/>
          <w:color w:val="000000"/>
          <w:lang w:val="af-ZA"/>
        </w:rPr>
      </w:pPr>
      <w:r w:rsidRPr="007109BD">
        <w:rPr>
          <w:rFonts w:ascii="Arial" w:hAnsi="Arial" w:cs="Arial"/>
          <w:noProof/>
          <w:lang w:val="af-ZA"/>
        </w:rPr>
        <w:t>(2)</w:t>
      </w:r>
      <w:r w:rsidRPr="007109BD">
        <w:rPr>
          <w:rFonts w:ascii="Arial" w:hAnsi="Arial" w:cs="Arial"/>
          <w:noProof/>
          <w:lang w:val="af-ZA"/>
        </w:rPr>
        <w:tab/>
        <w:t xml:space="preserve">what number of the representations dealing with technical defects and handed to the Road Traffic Infringement Agency have been implemented since the test phase in Johannesburg and Pretoria;  </w:t>
      </w:r>
    </w:p>
    <w:p w:rsidR="0087269E" w:rsidRPr="007109BD" w:rsidRDefault="0087269E" w:rsidP="007109BD">
      <w:pPr>
        <w:spacing w:before="100" w:beforeAutospacing="1" w:after="100" w:afterAutospacing="1" w:line="120" w:lineRule="atLeast"/>
        <w:ind w:left="851" w:hanging="851"/>
        <w:jc w:val="both"/>
        <w:rPr>
          <w:rFonts w:ascii="Arial" w:hAnsi="Arial" w:cs="Arial"/>
          <w:noProof/>
          <w:color w:val="000000"/>
          <w:lang w:val="af-ZA"/>
        </w:rPr>
      </w:pPr>
      <w:r w:rsidRPr="007109BD">
        <w:rPr>
          <w:rFonts w:ascii="Arial" w:hAnsi="Arial" w:cs="Arial"/>
          <w:noProof/>
          <w:lang w:val="af-ZA"/>
        </w:rPr>
        <w:t>(3)</w:t>
      </w:r>
      <w:r w:rsidRPr="007109BD">
        <w:rPr>
          <w:rFonts w:ascii="Arial" w:hAnsi="Arial" w:cs="Arial"/>
          <w:noProof/>
          <w:lang w:val="af-ZA"/>
        </w:rPr>
        <w:tab/>
        <w:t>whether</w:t>
      </w:r>
      <w:r w:rsidRPr="007109BD">
        <w:rPr>
          <w:rFonts w:ascii="Arial" w:hAnsi="Arial" w:cs="Arial"/>
          <w:noProof/>
          <w:color w:val="000000"/>
          <w:lang w:val="af-ZA"/>
        </w:rPr>
        <w:t>, in light of the specified judgment, the Road Traffic Infringement Agency will take the specified representations under review, since it has been illegally dismissed; if not, why not; if so, (a) what are the full relevant particulars and (b) whether reimbursement will be made to people from whom money was irregularly collected in this regard;</w:t>
      </w:r>
    </w:p>
    <w:p w:rsidR="0087269E" w:rsidRPr="007109BD" w:rsidRDefault="0087269E" w:rsidP="007109BD">
      <w:pPr>
        <w:spacing w:before="100" w:beforeAutospacing="1" w:after="100" w:afterAutospacing="1" w:line="120" w:lineRule="atLeast"/>
        <w:ind w:left="851" w:hanging="851"/>
        <w:jc w:val="both"/>
        <w:rPr>
          <w:rFonts w:ascii="Arial" w:hAnsi="Arial" w:cs="Arial"/>
          <w:noProof/>
          <w:color w:val="000000"/>
          <w:lang w:val="af-ZA"/>
        </w:rPr>
      </w:pPr>
      <w:r w:rsidRPr="007109BD">
        <w:rPr>
          <w:rFonts w:ascii="Arial" w:hAnsi="Arial" w:cs="Arial"/>
          <w:noProof/>
          <w:lang w:val="af-ZA"/>
        </w:rPr>
        <w:t>(4)</w:t>
      </w:r>
      <w:r w:rsidRPr="007109BD">
        <w:rPr>
          <w:rFonts w:ascii="Arial" w:hAnsi="Arial" w:cs="Arial"/>
          <w:noProof/>
          <w:color w:val="000000"/>
          <w:lang w:val="af-ZA"/>
        </w:rPr>
        <w:tab/>
        <w:t xml:space="preserve">What are the road accident statistics (a) on the road on which AARTO was implemented since the beginning of the test phase and (b) for each year since AARTO has been implemented up to the latest specified date for which information is available; </w:t>
      </w:r>
    </w:p>
    <w:p w:rsidR="0087269E" w:rsidRPr="007109BD" w:rsidRDefault="0087269E" w:rsidP="007109BD">
      <w:pPr>
        <w:spacing w:before="100" w:beforeAutospacing="1" w:after="100" w:afterAutospacing="1" w:line="120" w:lineRule="atLeast"/>
        <w:ind w:left="851" w:hanging="851"/>
        <w:jc w:val="both"/>
        <w:rPr>
          <w:rFonts w:ascii="Arial" w:hAnsi="Arial" w:cs="Arial"/>
          <w:noProof/>
          <w:lang w:val="af-ZA"/>
        </w:rPr>
      </w:pPr>
      <w:r w:rsidRPr="007109BD">
        <w:rPr>
          <w:rFonts w:ascii="Arial" w:hAnsi="Arial" w:cs="Arial"/>
          <w:noProof/>
          <w:lang w:val="af-ZA"/>
        </w:rPr>
        <w:t>(5)</w:t>
      </w:r>
      <w:r w:rsidRPr="007109BD">
        <w:rPr>
          <w:rFonts w:ascii="Arial" w:hAnsi="Arial" w:cs="Arial"/>
          <w:noProof/>
          <w:color w:val="000000"/>
          <w:lang w:val="af-ZA"/>
        </w:rPr>
        <w:tab/>
        <w:t>(a)(i) why and (ii) in which manner AARTO will be implemented countrywide and (b) what (i) is the deadline and (ii) are the milestones in this regard?</w:t>
      </w:r>
      <w:r w:rsidR="007109BD">
        <w:rPr>
          <w:rFonts w:ascii="Arial" w:hAnsi="Arial" w:cs="Arial"/>
          <w:noProof/>
          <w:lang w:val="af-ZA"/>
        </w:rPr>
        <w:tab/>
      </w:r>
      <w:r w:rsidRPr="007109BD">
        <w:rPr>
          <w:rFonts w:ascii="Arial" w:hAnsi="Arial" w:cs="Arial"/>
          <w:noProof/>
          <w:lang w:val="af-ZA"/>
        </w:rPr>
        <w:t>NW1818E</w:t>
      </w:r>
    </w:p>
    <w:p w:rsidR="007109BD" w:rsidRDefault="007109BD" w:rsidP="007109BD">
      <w:pPr>
        <w:ind w:left="851" w:hanging="851"/>
        <w:rPr>
          <w:rFonts w:ascii="Arial" w:hAnsi="Arial" w:cs="Arial"/>
          <w:b/>
          <w:lang w:val="en-ZA" w:eastAsia="x-none"/>
        </w:rPr>
      </w:pPr>
    </w:p>
    <w:p w:rsidR="00F47756" w:rsidRPr="007109BD" w:rsidRDefault="00296510" w:rsidP="00F47756">
      <w:pPr>
        <w:rPr>
          <w:rFonts w:ascii="Arial" w:hAnsi="Arial" w:cs="Arial"/>
          <w:b/>
          <w:lang w:val="en-ZA" w:eastAsia="x-none"/>
        </w:rPr>
      </w:pPr>
      <w:r w:rsidRPr="007109BD">
        <w:rPr>
          <w:rFonts w:ascii="Arial" w:hAnsi="Arial" w:cs="Arial"/>
          <w:b/>
          <w:lang w:val="en-ZA" w:eastAsia="x-none"/>
        </w:rPr>
        <w:t>REPLY</w:t>
      </w:r>
      <w:r w:rsidR="00D555AA" w:rsidRPr="007109BD">
        <w:rPr>
          <w:rFonts w:ascii="Arial" w:hAnsi="Arial" w:cs="Arial"/>
          <w:b/>
          <w:lang w:val="en-ZA" w:eastAsia="x-none"/>
        </w:rPr>
        <w:t xml:space="preserve">: </w:t>
      </w:r>
    </w:p>
    <w:p w:rsidR="002B6195" w:rsidRPr="007109BD" w:rsidRDefault="002B6195" w:rsidP="00F47756">
      <w:pPr>
        <w:rPr>
          <w:rFonts w:ascii="Arial" w:hAnsi="Arial" w:cs="Arial"/>
          <w:b/>
          <w:lang w:val="en-ZA" w:eastAsia="x-none"/>
        </w:rPr>
      </w:pPr>
    </w:p>
    <w:p w:rsidR="002B6195" w:rsidRPr="007109BD" w:rsidRDefault="00A0362E" w:rsidP="007109BD">
      <w:pPr>
        <w:pStyle w:val="ListParagraph"/>
        <w:numPr>
          <w:ilvl w:val="0"/>
          <w:numId w:val="16"/>
        </w:numPr>
        <w:ind w:hanging="720"/>
        <w:jc w:val="both"/>
        <w:rPr>
          <w:rFonts w:ascii="Arial" w:hAnsi="Arial" w:cs="Arial"/>
          <w:lang w:val="en-ZA" w:eastAsia="x-none"/>
        </w:rPr>
      </w:pPr>
      <w:r w:rsidRPr="007109BD">
        <w:rPr>
          <w:rFonts w:ascii="Arial" w:hAnsi="Arial" w:cs="Arial"/>
          <w:lang w:val="en-ZA" w:eastAsia="x-none"/>
        </w:rPr>
        <w:t>In order to ensure compliance with the legal prescripts and processes enshrined in the AARTO legislation, t</w:t>
      </w:r>
      <w:r w:rsidR="002B6195" w:rsidRPr="007109BD">
        <w:rPr>
          <w:rFonts w:ascii="Arial" w:hAnsi="Arial" w:cs="Arial"/>
          <w:lang w:val="en-ZA" w:eastAsia="x-none"/>
        </w:rPr>
        <w:t>he RTIA has developed Standard Operating Procedures</w:t>
      </w:r>
      <w:r w:rsidRPr="007109BD">
        <w:rPr>
          <w:rFonts w:ascii="Arial" w:hAnsi="Arial" w:cs="Arial"/>
          <w:lang w:val="en-ZA" w:eastAsia="x-none"/>
        </w:rPr>
        <w:t>. The Standard Operating Procedures will be</w:t>
      </w:r>
      <w:r w:rsidR="002B6195" w:rsidRPr="007109BD">
        <w:rPr>
          <w:rFonts w:ascii="Arial" w:hAnsi="Arial" w:cs="Arial"/>
          <w:lang w:val="en-ZA" w:eastAsia="x-none"/>
        </w:rPr>
        <w:t xml:space="preserve"> published as part of the Regulations in order to ensure compliance by all </w:t>
      </w:r>
      <w:r w:rsidR="00645C4D" w:rsidRPr="007109BD">
        <w:rPr>
          <w:rFonts w:ascii="Arial" w:hAnsi="Arial" w:cs="Arial"/>
          <w:lang w:val="en-ZA" w:eastAsia="x-none"/>
        </w:rPr>
        <w:t>role players</w:t>
      </w:r>
      <w:r w:rsidR="002B6195" w:rsidRPr="007109BD">
        <w:rPr>
          <w:rFonts w:ascii="Arial" w:hAnsi="Arial" w:cs="Arial"/>
          <w:lang w:val="en-ZA" w:eastAsia="x-none"/>
        </w:rPr>
        <w:t>.</w:t>
      </w:r>
    </w:p>
    <w:p w:rsidR="00A03C29" w:rsidRPr="007109BD" w:rsidRDefault="00A03C29" w:rsidP="007109BD">
      <w:pPr>
        <w:pStyle w:val="ListParagraph"/>
        <w:ind w:hanging="720"/>
        <w:rPr>
          <w:rFonts w:ascii="Arial" w:hAnsi="Arial" w:cs="Arial"/>
          <w:lang w:val="en-ZA" w:eastAsia="x-none"/>
        </w:rPr>
      </w:pPr>
    </w:p>
    <w:p w:rsidR="006F213B" w:rsidRPr="007109BD" w:rsidRDefault="002B6195" w:rsidP="007109BD">
      <w:pPr>
        <w:pStyle w:val="ListParagraph"/>
        <w:numPr>
          <w:ilvl w:val="0"/>
          <w:numId w:val="16"/>
        </w:numPr>
        <w:ind w:hanging="720"/>
        <w:jc w:val="both"/>
        <w:rPr>
          <w:rFonts w:ascii="Arial" w:hAnsi="Arial" w:cs="Arial"/>
          <w:lang w:val="en-ZA" w:eastAsia="x-none"/>
        </w:rPr>
      </w:pPr>
      <w:r w:rsidRPr="007109BD">
        <w:rPr>
          <w:rFonts w:ascii="Arial" w:hAnsi="Arial" w:cs="Arial"/>
          <w:lang w:val="en-ZA" w:eastAsia="x-none"/>
        </w:rPr>
        <w:t xml:space="preserve">The </w:t>
      </w:r>
      <w:r w:rsidR="00A0362E" w:rsidRPr="007109BD">
        <w:rPr>
          <w:rFonts w:ascii="Arial" w:hAnsi="Arial" w:cs="Arial"/>
          <w:lang w:val="en-ZA" w:eastAsia="x-none"/>
        </w:rPr>
        <w:t xml:space="preserve">RTIA regards every aspect raised in the representation made as a technical issue. To this extent, the </w:t>
      </w:r>
      <w:r w:rsidRPr="007109BD">
        <w:rPr>
          <w:rFonts w:ascii="Arial" w:hAnsi="Arial" w:cs="Arial"/>
          <w:lang w:val="en-ZA" w:eastAsia="x-none"/>
        </w:rPr>
        <w:t>number</w:t>
      </w:r>
      <w:r w:rsidR="00A03C29" w:rsidRPr="007109BD">
        <w:rPr>
          <w:rFonts w:ascii="Arial" w:hAnsi="Arial" w:cs="Arial"/>
          <w:lang w:val="en-ZA" w:eastAsia="x-none"/>
        </w:rPr>
        <w:t xml:space="preserve"> </w:t>
      </w:r>
      <w:r w:rsidRPr="007109BD">
        <w:rPr>
          <w:rFonts w:ascii="Arial" w:hAnsi="Arial" w:cs="Arial"/>
          <w:lang w:val="en-ZA" w:eastAsia="x-none"/>
        </w:rPr>
        <w:t xml:space="preserve">of representations </w:t>
      </w:r>
      <w:r w:rsidR="00A0362E" w:rsidRPr="007109BD">
        <w:rPr>
          <w:rFonts w:ascii="Arial" w:hAnsi="Arial" w:cs="Arial"/>
          <w:lang w:val="en-ZA" w:eastAsia="x-none"/>
        </w:rPr>
        <w:t xml:space="preserve">that the RTIA dealt with since the pilot phase </w:t>
      </w:r>
      <w:r w:rsidR="00964F42" w:rsidRPr="007109BD">
        <w:rPr>
          <w:rFonts w:ascii="Arial" w:hAnsi="Arial" w:cs="Arial"/>
          <w:lang w:val="en-ZA" w:eastAsia="x-none"/>
        </w:rPr>
        <w:t>since 2008 up to 31 March 2017, is 506 984 representations.</w:t>
      </w:r>
    </w:p>
    <w:p w:rsidR="00A03C29" w:rsidRPr="007109BD" w:rsidRDefault="00A03C29" w:rsidP="007109BD">
      <w:pPr>
        <w:pStyle w:val="ListParagraph"/>
        <w:ind w:hanging="720"/>
        <w:rPr>
          <w:rFonts w:ascii="Arial" w:hAnsi="Arial" w:cs="Arial"/>
          <w:lang w:val="en-ZA" w:eastAsia="x-none"/>
        </w:rPr>
      </w:pPr>
    </w:p>
    <w:p w:rsidR="00A03C29" w:rsidRPr="007109BD" w:rsidRDefault="00A03C29" w:rsidP="007109BD">
      <w:pPr>
        <w:pStyle w:val="ListParagraph"/>
        <w:numPr>
          <w:ilvl w:val="0"/>
          <w:numId w:val="16"/>
        </w:numPr>
        <w:ind w:hanging="720"/>
        <w:jc w:val="both"/>
        <w:rPr>
          <w:rFonts w:ascii="Arial" w:hAnsi="Arial" w:cs="Arial"/>
          <w:lang w:val="en-ZA" w:eastAsia="x-none"/>
        </w:rPr>
      </w:pPr>
      <w:r w:rsidRPr="007109BD">
        <w:rPr>
          <w:rFonts w:ascii="Arial" w:hAnsi="Arial" w:cs="Arial"/>
          <w:lang w:val="en-ZA" w:eastAsia="x-none"/>
        </w:rPr>
        <w:t>The RTIA is in the process of giving effect to the court order in relation to the specified judgement. The Court made a ruling in respect of specified representations that were in dispute particularly due to the inconsistent adjudication outcomes. In this respect the specified representations will be reviewed and be made successful.</w:t>
      </w:r>
    </w:p>
    <w:p w:rsidR="00F147DC" w:rsidRDefault="00F147DC" w:rsidP="007109BD">
      <w:pPr>
        <w:pStyle w:val="ListParagraph"/>
        <w:ind w:hanging="720"/>
        <w:rPr>
          <w:rFonts w:ascii="Arial" w:hAnsi="Arial" w:cs="Arial"/>
          <w:lang w:val="en-ZA" w:eastAsia="x-none"/>
        </w:rPr>
      </w:pPr>
    </w:p>
    <w:p w:rsidR="004921E9" w:rsidRDefault="004921E9" w:rsidP="007109BD">
      <w:pPr>
        <w:pStyle w:val="ListParagraph"/>
        <w:ind w:hanging="720"/>
        <w:rPr>
          <w:rFonts w:ascii="Arial" w:hAnsi="Arial" w:cs="Arial"/>
          <w:lang w:val="en-ZA" w:eastAsia="x-none"/>
        </w:rPr>
      </w:pPr>
    </w:p>
    <w:p w:rsidR="004921E9" w:rsidRPr="007109BD" w:rsidRDefault="004921E9" w:rsidP="007109BD">
      <w:pPr>
        <w:pStyle w:val="ListParagraph"/>
        <w:ind w:hanging="720"/>
        <w:rPr>
          <w:rFonts w:ascii="Arial" w:hAnsi="Arial" w:cs="Arial"/>
          <w:lang w:val="en-ZA" w:eastAsia="x-none"/>
        </w:rPr>
      </w:pPr>
    </w:p>
    <w:p w:rsidR="004921E9" w:rsidRPr="004921E9" w:rsidRDefault="004921E9" w:rsidP="004921E9">
      <w:pPr>
        <w:pStyle w:val="ListParagraph"/>
        <w:numPr>
          <w:ilvl w:val="0"/>
          <w:numId w:val="16"/>
        </w:numPr>
        <w:spacing w:before="100" w:beforeAutospacing="1" w:after="100" w:afterAutospacing="1" w:line="120" w:lineRule="atLeast"/>
        <w:jc w:val="both"/>
        <w:rPr>
          <w:rFonts w:ascii="Times New Roman" w:hAnsi="Times New Roman" w:cs="Times New Roman"/>
          <w:noProof/>
          <w:color w:val="000000"/>
          <w:sz w:val="24"/>
          <w:szCs w:val="24"/>
          <w:lang w:val="af-ZA"/>
        </w:rPr>
      </w:pPr>
    </w:p>
    <w:tbl>
      <w:tblPr>
        <w:tblW w:w="10057" w:type="dxa"/>
        <w:tblInd w:w="108" w:type="dxa"/>
        <w:tblLook w:val="04A0" w:firstRow="1" w:lastRow="0" w:firstColumn="1" w:lastColumn="0" w:noHBand="0" w:noVBand="1"/>
      </w:tblPr>
      <w:tblGrid>
        <w:gridCol w:w="1149"/>
        <w:gridCol w:w="1402"/>
        <w:gridCol w:w="1196"/>
        <w:gridCol w:w="1216"/>
        <w:gridCol w:w="1216"/>
        <w:gridCol w:w="1216"/>
        <w:gridCol w:w="1216"/>
        <w:gridCol w:w="1572"/>
      </w:tblGrid>
      <w:tr w:rsidR="004921E9" w:rsidRPr="00FA07DC" w:rsidTr="000C141A">
        <w:trPr>
          <w:trHeight w:val="299"/>
        </w:trPr>
        <w:tc>
          <w:tcPr>
            <w:tcW w:w="3621" w:type="dxa"/>
            <w:gridSpan w:val="3"/>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City of Joburg - AARTO Area</w:t>
            </w: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YEAR</w:t>
            </w:r>
          </w:p>
        </w:tc>
        <w:tc>
          <w:tcPr>
            <w:tcW w:w="1402"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Fatal Crashes</w:t>
            </w:r>
          </w:p>
        </w:tc>
        <w:tc>
          <w:tcPr>
            <w:tcW w:w="1141"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Pedestrian</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Driver</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Passenger</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M/Cyclist</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Cyclist</w:t>
            </w:r>
          </w:p>
        </w:tc>
        <w:tc>
          <w:tcPr>
            <w:tcW w:w="1572"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TOTAL Fatalities</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"2012</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556</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363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206</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607</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649</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"2013</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693</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431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188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785</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"2014"</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533</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337</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127</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94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17</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579</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"2015</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698</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441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154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127</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22</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10</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754</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"2016</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746</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478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138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137</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35</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802</w:t>
            </w:r>
          </w:p>
        </w:tc>
      </w:tr>
      <w:tr w:rsidR="004921E9" w:rsidRPr="00FA07DC" w:rsidTr="000C141A">
        <w:trPr>
          <w:trHeight w:val="299"/>
        </w:trPr>
        <w:tc>
          <w:tcPr>
            <w:tcW w:w="1078"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p>
        </w:tc>
        <w:tc>
          <w:tcPr>
            <w:tcW w:w="140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Times New Roman" w:eastAsia="Times New Roman" w:hAnsi="Times New Roman" w:cs="Times New Roman"/>
                <w:sz w:val="20"/>
                <w:szCs w:val="20"/>
                <w:lang w:val="en-ZA" w:eastAsia="en-ZA"/>
              </w:rPr>
            </w:pPr>
          </w:p>
        </w:tc>
        <w:tc>
          <w:tcPr>
            <w:tcW w:w="1141"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1078"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40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Times New Roman" w:eastAsia="Times New Roman" w:hAnsi="Times New Roman" w:cs="Times New Roman"/>
                <w:sz w:val="20"/>
                <w:szCs w:val="20"/>
                <w:lang w:val="en-ZA" w:eastAsia="en-ZA"/>
              </w:rPr>
            </w:pPr>
          </w:p>
        </w:tc>
        <w:tc>
          <w:tcPr>
            <w:tcW w:w="1141"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3621" w:type="dxa"/>
            <w:gridSpan w:val="3"/>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City of Tshwane - AARTO Area</w:t>
            </w: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YEAR</w:t>
            </w:r>
          </w:p>
        </w:tc>
        <w:tc>
          <w:tcPr>
            <w:tcW w:w="1402"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Fatal Crashes</w:t>
            </w:r>
          </w:p>
        </w:tc>
        <w:tc>
          <w:tcPr>
            <w:tcW w:w="1141"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Pedestrian</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Driver</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Passenger</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M/Cyclist</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Cyclist</w:t>
            </w:r>
          </w:p>
        </w:tc>
        <w:tc>
          <w:tcPr>
            <w:tcW w:w="1572"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TOTAL Fatalities</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"2012</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512</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247</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245</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110</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9</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612</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"2013</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578</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264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240</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183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697</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"2014"</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482</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243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135</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18</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558</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"2015</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537</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254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168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16</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610</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"2016</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618</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313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186</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166</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696</w:t>
            </w:r>
          </w:p>
        </w:tc>
      </w:tr>
      <w:tr w:rsidR="004921E9" w:rsidRPr="00FA07DC" w:rsidTr="000C141A">
        <w:trPr>
          <w:trHeight w:val="299"/>
        </w:trPr>
        <w:tc>
          <w:tcPr>
            <w:tcW w:w="1078"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p>
        </w:tc>
        <w:tc>
          <w:tcPr>
            <w:tcW w:w="140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Times New Roman" w:eastAsia="Times New Roman" w:hAnsi="Times New Roman" w:cs="Times New Roman"/>
                <w:sz w:val="20"/>
                <w:szCs w:val="20"/>
                <w:lang w:val="en-ZA" w:eastAsia="en-ZA"/>
              </w:rPr>
            </w:pPr>
          </w:p>
        </w:tc>
        <w:tc>
          <w:tcPr>
            <w:tcW w:w="1141"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1078"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40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Times New Roman" w:eastAsia="Times New Roman" w:hAnsi="Times New Roman" w:cs="Times New Roman"/>
                <w:sz w:val="20"/>
                <w:szCs w:val="20"/>
                <w:lang w:val="en-ZA" w:eastAsia="en-ZA"/>
              </w:rPr>
            </w:pPr>
          </w:p>
        </w:tc>
        <w:tc>
          <w:tcPr>
            <w:tcW w:w="1141"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1078"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Combined</w:t>
            </w:r>
          </w:p>
        </w:tc>
        <w:tc>
          <w:tcPr>
            <w:tcW w:w="140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p>
        </w:tc>
        <w:tc>
          <w:tcPr>
            <w:tcW w:w="1141"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216"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c>
          <w:tcPr>
            <w:tcW w:w="1572" w:type="dxa"/>
            <w:tcBorders>
              <w:top w:val="nil"/>
              <w:left w:val="nil"/>
              <w:bottom w:val="nil"/>
              <w:right w:val="nil"/>
            </w:tcBorders>
            <w:shd w:val="clear" w:color="auto" w:fill="auto"/>
            <w:noWrap/>
            <w:vAlign w:val="bottom"/>
            <w:hideMark/>
          </w:tcPr>
          <w:p w:rsidR="004921E9" w:rsidRPr="00FA07DC" w:rsidRDefault="004921E9" w:rsidP="000C141A">
            <w:pPr>
              <w:spacing w:after="0" w:line="240" w:lineRule="auto"/>
              <w:jc w:val="center"/>
              <w:rPr>
                <w:rFonts w:ascii="Times New Roman" w:eastAsia="Times New Roman" w:hAnsi="Times New Roman" w:cs="Times New Roman"/>
                <w:sz w:val="20"/>
                <w:szCs w:val="20"/>
                <w:lang w:val="en-ZA" w:eastAsia="en-ZA"/>
              </w:rPr>
            </w:pPr>
          </w:p>
        </w:tc>
      </w:tr>
      <w:tr w:rsidR="004921E9" w:rsidRPr="00FA07DC" w:rsidTr="000C141A">
        <w:trPr>
          <w:trHeight w:val="299"/>
        </w:trPr>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YEAR</w:t>
            </w:r>
          </w:p>
        </w:tc>
        <w:tc>
          <w:tcPr>
            <w:tcW w:w="1402"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Fatal Crashes</w:t>
            </w:r>
          </w:p>
        </w:tc>
        <w:tc>
          <w:tcPr>
            <w:tcW w:w="1141"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Pedestrian</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Driver</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Passenger</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M/Cyclist</w:t>
            </w:r>
          </w:p>
        </w:tc>
        <w:tc>
          <w:tcPr>
            <w:tcW w:w="1216"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Cyclist</w:t>
            </w:r>
          </w:p>
        </w:tc>
        <w:tc>
          <w:tcPr>
            <w:tcW w:w="1572" w:type="dxa"/>
            <w:tcBorders>
              <w:top w:val="single" w:sz="4" w:space="0" w:color="auto"/>
              <w:left w:val="nil"/>
              <w:bottom w:val="single" w:sz="4" w:space="0" w:color="auto"/>
              <w:right w:val="single" w:sz="4" w:space="0" w:color="auto"/>
            </w:tcBorders>
            <w:shd w:val="clear" w:color="000000" w:fill="FFFF00"/>
            <w:noWrap/>
            <w:vAlign w:val="bottom"/>
            <w:hideMark/>
          </w:tcPr>
          <w:p w:rsidR="004921E9" w:rsidRPr="00FA07DC" w:rsidRDefault="004921E9" w:rsidP="000C141A">
            <w:pPr>
              <w:spacing w:after="0" w:line="240" w:lineRule="auto"/>
              <w:jc w:val="center"/>
              <w:rPr>
                <w:rFonts w:ascii="Calibri" w:eastAsia="Times New Roman" w:hAnsi="Calibri" w:cs="Times New Roman"/>
                <w:b/>
                <w:bCs/>
                <w:color w:val="000000"/>
                <w:lang w:val="en-ZA" w:eastAsia="en-ZA"/>
              </w:rPr>
            </w:pPr>
            <w:r w:rsidRPr="00FA07DC">
              <w:rPr>
                <w:rFonts w:ascii="Calibri" w:eastAsia="Times New Roman" w:hAnsi="Calibri" w:cs="Times New Roman"/>
                <w:b/>
                <w:bCs/>
                <w:color w:val="000000"/>
                <w:lang w:val="en-ZA" w:eastAsia="en-ZA"/>
              </w:rPr>
              <w:t>TOTAL Fatalities</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"2012</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1068</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610</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451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183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616</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1261</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"2013</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1271</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695</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428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331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1482</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"2014"</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1015</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580</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262</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242</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22</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1137</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"2015</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1235</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695</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322</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268</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26</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1364</w:t>
            </w:r>
          </w:p>
        </w:tc>
      </w:tr>
      <w:tr w:rsidR="004921E9" w:rsidRPr="00FA07DC" w:rsidTr="000C141A">
        <w:trPr>
          <w:trHeight w:val="299"/>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"2016</w:t>
            </w:r>
          </w:p>
        </w:tc>
        <w:tc>
          <w:tcPr>
            <w:tcW w:w="140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1364</w:t>
            </w:r>
          </w:p>
        </w:tc>
        <w:tc>
          <w:tcPr>
            <w:tcW w:w="1141"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791</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324</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303</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59</w:t>
            </w:r>
          </w:p>
        </w:tc>
        <w:tc>
          <w:tcPr>
            <w:tcW w:w="1216"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21</w:t>
            </w:r>
          </w:p>
        </w:tc>
        <w:tc>
          <w:tcPr>
            <w:tcW w:w="1572" w:type="dxa"/>
            <w:tcBorders>
              <w:top w:val="nil"/>
              <w:left w:val="nil"/>
              <w:bottom w:val="single" w:sz="4" w:space="0" w:color="auto"/>
              <w:right w:val="single" w:sz="4" w:space="0" w:color="auto"/>
            </w:tcBorders>
            <w:shd w:val="clear" w:color="auto" w:fill="auto"/>
            <w:noWrap/>
            <w:vAlign w:val="bottom"/>
            <w:hideMark/>
          </w:tcPr>
          <w:p w:rsidR="004921E9" w:rsidRPr="00FA07DC" w:rsidRDefault="004921E9" w:rsidP="000C141A">
            <w:pPr>
              <w:spacing w:after="0" w:line="240" w:lineRule="auto"/>
              <w:jc w:val="center"/>
              <w:rPr>
                <w:rFonts w:ascii="Calibri" w:eastAsia="Times New Roman" w:hAnsi="Calibri" w:cs="Times New Roman"/>
                <w:color w:val="000000"/>
                <w:lang w:val="en-ZA" w:eastAsia="en-ZA"/>
              </w:rPr>
            </w:pPr>
            <w:r w:rsidRPr="00FA07DC">
              <w:rPr>
                <w:rFonts w:ascii="Calibri" w:eastAsia="Times New Roman" w:hAnsi="Calibri" w:cs="Times New Roman"/>
                <w:color w:val="000000"/>
                <w:lang w:val="en-ZA" w:eastAsia="en-ZA"/>
              </w:rPr>
              <w:t>1498</w:t>
            </w:r>
          </w:p>
        </w:tc>
      </w:tr>
    </w:tbl>
    <w:p w:rsidR="004921E9" w:rsidRPr="004921E9" w:rsidRDefault="004921E9" w:rsidP="004921E9">
      <w:pPr>
        <w:pStyle w:val="ListParagraph"/>
        <w:spacing w:before="100" w:beforeAutospacing="1" w:after="100" w:afterAutospacing="1" w:line="120" w:lineRule="atLeast"/>
        <w:jc w:val="both"/>
        <w:rPr>
          <w:rFonts w:ascii="Times New Roman" w:hAnsi="Times New Roman" w:cs="Times New Roman"/>
          <w:noProof/>
          <w:color w:val="000000"/>
          <w:sz w:val="24"/>
          <w:szCs w:val="24"/>
          <w:lang w:val="af-ZA"/>
        </w:rPr>
      </w:pPr>
    </w:p>
    <w:p w:rsidR="00F147DC" w:rsidRPr="007109BD" w:rsidRDefault="00F147DC" w:rsidP="007109BD">
      <w:pPr>
        <w:pStyle w:val="ListParagraph"/>
        <w:ind w:hanging="720"/>
        <w:rPr>
          <w:rFonts w:ascii="Arial" w:hAnsi="Arial" w:cs="Arial"/>
          <w:lang w:val="en-ZA" w:eastAsia="x-none"/>
        </w:rPr>
      </w:pPr>
    </w:p>
    <w:p w:rsidR="00F147DC" w:rsidRPr="00F147DC" w:rsidRDefault="00C6484E" w:rsidP="007109BD">
      <w:pPr>
        <w:pStyle w:val="ListParagraph"/>
        <w:numPr>
          <w:ilvl w:val="0"/>
          <w:numId w:val="16"/>
        </w:numPr>
        <w:ind w:hanging="720"/>
        <w:jc w:val="both"/>
        <w:rPr>
          <w:rFonts w:ascii="Arial" w:hAnsi="Arial" w:cs="Arial"/>
          <w:lang w:val="en-ZA" w:eastAsia="x-none"/>
        </w:rPr>
      </w:pPr>
      <w:r>
        <w:rPr>
          <w:rFonts w:ascii="Arial" w:eastAsia="Times New Roman" w:hAnsi="Arial" w:cs="Arial"/>
          <w:lang w:val="en-ZA" w:eastAsia="en-ZA"/>
        </w:rPr>
        <w:t xml:space="preserve">The AARTO Bill is still in Parliament, once Parliament has gazetted for further public engagement the AARTO Bill will be enacted then become South African Legislation. </w:t>
      </w:r>
      <w:r w:rsidR="00D845AD" w:rsidRPr="00F147DC">
        <w:rPr>
          <w:rFonts w:ascii="Arial" w:hAnsi="Arial" w:cs="Arial"/>
          <w:lang w:val="en-ZA" w:eastAsia="x-none"/>
        </w:rPr>
        <w:t xml:space="preserve"> </w:t>
      </w:r>
    </w:p>
    <w:sectPr w:rsidR="00F147DC" w:rsidRPr="00F147DC"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A2" w:rsidRDefault="00E357A2" w:rsidP="00DB1508">
      <w:pPr>
        <w:spacing w:after="0" w:line="240" w:lineRule="auto"/>
      </w:pPr>
      <w:r>
        <w:separator/>
      </w:r>
    </w:p>
  </w:endnote>
  <w:endnote w:type="continuationSeparator" w:id="0">
    <w:p w:rsidR="00E357A2" w:rsidRDefault="00E357A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A2" w:rsidRDefault="00E357A2" w:rsidP="00DB1508">
      <w:pPr>
        <w:spacing w:after="0" w:line="240" w:lineRule="auto"/>
      </w:pPr>
      <w:r>
        <w:separator/>
      </w:r>
    </w:p>
  </w:footnote>
  <w:footnote w:type="continuationSeparator" w:id="0">
    <w:p w:rsidR="00E357A2" w:rsidRDefault="00E357A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711A3893"/>
    <w:multiLevelType w:val="hybridMultilevel"/>
    <w:tmpl w:val="E3803746"/>
    <w:lvl w:ilvl="0" w:tplc="E0E429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3"/>
  </w:num>
  <w:num w:numId="15">
    <w:abstractNumId w:val="8"/>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2E0A"/>
    <w:rsid w:val="00014BE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7AF6"/>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3D0"/>
    <w:rsid w:val="002A6B00"/>
    <w:rsid w:val="002B3082"/>
    <w:rsid w:val="002B6195"/>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21E9"/>
    <w:rsid w:val="00493015"/>
    <w:rsid w:val="00495833"/>
    <w:rsid w:val="004977A9"/>
    <w:rsid w:val="004A00D3"/>
    <w:rsid w:val="004A09AD"/>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1507"/>
    <w:rsid w:val="005F20B1"/>
    <w:rsid w:val="005F216C"/>
    <w:rsid w:val="005F3F35"/>
    <w:rsid w:val="005F630B"/>
    <w:rsid w:val="006009A0"/>
    <w:rsid w:val="00604285"/>
    <w:rsid w:val="006140CA"/>
    <w:rsid w:val="00617B5C"/>
    <w:rsid w:val="00637B39"/>
    <w:rsid w:val="00645C4D"/>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13B"/>
    <w:rsid w:val="006F2271"/>
    <w:rsid w:val="006F4245"/>
    <w:rsid w:val="007008FC"/>
    <w:rsid w:val="00703B2E"/>
    <w:rsid w:val="00704FB1"/>
    <w:rsid w:val="00707AE9"/>
    <w:rsid w:val="007109BD"/>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7588A"/>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64F42"/>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01A1E"/>
    <w:rsid w:val="00A0362E"/>
    <w:rsid w:val="00A03C29"/>
    <w:rsid w:val="00A21F7F"/>
    <w:rsid w:val="00A22ECB"/>
    <w:rsid w:val="00A33285"/>
    <w:rsid w:val="00A4192C"/>
    <w:rsid w:val="00A44B9A"/>
    <w:rsid w:val="00A46CC2"/>
    <w:rsid w:val="00A55457"/>
    <w:rsid w:val="00A6041D"/>
    <w:rsid w:val="00A62A6C"/>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19FD"/>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5324A"/>
    <w:rsid w:val="00C6207A"/>
    <w:rsid w:val="00C62268"/>
    <w:rsid w:val="00C64770"/>
    <w:rsid w:val="00C6484E"/>
    <w:rsid w:val="00C731ED"/>
    <w:rsid w:val="00C86AA7"/>
    <w:rsid w:val="00C92817"/>
    <w:rsid w:val="00CA3593"/>
    <w:rsid w:val="00CB640B"/>
    <w:rsid w:val="00CC164A"/>
    <w:rsid w:val="00CE1573"/>
    <w:rsid w:val="00CE54D8"/>
    <w:rsid w:val="00CF5BC7"/>
    <w:rsid w:val="00D12E4F"/>
    <w:rsid w:val="00D222DF"/>
    <w:rsid w:val="00D444E5"/>
    <w:rsid w:val="00D555AA"/>
    <w:rsid w:val="00D74AD1"/>
    <w:rsid w:val="00D82AB0"/>
    <w:rsid w:val="00D845AD"/>
    <w:rsid w:val="00D84DC8"/>
    <w:rsid w:val="00D9031E"/>
    <w:rsid w:val="00D91442"/>
    <w:rsid w:val="00D92CFD"/>
    <w:rsid w:val="00D92F30"/>
    <w:rsid w:val="00DA0998"/>
    <w:rsid w:val="00DA1679"/>
    <w:rsid w:val="00DA1E37"/>
    <w:rsid w:val="00DB1508"/>
    <w:rsid w:val="00DD3A8F"/>
    <w:rsid w:val="00DD4D78"/>
    <w:rsid w:val="00DE5D58"/>
    <w:rsid w:val="00DF6F27"/>
    <w:rsid w:val="00E00BA3"/>
    <w:rsid w:val="00E1610F"/>
    <w:rsid w:val="00E16B9F"/>
    <w:rsid w:val="00E24CB8"/>
    <w:rsid w:val="00E26225"/>
    <w:rsid w:val="00E26480"/>
    <w:rsid w:val="00E31BF8"/>
    <w:rsid w:val="00E33B96"/>
    <w:rsid w:val="00E357A2"/>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13E46"/>
    <w:rsid w:val="00F147DC"/>
    <w:rsid w:val="00F25A2B"/>
    <w:rsid w:val="00F2663F"/>
    <w:rsid w:val="00F33DA9"/>
    <w:rsid w:val="00F401E2"/>
    <w:rsid w:val="00F41319"/>
    <w:rsid w:val="00F47756"/>
    <w:rsid w:val="00F477AC"/>
    <w:rsid w:val="00F526AD"/>
    <w:rsid w:val="00F54D10"/>
    <w:rsid w:val="00F5526F"/>
    <w:rsid w:val="00F65142"/>
    <w:rsid w:val="00F77ABE"/>
    <w:rsid w:val="00F806FE"/>
    <w:rsid w:val="00F80B01"/>
    <w:rsid w:val="00F826C2"/>
    <w:rsid w:val="00F83C35"/>
    <w:rsid w:val="00F86A5F"/>
    <w:rsid w:val="00F91072"/>
    <w:rsid w:val="00F920A1"/>
    <w:rsid w:val="00FA3CC6"/>
    <w:rsid w:val="00FA50ED"/>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4785B0-9FBA-4EFA-9A24-15D16DF1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07F9-AE8E-4542-8162-820F885E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4</cp:revision>
  <cp:lastPrinted>2017-05-22T10:43:00Z</cp:lastPrinted>
  <dcterms:created xsi:type="dcterms:W3CDTF">2017-06-15T11:18:00Z</dcterms:created>
  <dcterms:modified xsi:type="dcterms:W3CDTF">2017-06-21T05:01:00Z</dcterms:modified>
</cp:coreProperties>
</file>