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8533A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533A7" w:rsidP="008533A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533A7" w:rsidP="008533A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5433CA">
        <w:rPr>
          <w:rFonts w:ascii="Arial" w:eastAsia="Calibri" w:hAnsi="Arial" w:cs="Arial"/>
          <w:b/>
          <w:bCs/>
          <w:lang w:val="en-GB"/>
        </w:rPr>
        <w:t>612</w:t>
      </w:r>
    </w:p>
    <w:p w:rsidR="00130BDB" w:rsidRPr="008533A7" w:rsidRDefault="00130BDB" w:rsidP="008533A7">
      <w:pPr>
        <w:spacing w:after="200" w:line="276" w:lineRule="auto"/>
        <w:rPr>
          <w:rFonts w:ascii="Arial" w:eastAsia="Calibri" w:hAnsi="Arial" w:cs="Arial"/>
          <w:b/>
          <w:bCs/>
          <w:lang w:val="en-GB"/>
        </w:rPr>
      </w:pPr>
      <w:r w:rsidRPr="008533A7">
        <w:rPr>
          <w:rFonts w:ascii="Arial" w:eastAsia="Calibri" w:hAnsi="Arial" w:cs="Arial"/>
          <w:b/>
          <w:bCs/>
          <w:lang w:val="en-GB"/>
        </w:rPr>
        <w:t xml:space="preserve">DATE QUESTION: </w:t>
      </w:r>
      <w:r w:rsidR="002F0B0F" w:rsidRPr="008533A7">
        <w:rPr>
          <w:rFonts w:ascii="Arial" w:eastAsia="Calibri" w:hAnsi="Arial" w:cs="Arial"/>
          <w:b/>
          <w:bCs/>
          <w:lang w:val="en-GB"/>
        </w:rPr>
        <w:t>1</w:t>
      </w:r>
      <w:r w:rsidR="00F9393B" w:rsidRPr="008533A7">
        <w:rPr>
          <w:rFonts w:ascii="Arial" w:eastAsia="Calibri" w:hAnsi="Arial" w:cs="Arial"/>
          <w:b/>
          <w:bCs/>
          <w:lang w:val="en-GB"/>
        </w:rPr>
        <w:t>7</w:t>
      </w:r>
      <w:r w:rsidR="008533A7" w:rsidRPr="008533A7">
        <w:rPr>
          <w:rFonts w:ascii="Arial" w:eastAsia="Calibri" w:hAnsi="Arial" w:cs="Arial"/>
          <w:b/>
          <w:bCs/>
          <w:lang w:val="en-GB"/>
        </w:rPr>
        <w:t xml:space="preserve"> JULY </w:t>
      </w:r>
      <w:r w:rsidRPr="008533A7">
        <w:rPr>
          <w:rFonts w:ascii="Arial" w:eastAsia="Calibri" w:hAnsi="Arial" w:cs="Arial"/>
          <w:b/>
          <w:bCs/>
          <w:lang w:val="en-GB"/>
        </w:rPr>
        <w:t>20</w:t>
      </w:r>
      <w:r w:rsidR="003F2E8D" w:rsidRPr="008533A7">
        <w:rPr>
          <w:rFonts w:ascii="Arial" w:eastAsia="Calibri" w:hAnsi="Arial" w:cs="Arial"/>
          <w:b/>
          <w:bCs/>
          <w:lang w:val="en-GB"/>
        </w:rPr>
        <w:t>20</w:t>
      </w:r>
    </w:p>
    <w:p w:rsidR="00130BDB" w:rsidRPr="008533A7" w:rsidRDefault="00130BDB" w:rsidP="008533A7">
      <w:pPr>
        <w:spacing w:before="100" w:beforeAutospacing="1" w:after="100" w:afterAutospacing="1" w:line="276" w:lineRule="auto"/>
        <w:outlineLvl w:val="0"/>
        <w:rPr>
          <w:rFonts w:ascii="Arial" w:eastAsia="Calibri" w:hAnsi="Arial" w:cs="Arial"/>
          <w:b/>
          <w:bCs/>
          <w:lang w:val="en-GB"/>
        </w:rPr>
      </w:pPr>
      <w:r w:rsidRPr="008533A7">
        <w:rPr>
          <w:rFonts w:ascii="Arial" w:eastAsia="Calibri" w:hAnsi="Arial" w:cs="Arial"/>
          <w:b/>
          <w:bCs/>
          <w:lang w:val="en-GB"/>
        </w:rPr>
        <w:t xml:space="preserve">DATE OF SUBMISSION: </w:t>
      </w:r>
      <w:r w:rsidR="00F9393B" w:rsidRPr="008533A7">
        <w:rPr>
          <w:rFonts w:ascii="Arial" w:eastAsia="Calibri" w:hAnsi="Arial" w:cs="Arial"/>
          <w:b/>
          <w:bCs/>
          <w:lang w:val="en-GB"/>
        </w:rPr>
        <w:t>31</w:t>
      </w:r>
      <w:r w:rsidR="00216A40" w:rsidRPr="008533A7">
        <w:rPr>
          <w:rFonts w:ascii="Arial" w:eastAsia="Calibri" w:hAnsi="Arial" w:cs="Arial"/>
          <w:b/>
          <w:bCs/>
          <w:lang w:val="en-GB"/>
        </w:rPr>
        <w:t xml:space="preserve"> JULY</w:t>
      </w:r>
      <w:r w:rsidR="00E361D7" w:rsidRPr="008533A7">
        <w:rPr>
          <w:rFonts w:ascii="Arial" w:eastAsia="Calibri" w:hAnsi="Arial" w:cs="Arial"/>
          <w:b/>
          <w:bCs/>
          <w:lang w:val="en-GB"/>
        </w:rPr>
        <w:t xml:space="preserve"> </w:t>
      </w:r>
      <w:r w:rsidRPr="008533A7">
        <w:rPr>
          <w:rFonts w:ascii="Arial" w:eastAsia="Calibri" w:hAnsi="Arial" w:cs="Arial"/>
          <w:b/>
          <w:bCs/>
          <w:lang w:val="en-GB"/>
        </w:rPr>
        <w:t>20</w:t>
      </w:r>
      <w:r w:rsidR="003F2E8D" w:rsidRPr="008533A7">
        <w:rPr>
          <w:rFonts w:ascii="Arial" w:eastAsia="Calibri" w:hAnsi="Arial" w:cs="Arial"/>
          <w:b/>
          <w:bCs/>
          <w:lang w:val="en-GB"/>
        </w:rPr>
        <w:t>20</w:t>
      </w:r>
    </w:p>
    <w:p w:rsidR="005433CA" w:rsidRPr="005433CA" w:rsidRDefault="005433CA" w:rsidP="005433CA">
      <w:pPr>
        <w:spacing w:before="120" w:after="120" w:line="360" w:lineRule="auto"/>
        <w:jc w:val="both"/>
        <w:rPr>
          <w:rFonts w:ascii="Arial" w:hAnsi="Arial" w:cs="Arial"/>
          <w:b/>
          <w:bCs/>
          <w:lang w:val="en-ZA"/>
        </w:rPr>
      </w:pPr>
      <w:r w:rsidRPr="005433CA">
        <w:rPr>
          <w:rFonts w:ascii="Arial" w:hAnsi="Arial" w:cs="Arial"/>
          <w:b/>
          <w:bCs/>
          <w:lang w:val="en-ZA"/>
        </w:rPr>
        <w:t>Mr M J Cuthbert (DA) to ask the Minister of Justice and Correctional Services</w:t>
      </w:r>
      <w:r w:rsidRPr="005433CA">
        <w:rPr>
          <w:rFonts w:ascii="Arial" w:hAnsi="Arial" w:cs="Arial"/>
          <w:b/>
          <w:bCs/>
          <w:lang w:val="en-ZA"/>
        </w:rPr>
        <w:fldChar w:fldCharType="begin"/>
      </w:r>
      <w:r w:rsidRPr="005433CA">
        <w:rPr>
          <w:rFonts w:ascii="Arial" w:hAnsi="Arial" w:cs="Arial"/>
          <w:b/>
          <w:bCs/>
          <w:lang w:val="en-ZA"/>
        </w:rPr>
        <w:instrText xml:space="preserve"> XE "Justice and Correctional Services" </w:instrText>
      </w:r>
      <w:r w:rsidRPr="005433CA">
        <w:rPr>
          <w:rFonts w:ascii="Arial" w:hAnsi="Arial" w:cs="Arial"/>
          <w:b/>
          <w:bCs/>
          <w:lang w:val="en-ZA"/>
        </w:rPr>
        <w:fldChar w:fldCharType="end"/>
      </w:r>
      <w:r w:rsidRPr="005433CA">
        <w:rPr>
          <w:rFonts w:ascii="Arial" w:hAnsi="Arial" w:cs="Arial"/>
          <w:b/>
          <w:bCs/>
          <w:lang w:val="en-ZA"/>
        </w:rPr>
        <w:t>:</w:t>
      </w:r>
    </w:p>
    <w:p w:rsidR="005433CA" w:rsidRDefault="005433CA" w:rsidP="005433CA">
      <w:pPr>
        <w:spacing w:before="120" w:after="120" w:line="360" w:lineRule="auto"/>
        <w:jc w:val="both"/>
        <w:rPr>
          <w:rFonts w:ascii="Arial" w:hAnsi="Arial" w:cs="Arial"/>
          <w:lang w:val="en-ZA"/>
        </w:rPr>
      </w:pPr>
      <w:r w:rsidRPr="005433CA">
        <w:rPr>
          <w:rFonts w:ascii="Arial" w:hAnsi="Arial" w:cs="Arial"/>
          <w:lang w:val="en-ZA"/>
        </w:rPr>
        <w:t>What is the (a) detailed breakdown of the costs that the Government incurred in defending legal action brought against its gazetted regulations during the national lockdown to curb the spread of Covid-19, (b)(i) total amount paid for legal counsel and (ii) to whom was it paid and (c) cumulative amount of cost orders issued for the Government’s account</w:t>
      </w:r>
      <w:r>
        <w:rPr>
          <w:rFonts w:ascii="Arial" w:hAnsi="Arial" w:cs="Arial"/>
          <w:lang w:val="en-ZA"/>
        </w:rPr>
        <w:t>?</w:t>
      </w:r>
    </w:p>
    <w:p w:rsidR="005433CA" w:rsidRPr="005433CA" w:rsidRDefault="005433CA" w:rsidP="005433CA">
      <w:pPr>
        <w:spacing w:before="120" w:after="120" w:line="360" w:lineRule="auto"/>
        <w:ind w:left="360"/>
        <w:jc w:val="right"/>
        <w:rPr>
          <w:rFonts w:ascii="Arial" w:hAnsi="Arial" w:cs="Arial"/>
          <w:b/>
          <w:lang w:val="en-ZA"/>
        </w:rPr>
      </w:pPr>
      <w:r w:rsidRPr="005433CA">
        <w:rPr>
          <w:rFonts w:ascii="Arial" w:hAnsi="Arial" w:cs="Arial"/>
          <w:b/>
          <w:lang w:val="en-ZA"/>
        </w:rPr>
        <w:t>NW1996E</w:t>
      </w: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9972C9">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9972C9" w:rsidRDefault="009972C9" w:rsidP="009972C9">
      <w:pPr>
        <w:spacing w:line="360" w:lineRule="auto"/>
        <w:jc w:val="both"/>
        <w:rPr>
          <w:rFonts w:ascii="Arial" w:hAnsi="Arial" w:cs="Arial"/>
          <w:lang w:val="en-ZA"/>
        </w:rPr>
      </w:pPr>
    </w:p>
    <w:p w:rsidR="006E0991" w:rsidRPr="006E0991" w:rsidRDefault="006E0991" w:rsidP="006E0991">
      <w:pPr>
        <w:spacing w:before="120" w:after="120" w:line="360" w:lineRule="auto"/>
        <w:jc w:val="both"/>
        <w:rPr>
          <w:rFonts w:ascii="Arial" w:hAnsi="Arial" w:cs="Arial"/>
          <w:lang w:val="en-ZA"/>
        </w:rPr>
      </w:pPr>
      <w:r w:rsidRPr="006E0991">
        <w:rPr>
          <w:rFonts w:ascii="Arial" w:hAnsi="Arial" w:cs="Arial"/>
          <w:lang w:val="en-ZA"/>
        </w:rPr>
        <w:t xml:space="preserve">The number of matters that were lodged and commenced against the </w:t>
      </w:r>
      <w:r w:rsidR="00620DB1">
        <w:rPr>
          <w:rFonts w:ascii="Arial" w:hAnsi="Arial" w:cs="Arial"/>
          <w:lang w:val="en-ZA"/>
        </w:rPr>
        <w:t>S</w:t>
      </w:r>
      <w:r w:rsidRPr="006E0991">
        <w:rPr>
          <w:rFonts w:ascii="Arial" w:hAnsi="Arial" w:cs="Arial"/>
          <w:lang w:val="en-ZA"/>
        </w:rPr>
        <w:t>tate since the announcement and implementation of the national lockdown regulation aimed at curbing of the spread of Covid-19 in March 2020 amount</w:t>
      </w:r>
      <w:r w:rsidR="00271E3D">
        <w:rPr>
          <w:rFonts w:ascii="Arial" w:hAnsi="Arial" w:cs="Arial"/>
          <w:lang w:val="en-ZA"/>
        </w:rPr>
        <w:t>s</w:t>
      </w:r>
      <w:r w:rsidRPr="006E0991">
        <w:rPr>
          <w:rFonts w:ascii="Arial" w:hAnsi="Arial" w:cs="Arial"/>
          <w:lang w:val="en-ZA"/>
        </w:rPr>
        <w:t xml:space="preserve"> to 116 in total. It is worth mentioning that 80/116 </w:t>
      </w:r>
      <w:r w:rsidR="00620DB1">
        <w:rPr>
          <w:rFonts w:ascii="Arial" w:hAnsi="Arial" w:cs="Arial"/>
          <w:lang w:val="en-ZA"/>
        </w:rPr>
        <w:t>matters (92%) of these matters we</w:t>
      </w:r>
      <w:r w:rsidRPr="006E0991">
        <w:rPr>
          <w:rFonts w:ascii="Arial" w:hAnsi="Arial" w:cs="Arial"/>
          <w:lang w:val="en-ZA"/>
        </w:rPr>
        <w:t xml:space="preserve">re populated between State Attorney in Pretoria with fifty-one </w:t>
      </w:r>
      <w:r w:rsidR="00620DB1" w:rsidRPr="006E0991">
        <w:rPr>
          <w:rFonts w:ascii="Arial" w:hAnsi="Arial" w:cs="Arial"/>
          <w:lang w:val="en-ZA"/>
        </w:rPr>
        <w:t xml:space="preserve">(51) </w:t>
      </w:r>
      <w:r w:rsidRPr="006E0991">
        <w:rPr>
          <w:rFonts w:ascii="Arial" w:hAnsi="Arial" w:cs="Arial"/>
          <w:lang w:val="en-ZA"/>
        </w:rPr>
        <w:t xml:space="preserve">cases and State Attorney in Cape Town with twenty-nine (29) matters.  </w:t>
      </w:r>
    </w:p>
    <w:p w:rsidR="006E0991" w:rsidRPr="006E0991" w:rsidRDefault="006E0991" w:rsidP="006E0991">
      <w:pPr>
        <w:spacing w:before="120" w:after="120" w:line="360" w:lineRule="auto"/>
        <w:jc w:val="both"/>
        <w:rPr>
          <w:rFonts w:ascii="Arial" w:hAnsi="Arial" w:cs="Arial"/>
          <w:lang w:val="en-ZA"/>
        </w:rPr>
      </w:pPr>
      <w:r w:rsidRPr="006E0991">
        <w:rPr>
          <w:rFonts w:ascii="Arial" w:hAnsi="Arial" w:cs="Arial"/>
          <w:lang w:val="en-ZA"/>
        </w:rPr>
        <w:t xml:space="preserve">The Office of the Solicitor-General is tallying the total costs and expenses in relation to these matters by collating information from all </w:t>
      </w:r>
      <w:r w:rsidR="00271E3D">
        <w:rPr>
          <w:rFonts w:ascii="Arial" w:hAnsi="Arial" w:cs="Arial"/>
          <w:lang w:val="en-ZA"/>
        </w:rPr>
        <w:t>thirteen (</w:t>
      </w:r>
      <w:r w:rsidRPr="006E0991">
        <w:rPr>
          <w:rFonts w:ascii="Arial" w:hAnsi="Arial" w:cs="Arial"/>
          <w:lang w:val="en-ZA"/>
        </w:rPr>
        <w:t>13</w:t>
      </w:r>
      <w:r w:rsidR="00271E3D">
        <w:rPr>
          <w:rFonts w:ascii="Arial" w:hAnsi="Arial" w:cs="Arial"/>
          <w:lang w:val="en-ZA"/>
        </w:rPr>
        <w:t>)</w:t>
      </w:r>
      <w:r w:rsidRPr="006E0991">
        <w:rPr>
          <w:rFonts w:ascii="Arial" w:hAnsi="Arial" w:cs="Arial"/>
          <w:lang w:val="en-ZA"/>
        </w:rPr>
        <w:t xml:space="preserve"> </w:t>
      </w:r>
      <w:r w:rsidR="00271E3D">
        <w:rPr>
          <w:rFonts w:ascii="Arial" w:hAnsi="Arial" w:cs="Arial"/>
          <w:lang w:val="en-ZA"/>
        </w:rPr>
        <w:t>O</w:t>
      </w:r>
      <w:r w:rsidRPr="006E0991">
        <w:rPr>
          <w:rFonts w:ascii="Arial" w:hAnsi="Arial" w:cs="Arial"/>
          <w:lang w:val="en-ZA"/>
        </w:rPr>
        <w:t xml:space="preserve">ffices of </w:t>
      </w:r>
      <w:r w:rsidR="00271E3D">
        <w:rPr>
          <w:rFonts w:ascii="Arial" w:hAnsi="Arial" w:cs="Arial"/>
          <w:lang w:val="en-ZA"/>
        </w:rPr>
        <w:t xml:space="preserve">the </w:t>
      </w:r>
      <w:r w:rsidRPr="006E0991">
        <w:rPr>
          <w:rFonts w:ascii="Arial" w:hAnsi="Arial" w:cs="Arial"/>
          <w:lang w:val="en-ZA"/>
        </w:rPr>
        <w:t xml:space="preserve">State Attorney. </w:t>
      </w:r>
      <w:r w:rsidR="00271E3D">
        <w:rPr>
          <w:rFonts w:ascii="Arial" w:hAnsi="Arial" w:cs="Arial"/>
          <w:lang w:val="en-ZA"/>
        </w:rPr>
        <w:t>However, for the period under review</w:t>
      </w:r>
      <w:r w:rsidRPr="006E0991">
        <w:rPr>
          <w:rFonts w:ascii="Arial" w:hAnsi="Arial" w:cs="Arial"/>
          <w:lang w:val="en-ZA"/>
        </w:rPr>
        <w:t>, the State has paid invoices (inclusive of fees and di</w:t>
      </w:r>
      <w:r w:rsidR="00271E3D">
        <w:rPr>
          <w:rFonts w:ascii="Arial" w:hAnsi="Arial" w:cs="Arial"/>
          <w:lang w:val="en-ZA"/>
        </w:rPr>
        <w:t>sbursements) to the value of R3</w:t>
      </w:r>
      <w:r w:rsidRPr="006E0991">
        <w:rPr>
          <w:rFonts w:ascii="Arial" w:hAnsi="Arial" w:cs="Arial"/>
          <w:lang w:val="en-ZA"/>
        </w:rPr>
        <w:t xml:space="preserve"> 462 327.00. The Offices of State Attorney are yet to complete the quantification process of the costs involved as they are currently segmenting the matters in terms of those rendered by Junior and Senior counsel on </w:t>
      </w:r>
      <w:r w:rsidRPr="006E0991">
        <w:rPr>
          <w:rFonts w:ascii="Arial" w:hAnsi="Arial" w:cs="Arial"/>
          <w:i/>
          <w:lang w:val="en-ZA"/>
        </w:rPr>
        <w:t xml:space="preserve">pro-bono </w:t>
      </w:r>
      <w:r w:rsidRPr="006E0991">
        <w:rPr>
          <w:rFonts w:ascii="Arial" w:hAnsi="Arial" w:cs="Arial"/>
          <w:lang w:val="en-ZA"/>
        </w:rPr>
        <w:t>(free of charge) basis</w:t>
      </w:r>
      <w:r w:rsidRPr="006E0991">
        <w:rPr>
          <w:rFonts w:ascii="Arial" w:hAnsi="Arial" w:cs="Arial"/>
          <w:i/>
          <w:lang w:val="en-ZA"/>
        </w:rPr>
        <w:t xml:space="preserve">. </w:t>
      </w:r>
      <w:r w:rsidRPr="006E0991">
        <w:rPr>
          <w:rFonts w:ascii="Arial" w:hAnsi="Arial" w:cs="Arial"/>
          <w:lang w:val="en-ZA"/>
        </w:rPr>
        <w:t xml:space="preserve"> </w:t>
      </w:r>
    </w:p>
    <w:p w:rsidR="006E0991" w:rsidRPr="006E0991" w:rsidRDefault="006E0991" w:rsidP="006E0991">
      <w:pPr>
        <w:spacing w:before="120" w:after="120" w:line="360" w:lineRule="auto"/>
        <w:jc w:val="both"/>
        <w:rPr>
          <w:rFonts w:ascii="Arial" w:hAnsi="Arial" w:cs="Arial"/>
          <w:lang w:val="en-ZA"/>
        </w:rPr>
      </w:pPr>
    </w:p>
    <w:p w:rsidR="006E0991" w:rsidRPr="006E0991" w:rsidRDefault="006E0991" w:rsidP="006E0991">
      <w:pPr>
        <w:spacing w:before="120" w:after="120" w:line="360" w:lineRule="auto"/>
        <w:jc w:val="both"/>
        <w:rPr>
          <w:rFonts w:ascii="Arial" w:hAnsi="Arial" w:cs="Arial"/>
          <w:lang w:val="en-ZA"/>
        </w:rPr>
      </w:pPr>
      <w:r w:rsidRPr="006E0991">
        <w:rPr>
          <w:rFonts w:ascii="Arial" w:hAnsi="Arial" w:cs="Arial"/>
          <w:lang w:val="en-ZA"/>
        </w:rPr>
        <w:t>I am unfortunately unable to furnish the Honourable Member with information, in relation to the cumulative amount of cost orders issued against the State, due to the following:</w:t>
      </w:r>
    </w:p>
    <w:p w:rsidR="006E0991" w:rsidRPr="006E0991" w:rsidRDefault="006E0991" w:rsidP="006E0991">
      <w:pPr>
        <w:numPr>
          <w:ilvl w:val="0"/>
          <w:numId w:val="49"/>
        </w:numPr>
        <w:spacing w:before="120" w:after="120" w:line="360" w:lineRule="auto"/>
        <w:jc w:val="both"/>
        <w:rPr>
          <w:rFonts w:ascii="Arial" w:hAnsi="Arial" w:cs="Arial"/>
          <w:lang w:val="en-ZA"/>
        </w:rPr>
      </w:pPr>
      <w:r w:rsidRPr="006E0991">
        <w:rPr>
          <w:rFonts w:ascii="Arial" w:hAnsi="Arial" w:cs="Arial"/>
          <w:lang w:val="en-ZA"/>
        </w:rPr>
        <w:t xml:space="preserve">Matters that are still serving in court and are yet to be finalised </w:t>
      </w:r>
      <w:r w:rsidRPr="006E0991">
        <w:rPr>
          <w:rFonts w:ascii="Arial" w:hAnsi="Arial" w:cs="Arial"/>
          <w:i/>
          <w:lang w:val="en-ZA"/>
        </w:rPr>
        <w:t>(sub-judice);</w:t>
      </w:r>
    </w:p>
    <w:p w:rsidR="006E0991" w:rsidRPr="006E0991" w:rsidRDefault="006E0991" w:rsidP="006E0991">
      <w:pPr>
        <w:numPr>
          <w:ilvl w:val="0"/>
          <w:numId w:val="49"/>
        </w:numPr>
        <w:spacing w:before="120" w:after="120" w:line="360" w:lineRule="auto"/>
        <w:jc w:val="both"/>
        <w:rPr>
          <w:rFonts w:ascii="Arial" w:hAnsi="Arial" w:cs="Arial"/>
          <w:lang w:val="en-ZA"/>
        </w:rPr>
      </w:pPr>
      <w:r w:rsidRPr="006E0991">
        <w:rPr>
          <w:rFonts w:ascii="Arial" w:hAnsi="Arial" w:cs="Arial"/>
          <w:lang w:val="en-ZA"/>
        </w:rPr>
        <w:t>Invoices to matters where services have been rendered but accounts are yet to be submitted by the legal services providers;</w:t>
      </w:r>
    </w:p>
    <w:p w:rsidR="006E0991" w:rsidRPr="006E0991" w:rsidRDefault="006E0991" w:rsidP="006E0991">
      <w:pPr>
        <w:numPr>
          <w:ilvl w:val="0"/>
          <w:numId w:val="49"/>
        </w:numPr>
        <w:spacing w:before="120" w:after="120" w:line="360" w:lineRule="auto"/>
        <w:jc w:val="both"/>
        <w:rPr>
          <w:rFonts w:ascii="Arial" w:hAnsi="Arial" w:cs="Arial"/>
          <w:lang w:val="en-ZA"/>
        </w:rPr>
      </w:pPr>
      <w:r w:rsidRPr="006E0991">
        <w:rPr>
          <w:rFonts w:ascii="Arial" w:hAnsi="Arial" w:cs="Arial"/>
          <w:lang w:val="en-ZA"/>
        </w:rPr>
        <w:t>Matters which were not opposed by the State and to which no costs orders have been made and resulting in savings to the fiscus;</w:t>
      </w:r>
    </w:p>
    <w:p w:rsidR="006E0991" w:rsidRPr="006E0991" w:rsidRDefault="006E0991" w:rsidP="006E0991">
      <w:pPr>
        <w:numPr>
          <w:ilvl w:val="0"/>
          <w:numId w:val="49"/>
        </w:numPr>
        <w:spacing w:before="120" w:after="120" w:line="360" w:lineRule="auto"/>
        <w:jc w:val="both"/>
        <w:rPr>
          <w:rFonts w:ascii="Arial" w:hAnsi="Arial" w:cs="Arial"/>
          <w:lang w:val="en-ZA"/>
        </w:rPr>
      </w:pPr>
      <w:r w:rsidRPr="006E0991">
        <w:rPr>
          <w:rFonts w:ascii="Arial" w:hAnsi="Arial" w:cs="Arial"/>
          <w:lang w:val="en-ZA"/>
        </w:rPr>
        <w:t>Matters that were in terms of section 13 of the disaster management regulations finalised either via mediation or arbitration to which no costs orders relate; and</w:t>
      </w:r>
    </w:p>
    <w:p w:rsidR="006E0991" w:rsidRPr="006E0991" w:rsidRDefault="006E0991" w:rsidP="006E0991">
      <w:pPr>
        <w:numPr>
          <w:ilvl w:val="0"/>
          <w:numId w:val="49"/>
        </w:numPr>
        <w:spacing w:before="120" w:after="120" w:line="360" w:lineRule="auto"/>
        <w:jc w:val="both"/>
        <w:rPr>
          <w:rFonts w:ascii="Arial" w:hAnsi="Arial" w:cs="Arial"/>
          <w:lang w:val="en-ZA"/>
        </w:rPr>
      </w:pPr>
      <w:r w:rsidRPr="006E0991">
        <w:rPr>
          <w:rFonts w:ascii="Arial" w:hAnsi="Arial" w:cs="Arial"/>
          <w:lang w:val="en-ZA"/>
        </w:rPr>
        <w:t xml:space="preserve">Matters where adverse costs orders were issued against the state but in relation to which matters the accounts by third parties are yet </w:t>
      </w:r>
      <w:r w:rsidR="00620DB1">
        <w:rPr>
          <w:rFonts w:ascii="Arial" w:hAnsi="Arial" w:cs="Arial"/>
          <w:lang w:val="en-ZA"/>
        </w:rPr>
        <w:t>to be rendered to the State and</w:t>
      </w:r>
      <w:r w:rsidRPr="006E0991">
        <w:rPr>
          <w:rFonts w:ascii="Arial" w:hAnsi="Arial" w:cs="Arial"/>
          <w:lang w:val="en-ZA"/>
        </w:rPr>
        <w:t>/or taxed.</w:t>
      </w:r>
    </w:p>
    <w:p w:rsidR="006E0991" w:rsidRPr="006E0991" w:rsidRDefault="006E0991" w:rsidP="006E0991">
      <w:pPr>
        <w:spacing w:before="120" w:after="120" w:line="360" w:lineRule="auto"/>
        <w:jc w:val="both"/>
        <w:rPr>
          <w:rFonts w:ascii="Arial" w:hAnsi="Arial" w:cs="Arial"/>
          <w:lang w:val="en-ZA"/>
        </w:rPr>
      </w:pPr>
      <w:r w:rsidRPr="006E0991">
        <w:rPr>
          <w:rFonts w:ascii="Arial" w:hAnsi="Arial" w:cs="Arial"/>
          <w:lang w:val="en-ZA"/>
        </w:rPr>
        <w:t>To the extent that the</w:t>
      </w:r>
      <w:r w:rsidR="00271E3D">
        <w:rPr>
          <w:rFonts w:ascii="Arial" w:hAnsi="Arial" w:cs="Arial"/>
          <w:lang w:val="en-ZA"/>
        </w:rPr>
        <w:t xml:space="preserve"> Honourable Member also </w:t>
      </w:r>
      <w:r w:rsidR="00271E3D" w:rsidRPr="006E0991">
        <w:rPr>
          <w:rFonts w:ascii="Arial" w:hAnsi="Arial" w:cs="Arial"/>
          <w:lang w:val="en-ZA"/>
        </w:rPr>
        <w:t xml:space="preserve">requires </w:t>
      </w:r>
      <w:r w:rsidRPr="006E0991">
        <w:rPr>
          <w:rFonts w:ascii="Arial" w:hAnsi="Arial" w:cs="Arial"/>
          <w:lang w:val="en-ZA"/>
        </w:rPr>
        <w:t xml:space="preserve">information </w:t>
      </w:r>
      <w:r w:rsidR="00271E3D">
        <w:rPr>
          <w:rFonts w:ascii="Arial" w:hAnsi="Arial" w:cs="Arial"/>
          <w:lang w:val="en-ZA"/>
        </w:rPr>
        <w:t xml:space="preserve">on </w:t>
      </w:r>
      <w:r w:rsidRPr="006E0991">
        <w:rPr>
          <w:rFonts w:ascii="Arial" w:hAnsi="Arial" w:cs="Arial"/>
          <w:lang w:val="en-ZA"/>
        </w:rPr>
        <w:t xml:space="preserve">the disclosure of names of the recipients and the quantum payable to such recipients, </w:t>
      </w:r>
      <w:r w:rsidR="00271E3D">
        <w:rPr>
          <w:rFonts w:ascii="Arial" w:hAnsi="Arial" w:cs="Arial"/>
          <w:lang w:val="en-ZA"/>
        </w:rPr>
        <w:t>I</w:t>
      </w:r>
      <w:r w:rsidRPr="006E0991">
        <w:rPr>
          <w:rFonts w:ascii="Arial" w:hAnsi="Arial" w:cs="Arial"/>
          <w:lang w:val="en-ZA"/>
        </w:rPr>
        <w:t xml:space="preserve"> shall revert with the answer once legal clarification in relation to the issues of</w:t>
      </w:r>
      <w:r w:rsidRPr="006E0991">
        <w:t xml:space="preserve"> </w:t>
      </w:r>
      <w:r w:rsidRPr="006E0991">
        <w:rPr>
          <w:rFonts w:ascii="Arial" w:hAnsi="Arial" w:cs="Arial"/>
          <w:lang w:val="en-ZA"/>
        </w:rPr>
        <w:t>Protection of Personal Information Act (POPIA) and other legal prescripts have been clarified</w:t>
      </w:r>
      <w:r w:rsidRPr="006E0991">
        <w:rPr>
          <w:rFonts w:ascii="Arial" w:hAnsi="Arial" w:cs="Arial"/>
          <w:color w:val="FF0000"/>
          <w:lang w:val="en-ZA"/>
        </w:rPr>
        <w:t xml:space="preserve">.  </w:t>
      </w:r>
    </w:p>
    <w:p w:rsidR="00983C6B" w:rsidRPr="00FE64CB" w:rsidRDefault="00983C6B" w:rsidP="00983C6B">
      <w:pPr>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30" w:rsidRDefault="006D3830" w:rsidP="00913892">
      <w:r>
        <w:separator/>
      </w:r>
    </w:p>
  </w:endnote>
  <w:endnote w:type="continuationSeparator" w:id="0">
    <w:p w:rsidR="006D3830" w:rsidRDefault="006D383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D3830" w:rsidRPr="006D383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30" w:rsidRDefault="006D3830" w:rsidP="00913892">
      <w:r>
        <w:separator/>
      </w:r>
    </w:p>
  </w:footnote>
  <w:footnote w:type="continuationSeparator" w:id="0">
    <w:p w:rsidR="006D3830" w:rsidRDefault="006D383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BC459F"/>
    <w:multiLevelType w:val="hybridMultilevel"/>
    <w:tmpl w:val="5858BF7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3E063D"/>
    <w:multiLevelType w:val="hybridMultilevel"/>
    <w:tmpl w:val="EB00156E"/>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660B1"/>
    <w:multiLevelType w:val="hybridMultilevel"/>
    <w:tmpl w:val="5D1201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436258"/>
    <w:multiLevelType w:val="hybridMultilevel"/>
    <w:tmpl w:val="83B05ADA"/>
    <w:lvl w:ilvl="0" w:tplc="BD4482F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B1361CE"/>
    <w:multiLevelType w:val="hybridMultilevel"/>
    <w:tmpl w:val="00F64C1E"/>
    <w:lvl w:ilvl="0" w:tplc="FDD0A40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66004"/>
    <w:multiLevelType w:val="hybridMultilevel"/>
    <w:tmpl w:val="0FC2F870"/>
    <w:lvl w:ilvl="0" w:tplc="FFE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9540A1F"/>
    <w:multiLevelType w:val="hybridMultilevel"/>
    <w:tmpl w:val="E2A67D3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49B364D"/>
    <w:multiLevelType w:val="hybridMultilevel"/>
    <w:tmpl w:val="75D85DCC"/>
    <w:lvl w:ilvl="0" w:tplc="4C1E9EB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8"/>
  </w:num>
  <w:num w:numId="5">
    <w:abstractNumId w:val="37"/>
  </w:num>
  <w:num w:numId="6">
    <w:abstractNumId w:val="4"/>
  </w:num>
  <w:num w:numId="7">
    <w:abstractNumId w:val="46"/>
  </w:num>
  <w:num w:numId="8">
    <w:abstractNumId w:val="12"/>
  </w:num>
  <w:num w:numId="9">
    <w:abstractNumId w:val="21"/>
  </w:num>
  <w:num w:numId="10">
    <w:abstractNumId w:val="40"/>
  </w:num>
  <w:num w:numId="11">
    <w:abstractNumId w:val="3"/>
  </w:num>
  <w:num w:numId="12">
    <w:abstractNumId w:val="26"/>
  </w:num>
  <w:num w:numId="13">
    <w:abstractNumId w:val="19"/>
  </w:num>
  <w:num w:numId="14">
    <w:abstractNumId w:val="22"/>
  </w:num>
  <w:num w:numId="15">
    <w:abstractNumId w:val="11"/>
  </w:num>
  <w:num w:numId="16">
    <w:abstractNumId w:val="20"/>
  </w:num>
  <w:num w:numId="17">
    <w:abstractNumId w:val="44"/>
  </w:num>
  <w:num w:numId="18">
    <w:abstractNumId w:val="27"/>
  </w:num>
  <w:num w:numId="19">
    <w:abstractNumId w:val="24"/>
  </w:num>
  <w:num w:numId="20">
    <w:abstractNumId w:val="43"/>
  </w:num>
  <w:num w:numId="21">
    <w:abstractNumId w:val="32"/>
  </w:num>
  <w:num w:numId="22">
    <w:abstractNumId w:val="33"/>
  </w:num>
  <w:num w:numId="23">
    <w:abstractNumId w:val="10"/>
  </w:num>
  <w:num w:numId="24">
    <w:abstractNumId w:val="34"/>
  </w:num>
  <w:num w:numId="25">
    <w:abstractNumId w:val="6"/>
  </w:num>
  <w:num w:numId="26">
    <w:abstractNumId w:val="8"/>
  </w:num>
  <w:num w:numId="27">
    <w:abstractNumId w:val="29"/>
  </w:num>
  <w:num w:numId="28">
    <w:abstractNumId w:val="45"/>
  </w:num>
  <w:num w:numId="29">
    <w:abstractNumId w:val="7"/>
  </w:num>
  <w:num w:numId="30">
    <w:abstractNumId w:val="13"/>
  </w:num>
  <w:num w:numId="31">
    <w:abstractNumId w:val="2"/>
  </w:num>
  <w:num w:numId="32">
    <w:abstractNumId w:val="14"/>
  </w:num>
  <w:num w:numId="33">
    <w:abstractNumId w:val="23"/>
  </w:num>
  <w:num w:numId="34">
    <w:abstractNumId w:val="42"/>
  </w:num>
  <w:num w:numId="35">
    <w:abstractNumId w:val="48"/>
  </w:num>
  <w:num w:numId="36">
    <w:abstractNumId w:val="38"/>
  </w:num>
  <w:num w:numId="37">
    <w:abstractNumId w:val="35"/>
  </w:num>
  <w:num w:numId="38">
    <w:abstractNumId w:val="39"/>
  </w:num>
  <w:num w:numId="39">
    <w:abstractNumId w:val="36"/>
  </w:num>
  <w:num w:numId="40">
    <w:abstractNumId w:val="1"/>
  </w:num>
  <w:num w:numId="41">
    <w:abstractNumId w:val="25"/>
  </w:num>
  <w:num w:numId="42">
    <w:abstractNumId w:val="15"/>
  </w:num>
  <w:num w:numId="43">
    <w:abstractNumId w:val="31"/>
  </w:num>
  <w:num w:numId="44">
    <w:abstractNumId w:val="9"/>
  </w:num>
  <w:num w:numId="45">
    <w:abstractNumId w:val="30"/>
  </w:num>
  <w:num w:numId="46">
    <w:abstractNumId w:val="18"/>
  </w:num>
  <w:num w:numId="47">
    <w:abstractNumId w:val="16"/>
  </w:num>
  <w:num w:numId="48">
    <w:abstractNumId w:val="47"/>
  </w:num>
  <w:num w:numId="49">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38F0"/>
    <w:rsid w:val="0004105D"/>
    <w:rsid w:val="0004190C"/>
    <w:rsid w:val="00046588"/>
    <w:rsid w:val="00052CE2"/>
    <w:rsid w:val="00065979"/>
    <w:rsid w:val="00070401"/>
    <w:rsid w:val="0007147A"/>
    <w:rsid w:val="00072E1B"/>
    <w:rsid w:val="0007655F"/>
    <w:rsid w:val="00080B73"/>
    <w:rsid w:val="00095B8E"/>
    <w:rsid w:val="000A3DA5"/>
    <w:rsid w:val="000B5E45"/>
    <w:rsid w:val="000C01D4"/>
    <w:rsid w:val="000D3B70"/>
    <w:rsid w:val="000D4F57"/>
    <w:rsid w:val="000E2337"/>
    <w:rsid w:val="000E6772"/>
    <w:rsid w:val="000E7085"/>
    <w:rsid w:val="000E76BA"/>
    <w:rsid w:val="000F24EB"/>
    <w:rsid w:val="00105174"/>
    <w:rsid w:val="00110B8F"/>
    <w:rsid w:val="00120775"/>
    <w:rsid w:val="00130BDB"/>
    <w:rsid w:val="001314B9"/>
    <w:rsid w:val="00133072"/>
    <w:rsid w:val="00134C16"/>
    <w:rsid w:val="001354F5"/>
    <w:rsid w:val="00144111"/>
    <w:rsid w:val="00156483"/>
    <w:rsid w:val="001702F2"/>
    <w:rsid w:val="00173403"/>
    <w:rsid w:val="001774BC"/>
    <w:rsid w:val="0017799B"/>
    <w:rsid w:val="001848C4"/>
    <w:rsid w:val="00192D26"/>
    <w:rsid w:val="00194B05"/>
    <w:rsid w:val="001A6D2A"/>
    <w:rsid w:val="001B00F0"/>
    <w:rsid w:val="001D2E53"/>
    <w:rsid w:val="001D4F07"/>
    <w:rsid w:val="001E1BE7"/>
    <w:rsid w:val="001F41F3"/>
    <w:rsid w:val="001F445E"/>
    <w:rsid w:val="00203F6A"/>
    <w:rsid w:val="00213182"/>
    <w:rsid w:val="0021549B"/>
    <w:rsid w:val="00216A40"/>
    <w:rsid w:val="002200F9"/>
    <w:rsid w:val="002269FD"/>
    <w:rsid w:val="00262ACE"/>
    <w:rsid w:val="00271E3D"/>
    <w:rsid w:val="0028014F"/>
    <w:rsid w:val="00281574"/>
    <w:rsid w:val="002857B6"/>
    <w:rsid w:val="00286311"/>
    <w:rsid w:val="00291065"/>
    <w:rsid w:val="002A0DB1"/>
    <w:rsid w:val="002B2B31"/>
    <w:rsid w:val="002B6D18"/>
    <w:rsid w:val="002C719B"/>
    <w:rsid w:val="002D5BF7"/>
    <w:rsid w:val="002D7BBD"/>
    <w:rsid w:val="002E7253"/>
    <w:rsid w:val="002F0B0F"/>
    <w:rsid w:val="002F22DD"/>
    <w:rsid w:val="00300F84"/>
    <w:rsid w:val="0031652F"/>
    <w:rsid w:val="00322BA4"/>
    <w:rsid w:val="003401CA"/>
    <w:rsid w:val="00346942"/>
    <w:rsid w:val="00351A89"/>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33CA"/>
    <w:rsid w:val="005454FB"/>
    <w:rsid w:val="00553B28"/>
    <w:rsid w:val="005601A1"/>
    <w:rsid w:val="00571E41"/>
    <w:rsid w:val="00572F09"/>
    <w:rsid w:val="005772C1"/>
    <w:rsid w:val="005835BC"/>
    <w:rsid w:val="005856A7"/>
    <w:rsid w:val="00585897"/>
    <w:rsid w:val="00595C80"/>
    <w:rsid w:val="005A42CF"/>
    <w:rsid w:val="005B6209"/>
    <w:rsid w:val="005D1EEF"/>
    <w:rsid w:val="005E312D"/>
    <w:rsid w:val="005E365A"/>
    <w:rsid w:val="005E6608"/>
    <w:rsid w:val="00612214"/>
    <w:rsid w:val="00620DB1"/>
    <w:rsid w:val="00625CD7"/>
    <w:rsid w:val="00630932"/>
    <w:rsid w:val="00653FE5"/>
    <w:rsid w:val="00661BE2"/>
    <w:rsid w:val="00670788"/>
    <w:rsid w:val="0067545A"/>
    <w:rsid w:val="006959E4"/>
    <w:rsid w:val="006B0F80"/>
    <w:rsid w:val="006C0567"/>
    <w:rsid w:val="006D21F9"/>
    <w:rsid w:val="006D3830"/>
    <w:rsid w:val="006D7E71"/>
    <w:rsid w:val="006E0991"/>
    <w:rsid w:val="006E7AF8"/>
    <w:rsid w:val="006F1417"/>
    <w:rsid w:val="006F2454"/>
    <w:rsid w:val="006F63D7"/>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D183E"/>
    <w:rsid w:val="007E6925"/>
    <w:rsid w:val="007E7201"/>
    <w:rsid w:val="007F1643"/>
    <w:rsid w:val="007F2B0B"/>
    <w:rsid w:val="007F3217"/>
    <w:rsid w:val="008054E4"/>
    <w:rsid w:val="008169B8"/>
    <w:rsid w:val="00846897"/>
    <w:rsid w:val="008533A7"/>
    <w:rsid w:val="00865132"/>
    <w:rsid w:val="008769EF"/>
    <w:rsid w:val="00881381"/>
    <w:rsid w:val="00886676"/>
    <w:rsid w:val="00892846"/>
    <w:rsid w:val="008A1398"/>
    <w:rsid w:val="008A1837"/>
    <w:rsid w:val="008B1BCF"/>
    <w:rsid w:val="008C1A56"/>
    <w:rsid w:val="008C3ADD"/>
    <w:rsid w:val="008D355A"/>
    <w:rsid w:val="008D4373"/>
    <w:rsid w:val="008E312C"/>
    <w:rsid w:val="008E78E6"/>
    <w:rsid w:val="008F366F"/>
    <w:rsid w:val="008F6A5A"/>
    <w:rsid w:val="009025C1"/>
    <w:rsid w:val="00905C38"/>
    <w:rsid w:val="00911E50"/>
    <w:rsid w:val="00913892"/>
    <w:rsid w:val="0092193B"/>
    <w:rsid w:val="009227DF"/>
    <w:rsid w:val="009229AD"/>
    <w:rsid w:val="00936DE5"/>
    <w:rsid w:val="0094372F"/>
    <w:rsid w:val="009541F2"/>
    <w:rsid w:val="009551F2"/>
    <w:rsid w:val="00973033"/>
    <w:rsid w:val="009761A7"/>
    <w:rsid w:val="00983C6B"/>
    <w:rsid w:val="009868D6"/>
    <w:rsid w:val="0098762D"/>
    <w:rsid w:val="009972C9"/>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D7B7A"/>
    <w:rsid w:val="00AF0F1A"/>
    <w:rsid w:val="00AF5D91"/>
    <w:rsid w:val="00B021CE"/>
    <w:rsid w:val="00B13369"/>
    <w:rsid w:val="00B170EA"/>
    <w:rsid w:val="00B2270E"/>
    <w:rsid w:val="00B26AB3"/>
    <w:rsid w:val="00B35A7B"/>
    <w:rsid w:val="00B40A2F"/>
    <w:rsid w:val="00B46E62"/>
    <w:rsid w:val="00B47264"/>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4A2E"/>
    <w:rsid w:val="00BF738D"/>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0942"/>
    <w:rsid w:val="00CF1B81"/>
    <w:rsid w:val="00D209A0"/>
    <w:rsid w:val="00D222F0"/>
    <w:rsid w:val="00D24750"/>
    <w:rsid w:val="00D3067D"/>
    <w:rsid w:val="00D41538"/>
    <w:rsid w:val="00D463C8"/>
    <w:rsid w:val="00D50C5D"/>
    <w:rsid w:val="00D56B43"/>
    <w:rsid w:val="00D6158A"/>
    <w:rsid w:val="00D61D1E"/>
    <w:rsid w:val="00D7095B"/>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276DE"/>
    <w:rsid w:val="00E30F9B"/>
    <w:rsid w:val="00E361D7"/>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14F05"/>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393B"/>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2020-08-04T08:27:00Z</cp:lastPrinted>
  <dcterms:created xsi:type="dcterms:W3CDTF">2020-08-14T11:10:00Z</dcterms:created>
  <dcterms:modified xsi:type="dcterms:W3CDTF">2020-08-14T11:10:00Z</dcterms:modified>
</cp:coreProperties>
</file>