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9DB" w:rsidRPr="0018296A" w:rsidRDefault="00D309DB" w:rsidP="0018296A">
      <w:pPr>
        <w:pStyle w:val="BodyText"/>
        <w:spacing w:before="3"/>
        <w:rPr>
          <w:rFonts w:ascii="Times New Roman"/>
          <w:sz w:val="20"/>
          <w:szCs w:val="20"/>
        </w:rPr>
      </w:pPr>
    </w:p>
    <w:p w:rsidR="00D309DB" w:rsidRPr="0018296A" w:rsidRDefault="0018296A" w:rsidP="0018296A">
      <w:pPr>
        <w:pStyle w:val="Heading1"/>
        <w:spacing w:before="92"/>
        <w:ind w:left="1338" w:right="1337"/>
        <w:jc w:val="center"/>
        <w:rPr>
          <w:sz w:val="20"/>
          <w:szCs w:val="20"/>
        </w:rPr>
      </w:pPr>
      <w:r w:rsidRPr="0018296A">
        <w:rPr>
          <w:sz w:val="20"/>
          <w:szCs w:val="20"/>
        </w:rPr>
        <w:t>MINISTRY</w:t>
      </w:r>
    </w:p>
    <w:p w:rsidR="00D309DB" w:rsidRPr="0018296A" w:rsidRDefault="0018296A" w:rsidP="0018296A">
      <w:pPr>
        <w:ind w:left="1338" w:right="1342"/>
        <w:jc w:val="center"/>
        <w:rPr>
          <w:b/>
          <w:sz w:val="20"/>
          <w:szCs w:val="20"/>
        </w:rPr>
      </w:pPr>
      <w:r w:rsidRPr="0018296A">
        <w:rPr>
          <w:b/>
          <w:sz w:val="20"/>
          <w:szCs w:val="20"/>
        </w:rPr>
        <w:t>COOPERATIVE GOVERNANCE AND TRADITIONAL AFFAIRS REPUBLIC OF SOUTH AFRICA</w:t>
      </w:r>
    </w:p>
    <w:p w:rsidR="00D309DB" w:rsidRPr="0018296A" w:rsidRDefault="00D309DB" w:rsidP="0018296A">
      <w:pPr>
        <w:pStyle w:val="BodyText"/>
        <w:spacing w:before="7"/>
        <w:rPr>
          <w:b/>
          <w:sz w:val="20"/>
          <w:szCs w:val="20"/>
        </w:rPr>
      </w:pPr>
      <w:r w:rsidRPr="0018296A">
        <w:rPr>
          <w:sz w:val="20"/>
          <w:szCs w:val="20"/>
        </w:rPr>
        <w:pict>
          <v:shape id="_x0000_s1026" style="position:absolute;margin-left:70.6pt;margin-top:15.35pt;width:470.95pt;height:.1pt;z-index:-251658752;mso-wrap-distance-left:0;mso-wrap-distance-right:0;mso-position-horizontal-relative:page" coordorigin="1412,307" coordsize="9419,0" path="m1412,307r9419,e" filled="f" strokeweight=".72pt">
            <v:path arrowok="t"/>
            <w10:wrap type="topAndBottom" anchorx="page"/>
          </v:shape>
        </w:pict>
      </w:r>
    </w:p>
    <w:p w:rsidR="00D309DB" w:rsidRPr="0018296A" w:rsidRDefault="00D309DB" w:rsidP="0018296A">
      <w:pPr>
        <w:pStyle w:val="BodyText"/>
        <w:spacing w:before="4"/>
        <w:rPr>
          <w:b/>
          <w:sz w:val="20"/>
          <w:szCs w:val="20"/>
        </w:rPr>
      </w:pPr>
    </w:p>
    <w:p w:rsidR="00D309DB" w:rsidRDefault="0018296A" w:rsidP="0018296A">
      <w:pPr>
        <w:spacing w:before="92"/>
        <w:ind w:left="2833" w:right="2812" w:firstLine="667"/>
        <w:rPr>
          <w:b/>
          <w:sz w:val="20"/>
          <w:szCs w:val="20"/>
        </w:rPr>
      </w:pPr>
      <w:r w:rsidRPr="0018296A">
        <w:rPr>
          <w:b/>
          <w:sz w:val="20"/>
          <w:szCs w:val="20"/>
        </w:rPr>
        <w:t>NATIONAL ASSEMBLY QUESTION FOR WRITTEN REPLY QUESTION NUMBER 1592 OF 2020</w:t>
      </w:r>
    </w:p>
    <w:p w:rsidR="0018296A" w:rsidRPr="0018296A" w:rsidRDefault="0018296A" w:rsidP="0018296A">
      <w:pPr>
        <w:spacing w:before="92"/>
        <w:ind w:left="2833" w:right="2812" w:firstLine="667"/>
        <w:rPr>
          <w:b/>
          <w:sz w:val="20"/>
          <w:szCs w:val="20"/>
        </w:rPr>
      </w:pPr>
    </w:p>
    <w:p w:rsidR="00D309DB" w:rsidRPr="0018296A" w:rsidRDefault="0018296A" w:rsidP="0018296A">
      <w:pPr>
        <w:ind w:left="860" w:hanging="720"/>
        <w:rPr>
          <w:b/>
          <w:sz w:val="20"/>
          <w:szCs w:val="20"/>
        </w:rPr>
      </w:pPr>
      <w:r w:rsidRPr="0018296A">
        <w:rPr>
          <w:b/>
          <w:sz w:val="20"/>
          <w:szCs w:val="20"/>
        </w:rPr>
        <w:t>1592. Mr C Brink (DA) to ask the Minister of Cooperative Governance and Traditional Affairs.</w:t>
      </w:r>
    </w:p>
    <w:p w:rsidR="00D309DB" w:rsidRPr="0018296A" w:rsidRDefault="00D309DB" w:rsidP="0018296A">
      <w:pPr>
        <w:pStyle w:val="BodyText"/>
        <w:rPr>
          <w:b/>
          <w:sz w:val="20"/>
          <w:szCs w:val="20"/>
        </w:rPr>
      </w:pPr>
    </w:p>
    <w:p w:rsidR="00D309DB" w:rsidRPr="0018296A" w:rsidRDefault="0018296A" w:rsidP="0018296A">
      <w:pPr>
        <w:pStyle w:val="ListParagraph"/>
        <w:numPr>
          <w:ilvl w:val="0"/>
          <w:numId w:val="1"/>
        </w:numPr>
        <w:tabs>
          <w:tab w:val="left" w:pos="861"/>
        </w:tabs>
        <w:spacing w:before="1"/>
        <w:jc w:val="both"/>
        <w:rPr>
          <w:sz w:val="20"/>
          <w:szCs w:val="20"/>
        </w:rPr>
      </w:pPr>
      <w:r w:rsidRPr="0018296A">
        <w:rPr>
          <w:sz w:val="20"/>
          <w:szCs w:val="20"/>
        </w:rPr>
        <w:t>Whether she has been informed about the letter that was allegedly written by an official of the National Treasury to the SA Local Government Association (Salga) requesting Salga to apply on behalf of municipalities for exemption from annual salary</w:t>
      </w:r>
      <w:r w:rsidRPr="0018296A">
        <w:rPr>
          <w:spacing w:val="-14"/>
          <w:sz w:val="20"/>
          <w:szCs w:val="20"/>
        </w:rPr>
        <w:t xml:space="preserve"> </w:t>
      </w:r>
      <w:r w:rsidRPr="0018296A">
        <w:rPr>
          <w:sz w:val="20"/>
          <w:szCs w:val="20"/>
        </w:rPr>
        <w:t>increas</w:t>
      </w:r>
      <w:r w:rsidRPr="0018296A">
        <w:rPr>
          <w:sz w:val="20"/>
          <w:szCs w:val="20"/>
        </w:rPr>
        <w:t>es</w:t>
      </w:r>
      <w:r w:rsidRPr="0018296A">
        <w:rPr>
          <w:spacing w:val="-14"/>
          <w:sz w:val="20"/>
          <w:szCs w:val="20"/>
        </w:rPr>
        <w:t xml:space="preserve"> </w:t>
      </w:r>
      <w:r w:rsidRPr="0018296A">
        <w:rPr>
          <w:sz w:val="20"/>
          <w:szCs w:val="20"/>
        </w:rPr>
        <w:t>for</w:t>
      </w:r>
      <w:r w:rsidRPr="0018296A">
        <w:rPr>
          <w:spacing w:val="-14"/>
          <w:sz w:val="20"/>
          <w:szCs w:val="20"/>
        </w:rPr>
        <w:t xml:space="preserve"> </w:t>
      </w:r>
      <w:r w:rsidRPr="0018296A">
        <w:rPr>
          <w:sz w:val="20"/>
          <w:szCs w:val="20"/>
        </w:rPr>
        <w:t>municipal</w:t>
      </w:r>
      <w:r w:rsidRPr="0018296A">
        <w:rPr>
          <w:spacing w:val="-12"/>
          <w:sz w:val="20"/>
          <w:szCs w:val="20"/>
        </w:rPr>
        <w:t xml:space="preserve"> </w:t>
      </w:r>
      <w:r w:rsidRPr="0018296A">
        <w:rPr>
          <w:sz w:val="20"/>
          <w:szCs w:val="20"/>
        </w:rPr>
        <w:t>officials</w:t>
      </w:r>
      <w:r w:rsidRPr="0018296A">
        <w:rPr>
          <w:spacing w:val="-12"/>
          <w:sz w:val="20"/>
          <w:szCs w:val="20"/>
        </w:rPr>
        <w:t xml:space="preserve"> </w:t>
      </w:r>
      <w:r w:rsidRPr="0018296A">
        <w:rPr>
          <w:sz w:val="20"/>
          <w:szCs w:val="20"/>
        </w:rPr>
        <w:t>in</w:t>
      </w:r>
      <w:r w:rsidRPr="0018296A">
        <w:rPr>
          <w:spacing w:val="-11"/>
          <w:sz w:val="20"/>
          <w:szCs w:val="20"/>
        </w:rPr>
        <w:t xml:space="preserve"> </w:t>
      </w:r>
      <w:r w:rsidRPr="0018296A">
        <w:rPr>
          <w:sz w:val="20"/>
          <w:szCs w:val="20"/>
        </w:rPr>
        <w:t>light</w:t>
      </w:r>
      <w:r w:rsidRPr="0018296A">
        <w:rPr>
          <w:spacing w:val="-10"/>
          <w:sz w:val="20"/>
          <w:szCs w:val="20"/>
        </w:rPr>
        <w:t xml:space="preserve"> </w:t>
      </w:r>
      <w:r w:rsidRPr="0018296A">
        <w:rPr>
          <w:sz w:val="20"/>
          <w:szCs w:val="20"/>
        </w:rPr>
        <w:t>of</w:t>
      </w:r>
      <w:r w:rsidRPr="0018296A">
        <w:rPr>
          <w:spacing w:val="-9"/>
          <w:sz w:val="20"/>
          <w:szCs w:val="20"/>
        </w:rPr>
        <w:t xml:space="preserve"> </w:t>
      </w:r>
      <w:r w:rsidRPr="0018296A">
        <w:rPr>
          <w:sz w:val="20"/>
          <w:szCs w:val="20"/>
        </w:rPr>
        <w:t>the</w:t>
      </w:r>
      <w:r w:rsidRPr="0018296A">
        <w:rPr>
          <w:spacing w:val="-11"/>
          <w:sz w:val="20"/>
          <w:szCs w:val="20"/>
        </w:rPr>
        <w:t xml:space="preserve"> </w:t>
      </w:r>
      <w:r w:rsidRPr="0018296A">
        <w:rPr>
          <w:sz w:val="20"/>
          <w:szCs w:val="20"/>
        </w:rPr>
        <w:t>adverse</w:t>
      </w:r>
      <w:r w:rsidRPr="0018296A">
        <w:rPr>
          <w:spacing w:val="-14"/>
          <w:sz w:val="20"/>
          <w:szCs w:val="20"/>
        </w:rPr>
        <w:t xml:space="preserve"> </w:t>
      </w:r>
      <w:r w:rsidRPr="0018296A">
        <w:rPr>
          <w:sz w:val="20"/>
          <w:szCs w:val="20"/>
        </w:rPr>
        <w:t>financial</w:t>
      </w:r>
      <w:r w:rsidRPr="0018296A">
        <w:rPr>
          <w:spacing w:val="-11"/>
          <w:sz w:val="20"/>
          <w:szCs w:val="20"/>
        </w:rPr>
        <w:t xml:space="preserve"> </w:t>
      </w:r>
      <w:r w:rsidRPr="0018296A">
        <w:rPr>
          <w:sz w:val="20"/>
          <w:szCs w:val="20"/>
        </w:rPr>
        <w:t>impact</w:t>
      </w:r>
      <w:r w:rsidRPr="0018296A">
        <w:rPr>
          <w:spacing w:val="-11"/>
          <w:sz w:val="20"/>
          <w:szCs w:val="20"/>
        </w:rPr>
        <w:t xml:space="preserve"> </w:t>
      </w:r>
      <w:r w:rsidRPr="0018296A">
        <w:rPr>
          <w:sz w:val="20"/>
          <w:szCs w:val="20"/>
        </w:rPr>
        <w:t>of</w:t>
      </w:r>
      <w:r w:rsidRPr="0018296A">
        <w:rPr>
          <w:spacing w:val="-11"/>
          <w:sz w:val="20"/>
          <w:szCs w:val="20"/>
        </w:rPr>
        <w:t xml:space="preserve"> </w:t>
      </w:r>
      <w:r w:rsidRPr="0018296A">
        <w:rPr>
          <w:sz w:val="20"/>
          <w:szCs w:val="20"/>
        </w:rPr>
        <w:t>the Covid-19 pandemic; if not, what is the position in this regard; if</w:t>
      </w:r>
      <w:r w:rsidRPr="0018296A">
        <w:rPr>
          <w:spacing w:val="-4"/>
          <w:sz w:val="20"/>
          <w:szCs w:val="20"/>
        </w:rPr>
        <w:t xml:space="preserve"> </w:t>
      </w:r>
      <w:r w:rsidRPr="0018296A">
        <w:rPr>
          <w:sz w:val="20"/>
          <w:szCs w:val="20"/>
        </w:rPr>
        <w:t>so,</w:t>
      </w:r>
    </w:p>
    <w:p w:rsidR="00D309DB" w:rsidRPr="0018296A" w:rsidRDefault="00D309DB" w:rsidP="0018296A">
      <w:pPr>
        <w:pStyle w:val="BodyText"/>
        <w:rPr>
          <w:sz w:val="20"/>
          <w:szCs w:val="20"/>
        </w:rPr>
      </w:pPr>
    </w:p>
    <w:p w:rsidR="00D309DB" w:rsidRPr="0018296A" w:rsidRDefault="0018296A" w:rsidP="0018296A">
      <w:pPr>
        <w:pStyle w:val="ListParagraph"/>
        <w:numPr>
          <w:ilvl w:val="0"/>
          <w:numId w:val="1"/>
        </w:numPr>
        <w:tabs>
          <w:tab w:val="left" w:pos="861"/>
        </w:tabs>
        <w:ind w:right="132"/>
        <w:jc w:val="both"/>
        <w:rPr>
          <w:sz w:val="20"/>
          <w:szCs w:val="20"/>
        </w:rPr>
      </w:pPr>
      <w:r w:rsidRPr="0018296A">
        <w:rPr>
          <w:sz w:val="20"/>
          <w:szCs w:val="20"/>
        </w:rPr>
        <w:t>whether (a) a certain person (name furnished) and/or (b) any other employee of her department was copied in the specified letter and/or substantially similar request to Salga; if not, what is the position in this regard; if so, what are the relevant</w:t>
      </w:r>
      <w:r w:rsidRPr="0018296A">
        <w:rPr>
          <w:spacing w:val="-1"/>
          <w:sz w:val="20"/>
          <w:szCs w:val="20"/>
        </w:rPr>
        <w:t xml:space="preserve"> </w:t>
      </w:r>
      <w:r w:rsidRPr="0018296A">
        <w:rPr>
          <w:sz w:val="20"/>
          <w:szCs w:val="20"/>
        </w:rPr>
        <w:t>detail</w:t>
      </w:r>
      <w:r w:rsidRPr="0018296A">
        <w:rPr>
          <w:sz w:val="20"/>
          <w:szCs w:val="20"/>
        </w:rPr>
        <w:t>s;</w:t>
      </w:r>
    </w:p>
    <w:p w:rsidR="00D309DB" w:rsidRPr="0018296A" w:rsidRDefault="00D309DB" w:rsidP="0018296A">
      <w:pPr>
        <w:pStyle w:val="BodyText"/>
        <w:rPr>
          <w:sz w:val="20"/>
          <w:szCs w:val="20"/>
        </w:rPr>
      </w:pPr>
    </w:p>
    <w:p w:rsidR="00D309DB" w:rsidRPr="0018296A" w:rsidRDefault="0018296A" w:rsidP="0018296A">
      <w:pPr>
        <w:pStyle w:val="ListParagraph"/>
        <w:numPr>
          <w:ilvl w:val="0"/>
          <w:numId w:val="1"/>
        </w:numPr>
        <w:tabs>
          <w:tab w:val="left" w:pos="861"/>
        </w:tabs>
        <w:ind w:right="144"/>
        <w:jc w:val="both"/>
        <w:rPr>
          <w:sz w:val="20"/>
          <w:szCs w:val="20"/>
        </w:rPr>
      </w:pPr>
      <w:r w:rsidRPr="0018296A">
        <w:rPr>
          <w:sz w:val="20"/>
          <w:szCs w:val="20"/>
        </w:rPr>
        <w:t>what is her department’s position on the National Treasury’s request that Salga applies on behalf of municipalities for exemption from annual salary increases for municipal officials in light of the impact of the Covid-19</w:t>
      </w:r>
      <w:r w:rsidRPr="0018296A">
        <w:rPr>
          <w:spacing w:val="-7"/>
          <w:sz w:val="20"/>
          <w:szCs w:val="20"/>
        </w:rPr>
        <w:t xml:space="preserve"> </w:t>
      </w:r>
      <w:r w:rsidRPr="0018296A">
        <w:rPr>
          <w:sz w:val="20"/>
          <w:szCs w:val="20"/>
        </w:rPr>
        <w:t>pandemic;</w:t>
      </w:r>
    </w:p>
    <w:p w:rsidR="00D309DB" w:rsidRPr="0018296A" w:rsidRDefault="00D309DB" w:rsidP="0018296A">
      <w:pPr>
        <w:pStyle w:val="BodyText"/>
        <w:rPr>
          <w:sz w:val="20"/>
          <w:szCs w:val="20"/>
        </w:rPr>
      </w:pPr>
    </w:p>
    <w:p w:rsidR="00D309DB" w:rsidRPr="0018296A" w:rsidRDefault="0018296A" w:rsidP="0018296A">
      <w:pPr>
        <w:pStyle w:val="ListParagraph"/>
        <w:numPr>
          <w:ilvl w:val="0"/>
          <w:numId w:val="1"/>
        </w:numPr>
        <w:tabs>
          <w:tab w:val="left" w:pos="861"/>
        </w:tabs>
        <w:ind w:right="143"/>
        <w:jc w:val="both"/>
        <w:rPr>
          <w:sz w:val="20"/>
          <w:szCs w:val="20"/>
        </w:rPr>
      </w:pPr>
      <w:r w:rsidRPr="0018296A">
        <w:rPr>
          <w:sz w:val="20"/>
          <w:szCs w:val="20"/>
        </w:rPr>
        <w:t>whether any municipalities have applied to the SA Local Government Bargaining Council for such an exemption; if so, what are the relevant details in each</w:t>
      </w:r>
      <w:r w:rsidRPr="0018296A">
        <w:rPr>
          <w:spacing w:val="-32"/>
          <w:sz w:val="20"/>
          <w:szCs w:val="20"/>
        </w:rPr>
        <w:t xml:space="preserve"> </w:t>
      </w:r>
      <w:r w:rsidRPr="0018296A">
        <w:rPr>
          <w:sz w:val="20"/>
          <w:szCs w:val="20"/>
        </w:rPr>
        <w:t>case?</w:t>
      </w:r>
    </w:p>
    <w:p w:rsidR="00D309DB" w:rsidRPr="0018296A" w:rsidRDefault="00D309DB" w:rsidP="0018296A">
      <w:pPr>
        <w:jc w:val="both"/>
        <w:rPr>
          <w:sz w:val="20"/>
          <w:szCs w:val="20"/>
        </w:rPr>
        <w:sectPr w:rsidR="00D309DB" w:rsidRPr="0018296A">
          <w:type w:val="continuous"/>
          <w:pgSz w:w="12240" w:h="15840"/>
          <w:pgMar w:top="1440" w:right="1300" w:bottom="280" w:left="1300" w:header="720" w:footer="720" w:gutter="0"/>
          <w:cols w:space="720"/>
        </w:sectPr>
      </w:pPr>
    </w:p>
    <w:p w:rsidR="00D309DB" w:rsidRPr="0018296A" w:rsidRDefault="00D309DB" w:rsidP="0018296A">
      <w:pPr>
        <w:pStyle w:val="BodyText"/>
        <w:spacing w:before="6"/>
        <w:rPr>
          <w:sz w:val="20"/>
          <w:szCs w:val="20"/>
        </w:rPr>
      </w:pPr>
    </w:p>
    <w:p w:rsidR="00D309DB" w:rsidRPr="0018296A" w:rsidRDefault="0018296A" w:rsidP="0018296A">
      <w:pPr>
        <w:pStyle w:val="Heading1"/>
        <w:spacing w:before="92"/>
        <w:rPr>
          <w:sz w:val="20"/>
          <w:szCs w:val="20"/>
        </w:rPr>
      </w:pPr>
      <w:r w:rsidRPr="0018296A">
        <w:rPr>
          <w:sz w:val="20"/>
          <w:szCs w:val="20"/>
        </w:rPr>
        <w:t>REPLY:</w:t>
      </w:r>
    </w:p>
    <w:p w:rsidR="00D309DB" w:rsidRPr="0018296A" w:rsidRDefault="0018296A" w:rsidP="0018296A">
      <w:pPr>
        <w:pStyle w:val="ListParagraph"/>
        <w:numPr>
          <w:ilvl w:val="1"/>
          <w:numId w:val="1"/>
        </w:numPr>
        <w:tabs>
          <w:tab w:val="left" w:pos="861"/>
        </w:tabs>
        <w:spacing w:before="139"/>
        <w:ind w:right="0" w:hanging="361"/>
        <w:jc w:val="left"/>
        <w:rPr>
          <w:sz w:val="20"/>
          <w:szCs w:val="20"/>
        </w:rPr>
      </w:pPr>
      <w:r w:rsidRPr="0018296A">
        <w:rPr>
          <w:sz w:val="20"/>
          <w:szCs w:val="20"/>
        </w:rPr>
        <w:t>Yes, the contents of the letter were brought to my</w:t>
      </w:r>
      <w:r w:rsidRPr="0018296A">
        <w:rPr>
          <w:spacing w:val="-2"/>
          <w:sz w:val="20"/>
          <w:szCs w:val="20"/>
        </w:rPr>
        <w:t xml:space="preserve"> </w:t>
      </w:r>
      <w:r w:rsidRPr="0018296A">
        <w:rPr>
          <w:sz w:val="20"/>
          <w:szCs w:val="20"/>
        </w:rPr>
        <w:t>attention.</w:t>
      </w: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18296A" w:rsidP="0018296A">
      <w:pPr>
        <w:pStyle w:val="ListParagraph"/>
        <w:numPr>
          <w:ilvl w:val="1"/>
          <w:numId w:val="1"/>
        </w:numPr>
        <w:tabs>
          <w:tab w:val="left" w:pos="860"/>
          <w:tab w:val="left" w:pos="861"/>
          <w:tab w:val="left" w:pos="2300"/>
        </w:tabs>
        <w:ind w:right="138" w:hanging="720"/>
        <w:jc w:val="left"/>
        <w:rPr>
          <w:sz w:val="20"/>
          <w:szCs w:val="20"/>
        </w:rPr>
      </w:pPr>
      <w:r w:rsidRPr="0018296A">
        <w:rPr>
          <w:sz w:val="20"/>
          <w:szCs w:val="20"/>
        </w:rPr>
        <w:t>(a)</w:t>
      </w:r>
      <w:r w:rsidRPr="0018296A">
        <w:rPr>
          <w:spacing w:val="-1"/>
          <w:sz w:val="20"/>
          <w:szCs w:val="20"/>
        </w:rPr>
        <w:t xml:space="preserve"> </w:t>
      </w:r>
      <w:r w:rsidRPr="0018296A">
        <w:rPr>
          <w:sz w:val="20"/>
          <w:szCs w:val="20"/>
        </w:rPr>
        <w:t>and (b)</w:t>
      </w:r>
      <w:r w:rsidRPr="0018296A">
        <w:rPr>
          <w:sz w:val="20"/>
          <w:szCs w:val="20"/>
        </w:rPr>
        <w:tab/>
        <w:t>Ye</w:t>
      </w:r>
      <w:r w:rsidRPr="0018296A">
        <w:rPr>
          <w:sz w:val="20"/>
          <w:szCs w:val="20"/>
        </w:rPr>
        <w:t>s,</w:t>
      </w:r>
      <w:r w:rsidRPr="0018296A">
        <w:rPr>
          <w:spacing w:val="-5"/>
          <w:sz w:val="20"/>
          <w:szCs w:val="20"/>
        </w:rPr>
        <w:t xml:space="preserve"> </w:t>
      </w:r>
      <w:r w:rsidRPr="0018296A">
        <w:rPr>
          <w:sz w:val="20"/>
          <w:szCs w:val="20"/>
        </w:rPr>
        <w:t>the</w:t>
      </w:r>
      <w:r w:rsidRPr="0018296A">
        <w:rPr>
          <w:spacing w:val="-8"/>
          <w:sz w:val="20"/>
          <w:szCs w:val="20"/>
        </w:rPr>
        <w:t xml:space="preserve"> </w:t>
      </w:r>
      <w:r w:rsidRPr="0018296A">
        <w:rPr>
          <w:sz w:val="20"/>
          <w:szCs w:val="20"/>
        </w:rPr>
        <w:t>then</w:t>
      </w:r>
      <w:r w:rsidRPr="0018296A">
        <w:rPr>
          <w:spacing w:val="-5"/>
          <w:sz w:val="20"/>
          <w:szCs w:val="20"/>
        </w:rPr>
        <w:t xml:space="preserve"> </w:t>
      </w:r>
      <w:r w:rsidRPr="0018296A">
        <w:rPr>
          <w:sz w:val="20"/>
          <w:szCs w:val="20"/>
        </w:rPr>
        <w:t>Acting</w:t>
      </w:r>
      <w:r w:rsidRPr="0018296A">
        <w:rPr>
          <w:spacing w:val="-8"/>
          <w:sz w:val="20"/>
          <w:szCs w:val="20"/>
        </w:rPr>
        <w:t xml:space="preserve"> </w:t>
      </w:r>
      <w:r w:rsidRPr="0018296A">
        <w:rPr>
          <w:sz w:val="20"/>
          <w:szCs w:val="20"/>
        </w:rPr>
        <w:t>Director-General</w:t>
      </w:r>
      <w:r w:rsidRPr="0018296A">
        <w:rPr>
          <w:spacing w:val="-8"/>
          <w:sz w:val="20"/>
          <w:szCs w:val="20"/>
        </w:rPr>
        <w:t xml:space="preserve"> </w:t>
      </w:r>
      <w:r w:rsidRPr="0018296A">
        <w:rPr>
          <w:sz w:val="20"/>
          <w:szCs w:val="20"/>
        </w:rPr>
        <w:t>of</w:t>
      </w:r>
      <w:r w:rsidRPr="0018296A">
        <w:rPr>
          <w:spacing w:val="-7"/>
          <w:sz w:val="20"/>
          <w:szCs w:val="20"/>
        </w:rPr>
        <w:t xml:space="preserve"> </w:t>
      </w:r>
      <w:r w:rsidRPr="0018296A">
        <w:rPr>
          <w:sz w:val="20"/>
          <w:szCs w:val="20"/>
        </w:rPr>
        <w:t>the</w:t>
      </w:r>
      <w:r w:rsidRPr="0018296A">
        <w:rPr>
          <w:spacing w:val="-7"/>
          <w:sz w:val="20"/>
          <w:szCs w:val="20"/>
        </w:rPr>
        <w:t xml:space="preserve"> </w:t>
      </w:r>
      <w:r w:rsidRPr="0018296A">
        <w:rPr>
          <w:sz w:val="20"/>
          <w:szCs w:val="20"/>
        </w:rPr>
        <w:t>Department</w:t>
      </w:r>
      <w:r w:rsidRPr="0018296A">
        <w:rPr>
          <w:spacing w:val="-6"/>
          <w:sz w:val="20"/>
          <w:szCs w:val="20"/>
        </w:rPr>
        <w:t xml:space="preserve"> </w:t>
      </w:r>
      <w:r w:rsidRPr="0018296A">
        <w:rPr>
          <w:sz w:val="20"/>
          <w:szCs w:val="20"/>
        </w:rPr>
        <w:t>was</w:t>
      </w:r>
      <w:r w:rsidRPr="0018296A">
        <w:rPr>
          <w:spacing w:val="-6"/>
          <w:sz w:val="20"/>
          <w:szCs w:val="20"/>
        </w:rPr>
        <w:t xml:space="preserve"> </w:t>
      </w:r>
      <w:r w:rsidRPr="0018296A">
        <w:rPr>
          <w:sz w:val="20"/>
          <w:szCs w:val="20"/>
        </w:rPr>
        <w:t>copied in the</w:t>
      </w:r>
      <w:r w:rsidRPr="0018296A">
        <w:rPr>
          <w:spacing w:val="-3"/>
          <w:sz w:val="20"/>
          <w:szCs w:val="20"/>
        </w:rPr>
        <w:t xml:space="preserve"> </w:t>
      </w:r>
      <w:r w:rsidRPr="0018296A">
        <w:rPr>
          <w:sz w:val="20"/>
          <w:szCs w:val="20"/>
        </w:rPr>
        <w:t>letter.</w:t>
      </w:r>
    </w:p>
    <w:p w:rsidR="00D309DB" w:rsidRPr="0018296A" w:rsidRDefault="00D309DB" w:rsidP="0018296A">
      <w:pPr>
        <w:pStyle w:val="BodyText"/>
        <w:spacing w:before="11"/>
        <w:rPr>
          <w:sz w:val="20"/>
          <w:szCs w:val="20"/>
        </w:rPr>
      </w:pPr>
    </w:p>
    <w:p w:rsidR="00D309DB" w:rsidRPr="0018296A" w:rsidRDefault="0018296A" w:rsidP="0018296A">
      <w:pPr>
        <w:pStyle w:val="ListParagraph"/>
        <w:numPr>
          <w:ilvl w:val="1"/>
          <w:numId w:val="1"/>
        </w:numPr>
        <w:tabs>
          <w:tab w:val="left" w:pos="1209"/>
        </w:tabs>
        <w:ind w:left="1208" w:right="135"/>
        <w:jc w:val="both"/>
        <w:rPr>
          <w:sz w:val="20"/>
          <w:szCs w:val="20"/>
        </w:rPr>
      </w:pPr>
      <w:r w:rsidRPr="0018296A">
        <w:rPr>
          <w:sz w:val="20"/>
          <w:szCs w:val="20"/>
        </w:rPr>
        <w:t>The South African Local Government Association (SALGA) is a registered employer</w:t>
      </w:r>
      <w:r w:rsidRPr="0018296A">
        <w:rPr>
          <w:spacing w:val="-11"/>
          <w:sz w:val="20"/>
          <w:szCs w:val="20"/>
        </w:rPr>
        <w:t xml:space="preserve"> </w:t>
      </w:r>
      <w:r w:rsidRPr="0018296A">
        <w:rPr>
          <w:sz w:val="20"/>
          <w:szCs w:val="20"/>
        </w:rPr>
        <w:t>organisation</w:t>
      </w:r>
      <w:r w:rsidRPr="0018296A">
        <w:rPr>
          <w:spacing w:val="-13"/>
          <w:sz w:val="20"/>
          <w:szCs w:val="20"/>
        </w:rPr>
        <w:t xml:space="preserve"> </w:t>
      </w:r>
      <w:r w:rsidRPr="0018296A">
        <w:rPr>
          <w:sz w:val="20"/>
          <w:szCs w:val="20"/>
        </w:rPr>
        <w:t>in</w:t>
      </w:r>
      <w:r w:rsidRPr="0018296A">
        <w:rPr>
          <w:spacing w:val="-10"/>
          <w:sz w:val="20"/>
          <w:szCs w:val="20"/>
        </w:rPr>
        <w:t xml:space="preserve"> </w:t>
      </w:r>
      <w:r w:rsidRPr="0018296A">
        <w:rPr>
          <w:sz w:val="20"/>
          <w:szCs w:val="20"/>
        </w:rPr>
        <w:t>the</w:t>
      </w:r>
      <w:r w:rsidRPr="0018296A">
        <w:rPr>
          <w:spacing w:val="-11"/>
          <w:sz w:val="20"/>
          <w:szCs w:val="20"/>
        </w:rPr>
        <w:t xml:space="preserve"> </w:t>
      </w:r>
      <w:r w:rsidRPr="0018296A">
        <w:rPr>
          <w:sz w:val="20"/>
          <w:szCs w:val="20"/>
        </w:rPr>
        <w:t>bargaining</w:t>
      </w:r>
      <w:r w:rsidRPr="0018296A">
        <w:rPr>
          <w:spacing w:val="-12"/>
          <w:sz w:val="20"/>
          <w:szCs w:val="20"/>
        </w:rPr>
        <w:t xml:space="preserve"> </w:t>
      </w:r>
      <w:r w:rsidRPr="0018296A">
        <w:rPr>
          <w:sz w:val="20"/>
          <w:szCs w:val="20"/>
        </w:rPr>
        <w:t>council</w:t>
      </w:r>
      <w:r w:rsidRPr="0018296A">
        <w:rPr>
          <w:spacing w:val="-10"/>
          <w:sz w:val="20"/>
          <w:szCs w:val="20"/>
        </w:rPr>
        <w:t xml:space="preserve"> </w:t>
      </w:r>
      <w:r w:rsidRPr="0018296A">
        <w:rPr>
          <w:sz w:val="20"/>
          <w:szCs w:val="20"/>
        </w:rPr>
        <w:t>designated</w:t>
      </w:r>
      <w:r w:rsidRPr="0018296A">
        <w:rPr>
          <w:spacing w:val="-12"/>
          <w:sz w:val="20"/>
          <w:szCs w:val="20"/>
        </w:rPr>
        <w:t xml:space="preserve"> </w:t>
      </w:r>
      <w:r w:rsidRPr="0018296A">
        <w:rPr>
          <w:sz w:val="20"/>
          <w:szCs w:val="20"/>
        </w:rPr>
        <w:t>for</w:t>
      </w:r>
      <w:r w:rsidRPr="0018296A">
        <w:rPr>
          <w:spacing w:val="-12"/>
          <w:sz w:val="20"/>
          <w:szCs w:val="20"/>
        </w:rPr>
        <w:t xml:space="preserve"> </w:t>
      </w:r>
      <w:r w:rsidRPr="0018296A">
        <w:rPr>
          <w:sz w:val="20"/>
          <w:szCs w:val="20"/>
        </w:rPr>
        <w:t>municipalities</w:t>
      </w:r>
      <w:r w:rsidRPr="0018296A">
        <w:rPr>
          <w:spacing w:val="-10"/>
          <w:sz w:val="20"/>
          <w:szCs w:val="20"/>
        </w:rPr>
        <w:t xml:space="preserve"> </w:t>
      </w:r>
      <w:r w:rsidRPr="0018296A">
        <w:rPr>
          <w:sz w:val="20"/>
          <w:szCs w:val="20"/>
        </w:rPr>
        <w:t>in terms of section 30 of the Labour Relations Act, 1995, representing municipalities that are affiliated to it in the South African Local Government Bargaining Council (SALGBC). As regards, the National Treasury’ request for SALGA</w:t>
      </w:r>
      <w:r w:rsidRPr="0018296A">
        <w:rPr>
          <w:spacing w:val="-19"/>
          <w:sz w:val="20"/>
          <w:szCs w:val="20"/>
        </w:rPr>
        <w:t xml:space="preserve"> </w:t>
      </w:r>
      <w:r w:rsidRPr="0018296A">
        <w:rPr>
          <w:sz w:val="20"/>
          <w:szCs w:val="20"/>
        </w:rPr>
        <w:t>to</w:t>
      </w:r>
      <w:r w:rsidRPr="0018296A">
        <w:rPr>
          <w:spacing w:val="-19"/>
          <w:sz w:val="20"/>
          <w:szCs w:val="20"/>
        </w:rPr>
        <w:t xml:space="preserve"> </w:t>
      </w:r>
      <w:r w:rsidRPr="0018296A">
        <w:rPr>
          <w:sz w:val="20"/>
          <w:szCs w:val="20"/>
        </w:rPr>
        <w:t>apply</w:t>
      </w:r>
      <w:r w:rsidRPr="0018296A">
        <w:rPr>
          <w:spacing w:val="-21"/>
          <w:sz w:val="20"/>
          <w:szCs w:val="20"/>
        </w:rPr>
        <w:t xml:space="preserve"> </w:t>
      </w:r>
      <w:r w:rsidRPr="0018296A">
        <w:rPr>
          <w:sz w:val="20"/>
          <w:szCs w:val="20"/>
        </w:rPr>
        <w:t>for</w:t>
      </w:r>
      <w:r w:rsidRPr="0018296A">
        <w:rPr>
          <w:spacing w:val="-18"/>
          <w:sz w:val="20"/>
          <w:szCs w:val="20"/>
        </w:rPr>
        <w:t xml:space="preserve"> </w:t>
      </w:r>
      <w:r w:rsidRPr="0018296A">
        <w:rPr>
          <w:sz w:val="20"/>
          <w:szCs w:val="20"/>
        </w:rPr>
        <w:t>exemption</w:t>
      </w:r>
      <w:r w:rsidRPr="0018296A">
        <w:rPr>
          <w:spacing w:val="-17"/>
          <w:sz w:val="20"/>
          <w:szCs w:val="20"/>
        </w:rPr>
        <w:t xml:space="preserve"> </w:t>
      </w:r>
      <w:r w:rsidRPr="0018296A">
        <w:rPr>
          <w:sz w:val="20"/>
          <w:szCs w:val="20"/>
        </w:rPr>
        <w:t>o</w:t>
      </w:r>
      <w:r w:rsidRPr="0018296A">
        <w:rPr>
          <w:sz w:val="20"/>
          <w:szCs w:val="20"/>
        </w:rPr>
        <w:t>f</w:t>
      </w:r>
      <w:r w:rsidRPr="0018296A">
        <w:rPr>
          <w:spacing w:val="-17"/>
          <w:sz w:val="20"/>
          <w:szCs w:val="20"/>
        </w:rPr>
        <w:t xml:space="preserve"> </w:t>
      </w:r>
      <w:r w:rsidRPr="0018296A">
        <w:rPr>
          <w:sz w:val="20"/>
          <w:szCs w:val="20"/>
        </w:rPr>
        <w:t>municipal</w:t>
      </w:r>
      <w:r w:rsidRPr="0018296A">
        <w:rPr>
          <w:spacing w:val="-21"/>
          <w:sz w:val="20"/>
          <w:szCs w:val="20"/>
        </w:rPr>
        <w:t xml:space="preserve"> </w:t>
      </w:r>
      <w:r w:rsidRPr="0018296A">
        <w:rPr>
          <w:sz w:val="20"/>
          <w:szCs w:val="20"/>
        </w:rPr>
        <w:t>employees</w:t>
      </w:r>
      <w:r w:rsidRPr="0018296A">
        <w:rPr>
          <w:spacing w:val="-19"/>
          <w:sz w:val="20"/>
          <w:szCs w:val="20"/>
        </w:rPr>
        <w:t xml:space="preserve"> </w:t>
      </w:r>
      <w:r w:rsidRPr="0018296A">
        <w:rPr>
          <w:sz w:val="20"/>
          <w:szCs w:val="20"/>
        </w:rPr>
        <w:t>from</w:t>
      </w:r>
      <w:r w:rsidRPr="0018296A">
        <w:rPr>
          <w:spacing w:val="-18"/>
          <w:sz w:val="20"/>
          <w:szCs w:val="20"/>
        </w:rPr>
        <w:t xml:space="preserve"> </w:t>
      </w:r>
      <w:r w:rsidRPr="0018296A">
        <w:rPr>
          <w:sz w:val="20"/>
          <w:szCs w:val="20"/>
        </w:rPr>
        <w:t>the</w:t>
      </w:r>
      <w:r w:rsidRPr="0018296A">
        <w:rPr>
          <w:spacing w:val="-19"/>
          <w:sz w:val="20"/>
          <w:szCs w:val="20"/>
        </w:rPr>
        <w:t xml:space="preserve"> </w:t>
      </w:r>
      <w:r w:rsidRPr="0018296A">
        <w:rPr>
          <w:sz w:val="20"/>
          <w:szCs w:val="20"/>
        </w:rPr>
        <w:t>2020/21</w:t>
      </w:r>
      <w:r w:rsidRPr="0018296A">
        <w:rPr>
          <w:spacing w:val="-17"/>
          <w:sz w:val="20"/>
          <w:szCs w:val="20"/>
        </w:rPr>
        <w:t xml:space="preserve"> </w:t>
      </w:r>
      <w:r w:rsidRPr="0018296A">
        <w:rPr>
          <w:sz w:val="20"/>
          <w:szCs w:val="20"/>
        </w:rPr>
        <w:t>annual salary increases, the letter conform to the labour laws of the Republic. It is incumbent upon SALGA in its capacity as the employer representative to use its</w:t>
      </w:r>
      <w:r w:rsidRPr="0018296A">
        <w:rPr>
          <w:spacing w:val="-13"/>
          <w:sz w:val="20"/>
          <w:szCs w:val="20"/>
        </w:rPr>
        <w:t xml:space="preserve"> </w:t>
      </w:r>
      <w:r w:rsidRPr="0018296A">
        <w:rPr>
          <w:sz w:val="20"/>
          <w:szCs w:val="20"/>
        </w:rPr>
        <w:t>internal</w:t>
      </w:r>
      <w:r w:rsidRPr="0018296A">
        <w:rPr>
          <w:spacing w:val="-13"/>
          <w:sz w:val="20"/>
          <w:szCs w:val="20"/>
        </w:rPr>
        <w:t xml:space="preserve"> </w:t>
      </w:r>
      <w:r w:rsidRPr="0018296A">
        <w:rPr>
          <w:sz w:val="20"/>
          <w:szCs w:val="20"/>
        </w:rPr>
        <w:t>protocols</w:t>
      </w:r>
      <w:r w:rsidRPr="0018296A">
        <w:rPr>
          <w:spacing w:val="-13"/>
          <w:sz w:val="20"/>
          <w:szCs w:val="20"/>
        </w:rPr>
        <w:t xml:space="preserve"> </w:t>
      </w:r>
      <w:r w:rsidRPr="0018296A">
        <w:rPr>
          <w:sz w:val="20"/>
          <w:szCs w:val="20"/>
        </w:rPr>
        <w:t>to</w:t>
      </w:r>
      <w:r w:rsidRPr="0018296A">
        <w:rPr>
          <w:spacing w:val="-15"/>
          <w:sz w:val="20"/>
          <w:szCs w:val="20"/>
        </w:rPr>
        <w:t xml:space="preserve"> </w:t>
      </w:r>
      <w:r w:rsidRPr="0018296A">
        <w:rPr>
          <w:sz w:val="20"/>
          <w:szCs w:val="20"/>
        </w:rPr>
        <w:t>consult</w:t>
      </w:r>
      <w:r w:rsidRPr="0018296A">
        <w:rPr>
          <w:spacing w:val="-13"/>
          <w:sz w:val="20"/>
          <w:szCs w:val="20"/>
        </w:rPr>
        <w:t xml:space="preserve"> </w:t>
      </w:r>
      <w:r w:rsidRPr="0018296A">
        <w:rPr>
          <w:sz w:val="20"/>
          <w:szCs w:val="20"/>
        </w:rPr>
        <w:t>with</w:t>
      </w:r>
      <w:r w:rsidRPr="0018296A">
        <w:rPr>
          <w:spacing w:val="-12"/>
          <w:sz w:val="20"/>
          <w:szCs w:val="20"/>
        </w:rPr>
        <w:t xml:space="preserve"> </w:t>
      </w:r>
      <w:r w:rsidRPr="0018296A">
        <w:rPr>
          <w:sz w:val="20"/>
          <w:szCs w:val="20"/>
        </w:rPr>
        <w:t>the</w:t>
      </w:r>
      <w:r w:rsidRPr="0018296A">
        <w:rPr>
          <w:spacing w:val="-12"/>
          <w:sz w:val="20"/>
          <w:szCs w:val="20"/>
        </w:rPr>
        <w:t xml:space="preserve"> </w:t>
      </w:r>
      <w:r w:rsidRPr="0018296A">
        <w:rPr>
          <w:sz w:val="20"/>
          <w:szCs w:val="20"/>
        </w:rPr>
        <w:t>relevant</w:t>
      </w:r>
      <w:r w:rsidRPr="0018296A">
        <w:rPr>
          <w:spacing w:val="-12"/>
          <w:sz w:val="20"/>
          <w:szCs w:val="20"/>
        </w:rPr>
        <w:t xml:space="preserve"> </w:t>
      </w:r>
      <w:r w:rsidRPr="0018296A">
        <w:rPr>
          <w:sz w:val="20"/>
          <w:szCs w:val="20"/>
        </w:rPr>
        <w:t>muni</w:t>
      </w:r>
      <w:r w:rsidRPr="0018296A">
        <w:rPr>
          <w:sz w:val="20"/>
          <w:szCs w:val="20"/>
        </w:rPr>
        <w:t>cipalities</w:t>
      </w:r>
      <w:r w:rsidRPr="0018296A">
        <w:rPr>
          <w:spacing w:val="-15"/>
          <w:sz w:val="20"/>
          <w:szCs w:val="20"/>
        </w:rPr>
        <w:t xml:space="preserve"> </w:t>
      </w:r>
      <w:r w:rsidRPr="0018296A">
        <w:rPr>
          <w:sz w:val="20"/>
          <w:szCs w:val="20"/>
        </w:rPr>
        <w:t>or</w:t>
      </w:r>
      <w:r w:rsidRPr="0018296A">
        <w:rPr>
          <w:spacing w:val="-14"/>
          <w:sz w:val="20"/>
          <w:szCs w:val="20"/>
        </w:rPr>
        <w:t xml:space="preserve"> </w:t>
      </w:r>
      <w:r w:rsidRPr="0018296A">
        <w:rPr>
          <w:sz w:val="20"/>
          <w:szCs w:val="20"/>
        </w:rPr>
        <w:t>the</w:t>
      </w:r>
      <w:r w:rsidRPr="0018296A">
        <w:rPr>
          <w:spacing w:val="-15"/>
          <w:sz w:val="20"/>
          <w:szCs w:val="20"/>
        </w:rPr>
        <w:t xml:space="preserve"> </w:t>
      </w:r>
      <w:r w:rsidRPr="0018296A">
        <w:rPr>
          <w:sz w:val="20"/>
          <w:szCs w:val="20"/>
        </w:rPr>
        <w:t>mandating structures</w:t>
      </w:r>
      <w:r w:rsidRPr="0018296A">
        <w:rPr>
          <w:spacing w:val="-12"/>
          <w:sz w:val="20"/>
          <w:szCs w:val="20"/>
        </w:rPr>
        <w:t xml:space="preserve"> </w:t>
      </w:r>
      <w:r w:rsidRPr="0018296A">
        <w:rPr>
          <w:sz w:val="20"/>
          <w:szCs w:val="20"/>
        </w:rPr>
        <w:t>before</w:t>
      </w:r>
      <w:r w:rsidRPr="0018296A">
        <w:rPr>
          <w:spacing w:val="-11"/>
          <w:sz w:val="20"/>
          <w:szCs w:val="20"/>
        </w:rPr>
        <w:t xml:space="preserve"> </w:t>
      </w:r>
      <w:r w:rsidRPr="0018296A">
        <w:rPr>
          <w:sz w:val="20"/>
          <w:szCs w:val="20"/>
        </w:rPr>
        <w:t>embarking</w:t>
      </w:r>
      <w:r w:rsidRPr="0018296A">
        <w:rPr>
          <w:spacing w:val="-13"/>
          <w:sz w:val="20"/>
          <w:szCs w:val="20"/>
        </w:rPr>
        <w:t xml:space="preserve"> </w:t>
      </w:r>
      <w:r w:rsidRPr="0018296A">
        <w:rPr>
          <w:sz w:val="20"/>
          <w:szCs w:val="20"/>
        </w:rPr>
        <w:t>on</w:t>
      </w:r>
      <w:r w:rsidRPr="0018296A">
        <w:rPr>
          <w:spacing w:val="-12"/>
          <w:sz w:val="20"/>
          <w:szCs w:val="20"/>
        </w:rPr>
        <w:t xml:space="preserve"> </w:t>
      </w:r>
      <w:r w:rsidRPr="0018296A">
        <w:rPr>
          <w:sz w:val="20"/>
          <w:szCs w:val="20"/>
        </w:rPr>
        <w:t>the</w:t>
      </w:r>
      <w:r w:rsidRPr="0018296A">
        <w:rPr>
          <w:spacing w:val="-11"/>
          <w:sz w:val="20"/>
          <w:szCs w:val="20"/>
        </w:rPr>
        <w:t xml:space="preserve"> </w:t>
      </w:r>
      <w:r w:rsidRPr="0018296A">
        <w:rPr>
          <w:sz w:val="20"/>
          <w:szCs w:val="20"/>
        </w:rPr>
        <w:t>application</w:t>
      </w:r>
      <w:r w:rsidRPr="0018296A">
        <w:rPr>
          <w:spacing w:val="-13"/>
          <w:sz w:val="20"/>
          <w:szCs w:val="20"/>
        </w:rPr>
        <w:t xml:space="preserve"> </w:t>
      </w:r>
      <w:r w:rsidRPr="0018296A">
        <w:rPr>
          <w:sz w:val="20"/>
          <w:szCs w:val="20"/>
        </w:rPr>
        <w:t>referred</w:t>
      </w:r>
      <w:r w:rsidRPr="0018296A">
        <w:rPr>
          <w:spacing w:val="-12"/>
          <w:sz w:val="20"/>
          <w:szCs w:val="20"/>
        </w:rPr>
        <w:t xml:space="preserve"> </w:t>
      </w:r>
      <w:r w:rsidRPr="0018296A">
        <w:rPr>
          <w:sz w:val="20"/>
          <w:szCs w:val="20"/>
        </w:rPr>
        <w:t>to</w:t>
      </w:r>
      <w:r w:rsidRPr="0018296A">
        <w:rPr>
          <w:spacing w:val="-10"/>
          <w:sz w:val="20"/>
          <w:szCs w:val="20"/>
        </w:rPr>
        <w:t xml:space="preserve"> </w:t>
      </w:r>
      <w:r w:rsidRPr="0018296A">
        <w:rPr>
          <w:sz w:val="20"/>
          <w:szCs w:val="20"/>
        </w:rPr>
        <w:t>in</w:t>
      </w:r>
      <w:r w:rsidRPr="0018296A">
        <w:rPr>
          <w:spacing w:val="-12"/>
          <w:sz w:val="20"/>
          <w:szCs w:val="20"/>
        </w:rPr>
        <w:t xml:space="preserve"> </w:t>
      </w:r>
      <w:r w:rsidRPr="0018296A">
        <w:rPr>
          <w:sz w:val="20"/>
          <w:szCs w:val="20"/>
        </w:rPr>
        <w:t>National</w:t>
      </w:r>
      <w:r w:rsidRPr="0018296A">
        <w:rPr>
          <w:spacing w:val="-15"/>
          <w:sz w:val="20"/>
          <w:szCs w:val="20"/>
        </w:rPr>
        <w:t xml:space="preserve"> </w:t>
      </w:r>
      <w:r w:rsidRPr="0018296A">
        <w:rPr>
          <w:sz w:val="20"/>
          <w:szCs w:val="20"/>
        </w:rPr>
        <w:t>Treasury’ letter.</w:t>
      </w:r>
    </w:p>
    <w:p w:rsidR="00D309DB" w:rsidRPr="0018296A" w:rsidRDefault="00D309DB" w:rsidP="0018296A">
      <w:pPr>
        <w:pStyle w:val="BodyText"/>
        <w:spacing w:before="1"/>
        <w:rPr>
          <w:sz w:val="20"/>
          <w:szCs w:val="20"/>
        </w:rPr>
      </w:pPr>
    </w:p>
    <w:p w:rsidR="00D309DB" w:rsidRPr="0018296A" w:rsidRDefault="00D309DB" w:rsidP="0018296A">
      <w:pPr>
        <w:rPr>
          <w:sz w:val="20"/>
          <w:szCs w:val="20"/>
        </w:rPr>
        <w:sectPr w:rsidR="00D309DB" w:rsidRPr="0018296A">
          <w:pgSz w:w="12240" w:h="15840"/>
          <w:pgMar w:top="1500" w:right="1300" w:bottom="280" w:left="1300" w:header="720" w:footer="720" w:gutter="0"/>
          <w:cols w:space="720"/>
        </w:sect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rPr>
          <w:sz w:val="20"/>
          <w:szCs w:val="20"/>
        </w:rPr>
      </w:pPr>
    </w:p>
    <w:p w:rsidR="00D309DB" w:rsidRPr="0018296A" w:rsidRDefault="00D309DB" w:rsidP="0018296A">
      <w:pPr>
        <w:pStyle w:val="BodyText"/>
        <w:spacing w:before="2"/>
        <w:rPr>
          <w:sz w:val="20"/>
          <w:szCs w:val="20"/>
        </w:rPr>
      </w:pPr>
    </w:p>
    <w:p w:rsidR="00D309DB" w:rsidRPr="0018296A" w:rsidRDefault="0018296A" w:rsidP="0018296A">
      <w:pPr>
        <w:pStyle w:val="Heading1"/>
        <w:rPr>
          <w:sz w:val="20"/>
          <w:szCs w:val="20"/>
        </w:rPr>
      </w:pPr>
      <w:r w:rsidRPr="0018296A">
        <w:rPr>
          <w:sz w:val="20"/>
          <w:szCs w:val="20"/>
        </w:rPr>
        <w:t>End.</w:t>
      </w:r>
    </w:p>
    <w:p w:rsidR="00D309DB" w:rsidRPr="0018296A" w:rsidRDefault="0018296A" w:rsidP="0018296A">
      <w:pPr>
        <w:pStyle w:val="ListParagraph"/>
        <w:numPr>
          <w:ilvl w:val="1"/>
          <w:numId w:val="1"/>
        </w:numPr>
        <w:tabs>
          <w:tab w:val="left" w:pos="501"/>
        </w:tabs>
        <w:spacing w:before="92"/>
        <w:ind w:left="500"/>
        <w:jc w:val="both"/>
        <w:rPr>
          <w:sz w:val="20"/>
          <w:szCs w:val="20"/>
        </w:rPr>
      </w:pPr>
      <w:r w:rsidRPr="0018296A">
        <w:rPr>
          <w:w w:val="99"/>
          <w:sz w:val="20"/>
          <w:szCs w:val="20"/>
        </w:rPr>
        <w:br w:type="column"/>
      </w:r>
      <w:r w:rsidRPr="0018296A">
        <w:rPr>
          <w:sz w:val="20"/>
          <w:szCs w:val="20"/>
        </w:rPr>
        <w:lastRenderedPageBreak/>
        <w:t>Clause 11 of the 2018 - 2021 Salary and Wage Collective Agreement concluded on 15 August 2018 read in conjunction with the Constitution of the SALGBC impose an obligation on municipalities applying for exemptions to lodge their applications with the Genera</w:t>
      </w:r>
      <w:r w:rsidRPr="0018296A">
        <w:rPr>
          <w:sz w:val="20"/>
          <w:szCs w:val="20"/>
        </w:rPr>
        <w:t>l-Secretary of the Council and to forward copies to the national offices of the Independent Municipal Allied Workers Union (IMATU) and the South African Municipal Workers Union (SAMWU), not the</w:t>
      </w:r>
      <w:r w:rsidRPr="0018296A">
        <w:rPr>
          <w:spacing w:val="-5"/>
          <w:sz w:val="20"/>
          <w:szCs w:val="20"/>
        </w:rPr>
        <w:t xml:space="preserve"> </w:t>
      </w:r>
      <w:r w:rsidRPr="0018296A">
        <w:rPr>
          <w:sz w:val="20"/>
          <w:szCs w:val="20"/>
        </w:rPr>
        <w:t>Minister.</w:t>
      </w:r>
    </w:p>
    <w:sectPr w:rsidR="00D309DB" w:rsidRPr="0018296A" w:rsidSect="00D309DB">
      <w:type w:val="continuous"/>
      <w:pgSz w:w="12240" w:h="15840"/>
      <w:pgMar w:top="1440" w:right="1300" w:bottom="280" w:left="1300" w:header="720" w:footer="720" w:gutter="0"/>
      <w:cols w:num="2" w:space="720" w:equalWidth="0">
        <w:col w:w="661" w:space="46"/>
        <w:col w:w="8933"/>
      </w:cols>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5F9F"/>
    <w:multiLevelType w:val="hybridMultilevel"/>
    <w:tmpl w:val="23AAA97E"/>
    <w:lvl w:ilvl="0" w:tplc="E6C22A58">
      <w:start w:val="1"/>
      <w:numFmt w:val="decimal"/>
      <w:lvlText w:val="(%1)"/>
      <w:lvlJc w:val="left"/>
      <w:pPr>
        <w:ind w:left="860" w:hanging="720"/>
        <w:jc w:val="left"/>
      </w:pPr>
      <w:rPr>
        <w:rFonts w:ascii="Arial" w:eastAsia="Arial" w:hAnsi="Arial" w:cs="Arial" w:hint="default"/>
        <w:w w:val="99"/>
        <w:sz w:val="24"/>
        <w:szCs w:val="24"/>
        <w:lang w:val="en-US" w:eastAsia="en-US" w:bidi="en-US"/>
      </w:rPr>
    </w:lvl>
    <w:lvl w:ilvl="1" w:tplc="C02620BA">
      <w:start w:val="1"/>
      <w:numFmt w:val="decimal"/>
      <w:lvlText w:val="%2."/>
      <w:lvlJc w:val="left"/>
      <w:pPr>
        <w:ind w:left="860" w:hanging="360"/>
        <w:jc w:val="right"/>
      </w:pPr>
      <w:rPr>
        <w:rFonts w:ascii="Arial" w:eastAsia="Arial" w:hAnsi="Arial" w:cs="Arial" w:hint="default"/>
        <w:spacing w:val="-4"/>
        <w:w w:val="99"/>
        <w:sz w:val="24"/>
        <w:szCs w:val="24"/>
        <w:lang w:val="en-US" w:eastAsia="en-US" w:bidi="en-US"/>
      </w:rPr>
    </w:lvl>
    <w:lvl w:ilvl="2" w:tplc="F8F8FB18">
      <w:numFmt w:val="bullet"/>
      <w:lvlText w:val="•"/>
      <w:lvlJc w:val="left"/>
      <w:pPr>
        <w:ind w:left="2616" w:hanging="360"/>
      </w:pPr>
      <w:rPr>
        <w:rFonts w:hint="default"/>
        <w:lang w:val="en-US" w:eastAsia="en-US" w:bidi="en-US"/>
      </w:rPr>
    </w:lvl>
    <w:lvl w:ilvl="3" w:tplc="597656B8">
      <w:numFmt w:val="bullet"/>
      <w:lvlText w:val="•"/>
      <w:lvlJc w:val="left"/>
      <w:pPr>
        <w:ind w:left="3494" w:hanging="360"/>
      </w:pPr>
      <w:rPr>
        <w:rFonts w:hint="default"/>
        <w:lang w:val="en-US" w:eastAsia="en-US" w:bidi="en-US"/>
      </w:rPr>
    </w:lvl>
    <w:lvl w:ilvl="4" w:tplc="56D46B36">
      <w:numFmt w:val="bullet"/>
      <w:lvlText w:val="•"/>
      <w:lvlJc w:val="left"/>
      <w:pPr>
        <w:ind w:left="4372" w:hanging="360"/>
      </w:pPr>
      <w:rPr>
        <w:rFonts w:hint="default"/>
        <w:lang w:val="en-US" w:eastAsia="en-US" w:bidi="en-US"/>
      </w:rPr>
    </w:lvl>
    <w:lvl w:ilvl="5" w:tplc="911ED6C8">
      <w:numFmt w:val="bullet"/>
      <w:lvlText w:val="•"/>
      <w:lvlJc w:val="left"/>
      <w:pPr>
        <w:ind w:left="5250" w:hanging="360"/>
      </w:pPr>
      <w:rPr>
        <w:rFonts w:hint="default"/>
        <w:lang w:val="en-US" w:eastAsia="en-US" w:bidi="en-US"/>
      </w:rPr>
    </w:lvl>
    <w:lvl w:ilvl="6" w:tplc="40C2B266">
      <w:numFmt w:val="bullet"/>
      <w:lvlText w:val="•"/>
      <w:lvlJc w:val="left"/>
      <w:pPr>
        <w:ind w:left="6128" w:hanging="360"/>
      </w:pPr>
      <w:rPr>
        <w:rFonts w:hint="default"/>
        <w:lang w:val="en-US" w:eastAsia="en-US" w:bidi="en-US"/>
      </w:rPr>
    </w:lvl>
    <w:lvl w:ilvl="7" w:tplc="943EB3EE">
      <w:numFmt w:val="bullet"/>
      <w:lvlText w:val="•"/>
      <w:lvlJc w:val="left"/>
      <w:pPr>
        <w:ind w:left="7006" w:hanging="360"/>
      </w:pPr>
      <w:rPr>
        <w:rFonts w:hint="default"/>
        <w:lang w:val="en-US" w:eastAsia="en-US" w:bidi="en-US"/>
      </w:rPr>
    </w:lvl>
    <w:lvl w:ilvl="8" w:tplc="35848090">
      <w:numFmt w:val="bullet"/>
      <w:lvlText w:val="•"/>
      <w:lvlJc w:val="left"/>
      <w:pPr>
        <w:ind w:left="7884"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D309DB"/>
    <w:rsid w:val="0018296A"/>
    <w:rsid w:val="00D309D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309DB"/>
    <w:rPr>
      <w:rFonts w:ascii="Arial" w:eastAsia="Arial" w:hAnsi="Arial" w:cs="Arial"/>
      <w:lang w:bidi="en-US"/>
    </w:rPr>
  </w:style>
  <w:style w:type="paragraph" w:styleId="Heading1">
    <w:name w:val="heading 1"/>
    <w:basedOn w:val="Normal"/>
    <w:uiPriority w:val="1"/>
    <w:qFormat/>
    <w:rsid w:val="00D309DB"/>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309DB"/>
    <w:rPr>
      <w:sz w:val="24"/>
      <w:szCs w:val="24"/>
    </w:rPr>
  </w:style>
  <w:style w:type="paragraph" w:styleId="ListParagraph">
    <w:name w:val="List Paragraph"/>
    <w:basedOn w:val="Normal"/>
    <w:uiPriority w:val="1"/>
    <w:qFormat/>
    <w:rsid w:val="00D309DB"/>
    <w:pPr>
      <w:ind w:left="860" w:right="136" w:hanging="720"/>
      <w:jc w:val="both"/>
    </w:pPr>
  </w:style>
  <w:style w:type="paragraph" w:customStyle="1" w:styleId="TableParagraph">
    <w:name w:val="Table Paragraph"/>
    <w:basedOn w:val="Normal"/>
    <w:uiPriority w:val="1"/>
    <w:qFormat/>
    <w:rsid w:val="00D309DB"/>
  </w:style>
  <w:style w:type="paragraph" w:styleId="BalloonText">
    <w:name w:val="Balloon Text"/>
    <w:basedOn w:val="Normal"/>
    <w:link w:val="BalloonTextChar"/>
    <w:uiPriority w:val="99"/>
    <w:semiHidden/>
    <w:unhideWhenUsed/>
    <w:rsid w:val="0018296A"/>
    <w:rPr>
      <w:rFonts w:ascii="Tahoma" w:hAnsi="Tahoma" w:cs="Tahoma"/>
      <w:sz w:val="16"/>
      <w:szCs w:val="16"/>
    </w:rPr>
  </w:style>
  <w:style w:type="character" w:customStyle="1" w:styleId="BalloonTextChar">
    <w:name w:val="Balloon Text Char"/>
    <w:basedOn w:val="DefaultParagraphFont"/>
    <w:link w:val="BalloonText"/>
    <w:uiPriority w:val="99"/>
    <w:semiHidden/>
    <w:rsid w:val="0018296A"/>
    <w:rPr>
      <w:rFonts w:ascii="Tahoma" w:eastAsia="Arial"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2326</Characters>
  <Application>Microsoft Office Word</Application>
  <DocSecurity>0</DocSecurity>
  <Lines>19</Lines>
  <Paragraphs>5</Paragraphs>
  <ScaleCrop>false</ScaleCrop>
  <Company>Toshiba</Company>
  <LinksUpToDate>false</LinksUpToDate>
  <CharactersWithSpaces>2728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Thobani Matheza</dc:creator>
  <cp:lastModifiedBy>PMG User</cp:lastModifiedBy>
  <cp:revision>2</cp:revision>
  <dcterms:created xsi:type="dcterms:W3CDTF">2020-09-10T06:53:00Z</dcterms:created>
  <dcterms:modified xsi:type="dcterms:W3CDTF">2020-09-10T06:56:00Z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2020-09-09T00:00:00Z</vt:filetime>
  </property>
  <property fmtid="{D5CDD505-2E9C-101B-9397-08002B2CF9AE}" pid="3" name="Creator">
    <vt:lpwstr>Microsoft® Word 2016</vt:lpwstr>
  </property>
  <property fmtid="{D5CDD505-2E9C-101B-9397-08002B2CF9AE}" pid="4" name="LastSaved">
    <vt:filetime>2020-09-10T00:00:00Z</vt:filetime>
  </property>
</Properties>
</file>