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2A588E" w:rsidRDefault="00BC5A3F" w:rsidP="007E7A1C">
      <w:pPr>
        <w:spacing w:line="360" w:lineRule="auto"/>
        <w:jc w:val="center"/>
        <w:rPr>
          <w:b/>
          <w:sz w:val="22"/>
          <w:szCs w:val="22"/>
        </w:rPr>
      </w:pPr>
      <w:bookmarkStart w:id="0" w:name="_Hlk34206045"/>
      <w:bookmarkStart w:id="1" w:name="_Hlk74243434"/>
      <w:bookmarkStart w:id="2" w:name="_Hlk95472905"/>
      <w:r w:rsidRPr="002A588E">
        <w:rPr>
          <w:b/>
          <w:sz w:val="22"/>
          <w:szCs w:val="22"/>
        </w:rPr>
        <w:t xml:space="preserve">NATIONAL </w:t>
      </w:r>
      <w:r w:rsidR="00E130CF" w:rsidRPr="002A588E">
        <w:rPr>
          <w:b/>
          <w:sz w:val="22"/>
          <w:szCs w:val="22"/>
        </w:rPr>
        <w:t>ASSEMBLY</w:t>
      </w:r>
    </w:p>
    <w:p w:rsidR="00BC5A3F" w:rsidRPr="002A588E" w:rsidRDefault="00BC5A3F" w:rsidP="007E7A1C">
      <w:pPr>
        <w:spacing w:line="360" w:lineRule="auto"/>
        <w:jc w:val="center"/>
        <w:rPr>
          <w:b/>
          <w:sz w:val="22"/>
          <w:szCs w:val="22"/>
        </w:rPr>
      </w:pPr>
      <w:r w:rsidRPr="002A588E">
        <w:rPr>
          <w:b/>
          <w:sz w:val="22"/>
          <w:szCs w:val="22"/>
        </w:rPr>
        <w:t xml:space="preserve">QUESTION FOR </w:t>
      </w:r>
      <w:r w:rsidR="00E938DE" w:rsidRPr="002A588E">
        <w:rPr>
          <w:b/>
          <w:sz w:val="22"/>
          <w:szCs w:val="22"/>
        </w:rPr>
        <w:t>WRITTEN</w:t>
      </w:r>
      <w:r w:rsidRPr="002A588E">
        <w:rPr>
          <w:b/>
          <w:sz w:val="22"/>
          <w:szCs w:val="22"/>
        </w:rPr>
        <w:t xml:space="preserve"> REPLY</w:t>
      </w:r>
    </w:p>
    <w:p w:rsidR="00BC5A3F" w:rsidRPr="002A588E" w:rsidRDefault="00BC5A3F" w:rsidP="00E130CF">
      <w:pPr>
        <w:spacing w:line="360" w:lineRule="auto"/>
        <w:jc w:val="center"/>
        <w:rPr>
          <w:b/>
          <w:sz w:val="22"/>
          <w:szCs w:val="22"/>
        </w:rPr>
      </w:pPr>
      <w:bookmarkStart w:id="3" w:name="_Hlk65832587"/>
      <w:bookmarkStart w:id="4" w:name="_Hlk55548705"/>
      <w:r w:rsidRPr="002A588E">
        <w:rPr>
          <w:b/>
          <w:sz w:val="22"/>
          <w:szCs w:val="22"/>
        </w:rPr>
        <w:t xml:space="preserve">QUESTION NUMBER: </w:t>
      </w:r>
      <w:bookmarkStart w:id="5" w:name="_Hlk34208942"/>
      <w:bookmarkStart w:id="6" w:name="_Hlk49113957"/>
      <w:r w:rsidR="002A588E" w:rsidRPr="002A588E">
        <w:rPr>
          <w:b/>
          <w:bCs/>
          <w:sz w:val="22"/>
          <w:lang w:val="en-GB"/>
        </w:rPr>
        <w:t>1</w:t>
      </w:r>
      <w:r w:rsidR="00193A66">
        <w:rPr>
          <w:b/>
          <w:bCs/>
          <w:sz w:val="22"/>
          <w:lang w:val="en-GB"/>
        </w:rPr>
        <w:t>578</w:t>
      </w:r>
      <w:r w:rsidR="00B111EF" w:rsidRPr="002A588E">
        <w:rPr>
          <w:b/>
          <w:bCs/>
          <w:sz w:val="22"/>
          <w:lang w:val="en-GB"/>
        </w:rPr>
        <w:t xml:space="preserve"> </w:t>
      </w:r>
      <w:r w:rsidRPr="002A588E">
        <w:rPr>
          <w:b/>
          <w:sz w:val="22"/>
          <w:szCs w:val="22"/>
        </w:rPr>
        <w:t>[</w:t>
      </w:r>
      <w:r w:rsidR="00A310E0" w:rsidRPr="00A310E0">
        <w:rPr>
          <w:b/>
          <w:sz w:val="22"/>
          <w:szCs w:val="22"/>
        </w:rPr>
        <w:t>NW1</w:t>
      </w:r>
      <w:r w:rsidR="00193A66">
        <w:rPr>
          <w:b/>
          <w:sz w:val="22"/>
          <w:szCs w:val="22"/>
        </w:rPr>
        <w:t>903E</w:t>
      </w:r>
      <w:r w:rsidRPr="002A588E">
        <w:rPr>
          <w:b/>
          <w:sz w:val="22"/>
          <w:szCs w:val="22"/>
        </w:rPr>
        <w:t>]</w:t>
      </w:r>
      <w:bookmarkEnd w:id="5"/>
    </w:p>
    <w:p w:rsidR="008E3D62" w:rsidRPr="002A588E" w:rsidRDefault="00761654" w:rsidP="00951562">
      <w:pPr>
        <w:spacing w:line="360" w:lineRule="auto"/>
        <w:jc w:val="center"/>
        <w:rPr>
          <w:b/>
          <w:sz w:val="22"/>
          <w:szCs w:val="22"/>
        </w:rPr>
      </w:pPr>
      <w:r w:rsidRPr="002A588E">
        <w:rPr>
          <w:b/>
          <w:sz w:val="22"/>
          <w:szCs w:val="22"/>
        </w:rPr>
        <w:t xml:space="preserve">DATE OF PUBLICATION: </w:t>
      </w:r>
      <w:r w:rsidR="00193A66">
        <w:rPr>
          <w:b/>
          <w:sz w:val="22"/>
          <w:szCs w:val="22"/>
        </w:rPr>
        <w:t>29</w:t>
      </w:r>
      <w:r w:rsidR="00E130CF" w:rsidRPr="002A588E">
        <w:rPr>
          <w:b/>
          <w:sz w:val="22"/>
          <w:szCs w:val="22"/>
        </w:rPr>
        <w:t xml:space="preserve"> </w:t>
      </w:r>
      <w:r w:rsidR="00A310E0">
        <w:rPr>
          <w:b/>
          <w:sz w:val="22"/>
          <w:szCs w:val="22"/>
        </w:rPr>
        <w:t>APRIL</w:t>
      </w:r>
      <w:r w:rsidR="00E130CF" w:rsidRPr="002A588E">
        <w:rPr>
          <w:b/>
          <w:sz w:val="22"/>
          <w:szCs w:val="22"/>
        </w:rPr>
        <w:t xml:space="preserve"> 2022</w:t>
      </w:r>
      <w:bookmarkEnd w:id="0"/>
      <w:bookmarkEnd w:id="1"/>
      <w:bookmarkEnd w:id="2"/>
      <w:bookmarkEnd w:id="3"/>
      <w:bookmarkEnd w:id="4"/>
      <w:bookmarkEnd w:id="6"/>
    </w:p>
    <w:p w:rsidR="00193A66" w:rsidRDefault="00193A66" w:rsidP="00193A66">
      <w:pPr>
        <w:spacing w:before="100" w:beforeAutospacing="1" w:after="100" w:afterAutospacing="1"/>
        <w:ind w:left="720" w:hanging="720"/>
        <w:jc w:val="both"/>
        <w:outlineLvl w:val="0"/>
        <w:rPr>
          <w:b/>
          <w:bCs/>
          <w:lang w:val="en-GB"/>
        </w:rPr>
      </w:pPr>
      <w:r>
        <w:rPr>
          <w:b/>
        </w:rPr>
        <w:t>1578.</w:t>
      </w:r>
      <w:r>
        <w:rPr>
          <w:b/>
        </w:rPr>
        <w:tab/>
      </w:r>
      <w:r>
        <w:rPr>
          <w:b/>
          <w:bCs/>
          <w:lang w:val="en-GB"/>
        </w:rPr>
        <w:t>Mr Z N Mbhele (DA) to ask the Minister of Finance</w:t>
      </w:r>
      <w:r w:rsidR="000E5BE0">
        <w:rPr>
          <w:b/>
          <w:bCs/>
          <w:lang w:val="en-GB"/>
        </w:rPr>
        <w:fldChar w:fldCharType="begin"/>
      </w:r>
      <w:r>
        <w:instrText xml:space="preserve"> XE "</w:instrText>
      </w:r>
      <w:r>
        <w:rPr>
          <w:b/>
          <w:bCs/>
          <w:lang w:val="en-GB"/>
        </w:rPr>
        <w:instrText>Finance</w:instrText>
      </w:r>
      <w:r>
        <w:instrText xml:space="preserve">" </w:instrText>
      </w:r>
      <w:r w:rsidR="000E5BE0">
        <w:rPr>
          <w:b/>
          <w:bCs/>
          <w:lang w:val="en-GB"/>
        </w:rPr>
        <w:fldChar w:fldCharType="end"/>
      </w:r>
      <w:r>
        <w:rPr>
          <w:b/>
          <w:bCs/>
          <w:lang w:val="en-GB"/>
        </w:rPr>
        <w:t>:</w:t>
      </w:r>
    </w:p>
    <w:p w:rsidR="00193A66" w:rsidRDefault="00193A66" w:rsidP="00193A66">
      <w:pPr>
        <w:spacing w:before="240"/>
        <w:ind w:left="709" w:firstLine="11"/>
        <w:jc w:val="both"/>
        <w:rPr>
          <w:sz w:val="20"/>
          <w:szCs w:val="20"/>
          <w:lang w:val="en-ZA"/>
        </w:rPr>
      </w:pPr>
      <w:r>
        <w:t>Whether (a) the National Treasury and/or (b) entities reporting to him concluded any commercial contracts with (i) the government of the Russian Federation and/or (ii) any other entity based in the Russian Federation since 1 April 2017; if not, what is the position in this regard; if so, for each commercial contract, what are the (aa) relevant details, (</w:t>
      </w:r>
      <w:r>
        <w:rPr>
          <w:lang w:val="en-GB"/>
        </w:rPr>
        <w:t>bb</w:t>
      </w:r>
      <w:r>
        <w:t>) values, (cc) time frames, (dd) goods contracted and (ee) reasons that the goods could not be contracted in the Republic</w:t>
      </w:r>
      <w:r>
        <w:rPr>
          <w:lang w:val="en-GB"/>
        </w:rPr>
        <w:t>?</w:t>
      </w:r>
      <w:r>
        <w:rPr>
          <w:b/>
          <w:lang w:val="en-GB"/>
        </w:rPr>
        <w:tab/>
      </w:r>
      <w:r>
        <w:rPr>
          <w:b/>
          <w:lang w:val="en-GB"/>
        </w:rPr>
        <w:tab/>
      </w:r>
      <w:r>
        <w:rPr>
          <w:b/>
          <w:lang w:val="en-GB"/>
        </w:rPr>
        <w:tab/>
      </w:r>
      <w:r>
        <w:rPr>
          <w:b/>
          <w:lang w:val="en-GB"/>
        </w:rPr>
        <w:tab/>
      </w:r>
      <w:r>
        <w:rPr>
          <w:sz w:val="20"/>
          <w:szCs w:val="20"/>
        </w:rPr>
        <w:t>NW1903E</w:t>
      </w:r>
    </w:p>
    <w:p w:rsidR="00A310E0" w:rsidRPr="00765B21" w:rsidRDefault="00A310E0" w:rsidP="00A310E0">
      <w:pPr>
        <w:ind w:left="709" w:right="26" w:firstLine="11"/>
        <w:jc w:val="both"/>
      </w:pPr>
    </w:p>
    <w:p w:rsidR="00951562" w:rsidRDefault="00761654" w:rsidP="00E130CF">
      <w:pPr>
        <w:spacing w:before="100" w:beforeAutospacing="1" w:after="100" w:afterAutospacing="1" w:line="276" w:lineRule="auto"/>
        <w:jc w:val="both"/>
        <w:outlineLvl w:val="0"/>
        <w:rPr>
          <w:b/>
          <w:sz w:val="22"/>
          <w:szCs w:val="22"/>
        </w:rPr>
      </w:pPr>
      <w:r w:rsidRPr="002A588E">
        <w:rPr>
          <w:b/>
          <w:sz w:val="22"/>
          <w:szCs w:val="22"/>
        </w:rPr>
        <w:t>REPLY</w:t>
      </w:r>
    </w:p>
    <w:p w:rsidR="00BC286E" w:rsidRPr="009358C5" w:rsidRDefault="00BC286E" w:rsidP="009358C5">
      <w:pPr>
        <w:pStyle w:val="ListParagraph"/>
        <w:numPr>
          <w:ilvl w:val="0"/>
          <w:numId w:val="23"/>
        </w:numPr>
        <w:spacing w:before="100" w:beforeAutospacing="1" w:after="100" w:afterAutospacing="1" w:line="276" w:lineRule="auto"/>
        <w:jc w:val="both"/>
        <w:outlineLvl w:val="0"/>
        <w:rPr>
          <w:b/>
          <w:sz w:val="22"/>
          <w:szCs w:val="22"/>
          <w:u w:val="single"/>
        </w:rPr>
      </w:pPr>
      <w:r w:rsidRPr="009358C5">
        <w:rPr>
          <w:b/>
          <w:sz w:val="22"/>
          <w:szCs w:val="22"/>
          <w:u w:val="single"/>
        </w:rPr>
        <w:t>NATIONAL TREASURY</w:t>
      </w:r>
    </w:p>
    <w:p w:rsidR="00A0746F" w:rsidRDefault="00A0746F" w:rsidP="00BC286E">
      <w:pPr>
        <w:spacing w:before="100" w:beforeAutospacing="1" w:after="100" w:afterAutospacing="1" w:line="276" w:lineRule="auto"/>
        <w:jc w:val="both"/>
        <w:outlineLvl w:val="0"/>
      </w:pPr>
      <w:r w:rsidRPr="00A0746F">
        <w:t>National Treasury does not have any payments</w:t>
      </w:r>
      <w:r w:rsidR="00A04688">
        <w:t xml:space="preserve"> and therefore no commercial contracts</w:t>
      </w:r>
      <w:r w:rsidRPr="00A0746F">
        <w:t xml:space="preserve"> relating to suppliers that are registered in the Russian Federation.</w:t>
      </w:r>
    </w:p>
    <w:p w:rsidR="00121434" w:rsidRPr="009358C5" w:rsidRDefault="00121434" w:rsidP="009358C5">
      <w:pPr>
        <w:pStyle w:val="ListParagraph"/>
        <w:numPr>
          <w:ilvl w:val="0"/>
          <w:numId w:val="23"/>
        </w:numPr>
        <w:pBdr>
          <w:top w:val="single" w:sz="4" w:space="1" w:color="auto"/>
        </w:pBdr>
        <w:spacing w:before="100" w:beforeAutospacing="1" w:after="100" w:afterAutospacing="1" w:line="276" w:lineRule="auto"/>
        <w:jc w:val="both"/>
        <w:outlineLvl w:val="0"/>
        <w:rPr>
          <w:b/>
          <w:bCs/>
          <w:u w:val="single"/>
        </w:rPr>
      </w:pPr>
      <w:r w:rsidRPr="009358C5">
        <w:rPr>
          <w:b/>
          <w:bCs/>
          <w:u w:val="single"/>
        </w:rPr>
        <w:t>ASB</w:t>
      </w:r>
    </w:p>
    <w:p w:rsidR="00121434" w:rsidRPr="00121434" w:rsidRDefault="00121434" w:rsidP="00121434">
      <w:pPr>
        <w:spacing w:before="100" w:beforeAutospacing="1" w:after="100" w:afterAutospacing="1" w:line="276" w:lineRule="auto"/>
        <w:jc w:val="both"/>
        <w:outlineLvl w:val="0"/>
        <w:rPr>
          <w:bCs/>
        </w:rPr>
      </w:pPr>
      <w:r w:rsidRPr="00121434">
        <w:rPr>
          <w:bCs/>
        </w:rPr>
        <w:t xml:space="preserve">Accounting Standards Board has no contracts with Russia. </w:t>
      </w:r>
    </w:p>
    <w:p w:rsidR="00121434" w:rsidRPr="009358C5" w:rsidRDefault="00121434" w:rsidP="009358C5">
      <w:pPr>
        <w:pStyle w:val="ListParagraph"/>
        <w:numPr>
          <w:ilvl w:val="0"/>
          <w:numId w:val="23"/>
        </w:numPr>
        <w:pBdr>
          <w:top w:val="single" w:sz="4" w:space="1" w:color="auto"/>
        </w:pBdr>
        <w:spacing w:before="100" w:beforeAutospacing="1" w:after="100" w:afterAutospacing="1" w:line="276" w:lineRule="auto"/>
        <w:jc w:val="both"/>
        <w:outlineLvl w:val="0"/>
        <w:rPr>
          <w:b/>
          <w:bCs/>
          <w:u w:val="single"/>
        </w:rPr>
      </w:pPr>
      <w:r w:rsidRPr="009358C5">
        <w:rPr>
          <w:b/>
          <w:bCs/>
          <w:u w:val="single"/>
        </w:rPr>
        <w:t>CBDA</w:t>
      </w:r>
    </w:p>
    <w:p w:rsidR="00121434" w:rsidRDefault="00121434" w:rsidP="007252E7">
      <w:pPr>
        <w:spacing w:before="240"/>
        <w:jc w:val="both"/>
      </w:pPr>
      <w:r>
        <w:t xml:space="preserve">The CBDA has not concluded any commercial contracts with (i) the government of the Russian Federation and/or (ii) any other entity based in the Russian Federation since 1 April 2017;. </w:t>
      </w:r>
      <w:r>
        <w:rPr>
          <w:b/>
          <w:bCs/>
        </w:rPr>
        <w:t>if not</w:t>
      </w:r>
      <w:r>
        <w:t>, our position in this regard is that the cooperative sector is not driven by external demands to engage commercially with the government of the Russian Federation.</w:t>
      </w:r>
      <w:r>
        <w:tab/>
      </w:r>
      <w:r>
        <w:tab/>
      </w:r>
      <w:r>
        <w:tab/>
      </w:r>
      <w:r>
        <w:tab/>
      </w:r>
      <w:r>
        <w:tab/>
      </w:r>
      <w:r>
        <w:rPr>
          <w:b/>
          <w:lang w:val="en-GB"/>
        </w:rPr>
        <w:tab/>
      </w:r>
      <w:r>
        <w:rPr>
          <w:b/>
          <w:lang w:val="en-GB"/>
        </w:rPr>
        <w:tab/>
      </w:r>
      <w:r>
        <w:rPr>
          <w:b/>
          <w:lang w:val="en-GB"/>
        </w:rPr>
        <w:tab/>
      </w:r>
      <w:r>
        <w:rPr>
          <w:b/>
          <w:lang w:val="en-GB"/>
        </w:rPr>
        <w:tab/>
      </w:r>
    </w:p>
    <w:p w:rsidR="00121434" w:rsidRPr="009358C5" w:rsidRDefault="00121434" w:rsidP="009358C5">
      <w:pPr>
        <w:pStyle w:val="ListParagraph"/>
        <w:numPr>
          <w:ilvl w:val="0"/>
          <w:numId w:val="23"/>
        </w:numPr>
        <w:pBdr>
          <w:top w:val="single" w:sz="4" w:space="1" w:color="auto"/>
        </w:pBdr>
        <w:spacing w:before="100" w:beforeAutospacing="1" w:after="100" w:afterAutospacing="1" w:line="276" w:lineRule="auto"/>
        <w:jc w:val="both"/>
        <w:outlineLvl w:val="0"/>
        <w:rPr>
          <w:b/>
          <w:bCs/>
          <w:u w:val="single"/>
        </w:rPr>
      </w:pPr>
      <w:r w:rsidRPr="009358C5">
        <w:rPr>
          <w:b/>
          <w:bCs/>
          <w:u w:val="single"/>
        </w:rPr>
        <w:t>DBSA</w:t>
      </w:r>
    </w:p>
    <w:p w:rsidR="00121434" w:rsidRPr="00F40269" w:rsidRDefault="00121434" w:rsidP="00121434">
      <w:pPr>
        <w:tabs>
          <w:tab w:val="left" w:pos="432"/>
          <w:tab w:val="left" w:pos="864"/>
        </w:tabs>
        <w:spacing w:line="276" w:lineRule="auto"/>
        <w:rPr>
          <w:rFonts w:ascii="Arial" w:hAnsi="Arial" w:cs="Arial"/>
        </w:rPr>
      </w:pPr>
      <w:r>
        <w:rPr>
          <w:rFonts w:ascii="Arial" w:hAnsi="Arial" w:cs="Arial"/>
          <w:b/>
        </w:rPr>
        <w:t>(</w:t>
      </w:r>
      <w:r w:rsidRPr="00F40269">
        <w:rPr>
          <w:rFonts w:ascii="Arial" w:hAnsi="Arial" w:cs="Arial"/>
        </w:rPr>
        <w:t xml:space="preserve">a/b) (i) </w:t>
      </w:r>
      <w:r>
        <w:rPr>
          <w:rFonts w:ascii="Arial" w:hAnsi="Arial" w:cs="Arial"/>
        </w:rPr>
        <w:tab/>
      </w:r>
      <w:r>
        <w:rPr>
          <w:rFonts w:ascii="Arial" w:hAnsi="Arial" w:cs="Arial"/>
        </w:rPr>
        <w:tab/>
      </w:r>
      <w:r w:rsidRPr="00F40269">
        <w:rPr>
          <w:rFonts w:ascii="Arial" w:hAnsi="Arial" w:cs="Arial"/>
        </w:rPr>
        <w:t>None</w:t>
      </w:r>
    </w:p>
    <w:p w:rsidR="00121434" w:rsidRPr="00F40269" w:rsidRDefault="00121434" w:rsidP="00121434">
      <w:pPr>
        <w:tabs>
          <w:tab w:val="left" w:pos="432"/>
          <w:tab w:val="left" w:pos="864"/>
        </w:tabs>
        <w:spacing w:line="276" w:lineRule="auto"/>
        <w:rPr>
          <w:rFonts w:ascii="Arial" w:hAnsi="Arial" w:cs="Arial"/>
        </w:rPr>
      </w:pPr>
      <w:r w:rsidRPr="00F40269">
        <w:rPr>
          <w:rFonts w:ascii="Arial" w:hAnsi="Arial" w:cs="Arial"/>
        </w:rPr>
        <w:t>(ii)</w:t>
      </w:r>
      <w:r w:rsidRPr="00F40269">
        <w:rPr>
          <w:rFonts w:ascii="Arial" w:hAnsi="Arial" w:cs="Arial"/>
        </w:rPr>
        <w:tab/>
      </w:r>
      <w:r w:rsidRPr="00F40269">
        <w:rPr>
          <w:rFonts w:ascii="Arial" w:hAnsi="Arial" w:cs="Arial"/>
        </w:rPr>
        <w:tab/>
      </w:r>
      <w:r>
        <w:rPr>
          <w:rFonts w:ascii="Arial" w:hAnsi="Arial" w:cs="Arial"/>
        </w:rPr>
        <w:tab/>
      </w:r>
      <w:r w:rsidRPr="00F40269">
        <w:rPr>
          <w:rFonts w:ascii="Arial" w:hAnsi="Arial" w:cs="Arial"/>
        </w:rPr>
        <w:t>None</w:t>
      </w:r>
    </w:p>
    <w:p w:rsidR="00121434" w:rsidRPr="00F40269" w:rsidRDefault="00121434" w:rsidP="00121434">
      <w:pPr>
        <w:tabs>
          <w:tab w:val="left" w:pos="432"/>
          <w:tab w:val="left" w:pos="864"/>
        </w:tabs>
        <w:spacing w:line="276" w:lineRule="auto"/>
        <w:rPr>
          <w:rFonts w:ascii="Arial" w:hAnsi="Arial" w:cs="Arial"/>
        </w:rPr>
      </w:pPr>
      <w:r w:rsidRPr="00F40269">
        <w:rPr>
          <w:rFonts w:ascii="Arial" w:hAnsi="Arial" w:cs="Arial"/>
        </w:rPr>
        <w:t>(ii)</w:t>
      </w:r>
      <w:r w:rsidRPr="00F40269">
        <w:rPr>
          <w:rFonts w:ascii="Arial" w:hAnsi="Arial" w:cs="Arial"/>
        </w:rPr>
        <w:tab/>
        <w:t>(</w:t>
      </w:r>
      <w:r>
        <w:rPr>
          <w:rFonts w:ascii="Arial" w:hAnsi="Arial" w:cs="Arial"/>
        </w:rPr>
        <w:t>aa</w:t>
      </w:r>
      <w:r w:rsidRPr="00F40269">
        <w:rPr>
          <w:rFonts w:ascii="Arial" w:hAnsi="Arial" w:cs="Arial"/>
        </w:rPr>
        <w:t>)</w:t>
      </w:r>
      <w:r>
        <w:rPr>
          <w:rFonts w:ascii="Arial" w:hAnsi="Arial" w:cs="Arial"/>
        </w:rPr>
        <w:tab/>
      </w:r>
      <w:r w:rsidRPr="00F40269">
        <w:rPr>
          <w:rFonts w:ascii="Arial" w:hAnsi="Arial" w:cs="Arial"/>
        </w:rPr>
        <w:tab/>
        <w:t>None</w:t>
      </w:r>
    </w:p>
    <w:p w:rsidR="00121434" w:rsidRPr="00F40269" w:rsidRDefault="00121434" w:rsidP="00121434">
      <w:pPr>
        <w:tabs>
          <w:tab w:val="left" w:pos="432"/>
          <w:tab w:val="left" w:pos="864"/>
        </w:tabs>
        <w:spacing w:line="276" w:lineRule="auto"/>
        <w:rPr>
          <w:rFonts w:ascii="Arial" w:hAnsi="Arial" w:cs="Arial"/>
        </w:rPr>
      </w:pPr>
      <w:r w:rsidRPr="00F40269">
        <w:rPr>
          <w:rFonts w:ascii="Arial" w:hAnsi="Arial" w:cs="Arial"/>
        </w:rPr>
        <w:t>(ii)</w:t>
      </w:r>
      <w:r w:rsidRPr="00F40269">
        <w:rPr>
          <w:rFonts w:ascii="Arial" w:hAnsi="Arial" w:cs="Arial"/>
        </w:rPr>
        <w:tab/>
      </w:r>
      <w:r>
        <w:rPr>
          <w:rFonts w:ascii="Arial" w:hAnsi="Arial" w:cs="Arial"/>
        </w:rPr>
        <w:t>(bb)</w:t>
      </w:r>
      <w:r>
        <w:rPr>
          <w:rFonts w:ascii="Arial" w:hAnsi="Arial" w:cs="Arial"/>
        </w:rPr>
        <w:tab/>
      </w:r>
      <w:r w:rsidRPr="00F40269">
        <w:rPr>
          <w:rFonts w:ascii="Arial" w:hAnsi="Arial" w:cs="Arial"/>
        </w:rPr>
        <w:tab/>
        <w:t>N</w:t>
      </w:r>
      <w:r>
        <w:rPr>
          <w:rFonts w:ascii="Arial" w:hAnsi="Arial" w:cs="Arial"/>
        </w:rPr>
        <w:t>/A</w:t>
      </w:r>
    </w:p>
    <w:p w:rsidR="00121434" w:rsidRPr="00F40269" w:rsidRDefault="00121434" w:rsidP="00121434">
      <w:pPr>
        <w:tabs>
          <w:tab w:val="left" w:pos="432"/>
          <w:tab w:val="left" w:pos="864"/>
        </w:tabs>
        <w:spacing w:line="276" w:lineRule="auto"/>
        <w:rPr>
          <w:rFonts w:ascii="Arial" w:hAnsi="Arial" w:cs="Arial"/>
        </w:rPr>
      </w:pPr>
      <w:r w:rsidRPr="00F40269">
        <w:rPr>
          <w:rFonts w:ascii="Arial" w:hAnsi="Arial" w:cs="Arial"/>
        </w:rPr>
        <w:t>(i</w:t>
      </w:r>
      <w:r>
        <w:rPr>
          <w:rFonts w:ascii="Arial" w:hAnsi="Arial" w:cs="Arial"/>
        </w:rPr>
        <w:t>i</w:t>
      </w:r>
      <w:r w:rsidRPr="00F40269">
        <w:rPr>
          <w:rFonts w:ascii="Arial" w:hAnsi="Arial" w:cs="Arial"/>
        </w:rPr>
        <w:t>)</w:t>
      </w:r>
      <w:r w:rsidRPr="00F40269">
        <w:rPr>
          <w:rFonts w:ascii="Arial" w:hAnsi="Arial" w:cs="Arial"/>
        </w:rPr>
        <w:tab/>
        <w:t>(</w:t>
      </w:r>
      <w:r>
        <w:rPr>
          <w:rFonts w:ascii="Arial" w:hAnsi="Arial" w:cs="Arial"/>
        </w:rPr>
        <w:t>cc</w:t>
      </w:r>
      <w:r w:rsidRPr="00F40269">
        <w:rPr>
          <w:rFonts w:ascii="Arial" w:hAnsi="Arial" w:cs="Arial"/>
        </w:rPr>
        <w:t>)</w:t>
      </w:r>
      <w:r w:rsidRPr="00F40269">
        <w:rPr>
          <w:rFonts w:ascii="Arial" w:hAnsi="Arial" w:cs="Arial"/>
        </w:rPr>
        <w:tab/>
      </w:r>
      <w:r w:rsidRPr="00F40269">
        <w:rPr>
          <w:rFonts w:ascii="Arial" w:hAnsi="Arial" w:cs="Arial"/>
        </w:rPr>
        <w:tab/>
        <w:t>N</w:t>
      </w:r>
      <w:r>
        <w:rPr>
          <w:rFonts w:ascii="Arial" w:hAnsi="Arial" w:cs="Arial"/>
        </w:rPr>
        <w:t>/A</w:t>
      </w:r>
    </w:p>
    <w:p w:rsidR="00121434" w:rsidRDefault="00121434" w:rsidP="00121434">
      <w:pPr>
        <w:tabs>
          <w:tab w:val="left" w:pos="432"/>
          <w:tab w:val="left" w:pos="864"/>
        </w:tabs>
        <w:spacing w:line="276" w:lineRule="auto"/>
        <w:rPr>
          <w:rFonts w:ascii="Arial" w:hAnsi="Arial" w:cs="Arial"/>
        </w:rPr>
      </w:pPr>
      <w:r w:rsidRPr="00F40269">
        <w:rPr>
          <w:rFonts w:ascii="Arial" w:hAnsi="Arial" w:cs="Arial"/>
        </w:rPr>
        <w:t>(i</w:t>
      </w:r>
      <w:r>
        <w:rPr>
          <w:rFonts w:ascii="Arial" w:hAnsi="Arial" w:cs="Arial"/>
        </w:rPr>
        <w:t>i</w:t>
      </w:r>
      <w:r w:rsidRPr="00F40269">
        <w:rPr>
          <w:rFonts w:ascii="Arial" w:hAnsi="Arial" w:cs="Arial"/>
        </w:rPr>
        <w:t>)</w:t>
      </w:r>
      <w:r w:rsidRPr="00F40269">
        <w:rPr>
          <w:rFonts w:ascii="Arial" w:hAnsi="Arial" w:cs="Arial"/>
        </w:rPr>
        <w:tab/>
        <w:t>(</w:t>
      </w:r>
      <w:r>
        <w:rPr>
          <w:rFonts w:ascii="Arial" w:hAnsi="Arial" w:cs="Arial"/>
        </w:rPr>
        <w:t>dd</w:t>
      </w:r>
      <w:r w:rsidRPr="00F40269">
        <w:rPr>
          <w:rFonts w:ascii="Arial" w:hAnsi="Arial" w:cs="Arial"/>
        </w:rPr>
        <w:t>)</w:t>
      </w:r>
      <w:r w:rsidRPr="00F40269">
        <w:rPr>
          <w:rFonts w:ascii="Arial" w:hAnsi="Arial" w:cs="Arial"/>
        </w:rPr>
        <w:tab/>
      </w:r>
      <w:r>
        <w:rPr>
          <w:rFonts w:ascii="Arial" w:hAnsi="Arial" w:cs="Arial"/>
        </w:rPr>
        <w:tab/>
        <w:t>N</w:t>
      </w:r>
      <w:r w:rsidRPr="00F40269">
        <w:rPr>
          <w:rFonts w:ascii="Arial" w:hAnsi="Arial" w:cs="Arial"/>
        </w:rPr>
        <w:t>one</w:t>
      </w:r>
    </w:p>
    <w:p w:rsidR="00121434" w:rsidRPr="00F40269" w:rsidRDefault="00121434" w:rsidP="00121434">
      <w:pPr>
        <w:tabs>
          <w:tab w:val="left" w:pos="432"/>
          <w:tab w:val="left" w:pos="864"/>
        </w:tabs>
        <w:spacing w:line="276" w:lineRule="auto"/>
        <w:rPr>
          <w:rFonts w:ascii="Arial" w:hAnsi="Arial" w:cs="Arial"/>
        </w:rPr>
      </w:pPr>
      <w:r>
        <w:rPr>
          <w:rFonts w:ascii="Arial" w:hAnsi="Arial" w:cs="Arial"/>
        </w:rPr>
        <w:t xml:space="preserve">(ii) </w:t>
      </w:r>
      <w:r>
        <w:rPr>
          <w:rFonts w:ascii="Arial" w:hAnsi="Arial" w:cs="Arial"/>
        </w:rPr>
        <w:tab/>
        <w:t xml:space="preserve">(ee) </w:t>
      </w:r>
      <w:r>
        <w:rPr>
          <w:rFonts w:ascii="Arial" w:hAnsi="Arial" w:cs="Arial"/>
        </w:rPr>
        <w:tab/>
        <w:t>N/A</w:t>
      </w:r>
    </w:p>
    <w:p w:rsidR="00121434" w:rsidRDefault="00121434" w:rsidP="00BC286E">
      <w:pPr>
        <w:pBdr>
          <w:top w:val="single" w:sz="4" w:space="1" w:color="auto"/>
        </w:pBdr>
        <w:spacing w:before="100" w:beforeAutospacing="1" w:after="100" w:afterAutospacing="1" w:line="276" w:lineRule="auto"/>
        <w:jc w:val="both"/>
        <w:outlineLvl w:val="0"/>
        <w:rPr>
          <w:b/>
          <w:bCs/>
          <w:u w:val="single"/>
        </w:rPr>
      </w:pPr>
    </w:p>
    <w:p w:rsidR="002F3C22" w:rsidRDefault="002F3C22" w:rsidP="00BC286E">
      <w:pPr>
        <w:pBdr>
          <w:top w:val="single" w:sz="4" w:space="1" w:color="auto"/>
        </w:pBdr>
        <w:spacing w:before="100" w:beforeAutospacing="1" w:after="100" w:afterAutospacing="1" w:line="276" w:lineRule="auto"/>
        <w:jc w:val="both"/>
        <w:outlineLvl w:val="0"/>
        <w:rPr>
          <w:b/>
          <w:bCs/>
          <w:u w:val="single"/>
        </w:rPr>
      </w:pPr>
    </w:p>
    <w:p w:rsidR="00121434" w:rsidRPr="009358C5" w:rsidRDefault="00121434" w:rsidP="009358C5">
      <w:pPr>
        <w:pStyle w:val="ListParagraph"/>
        <w:numPr>
          <w:ilvl w:val="0"/>
          <w:numId w:val="23"/>
        </w:numPr>
        <w:pBdr>
          <w:top w:val="single" w:sz="4" w:space="1" w:color="auto"/>
        </w:pBdr>
        <w:spacing w:before="100" w:beforeAutospacing="1" w:after="100" w:afterAutospacing="1" w:line="276" w:lineRule="auto"/>
        <w:jc w:val="both"/>
        <w:outlineLvl w:val="0"/>
        <w:rPr>
          <w:b/>
          <w:bCs/>
          <w:u w:val="single"/>
        </w:rPr>
      </w:pPr>
      <w:r w:rsidRPr="009358C5">
        <w:rPr>
          <w:b/>
          <w:bCs/>
          <w:u w:val="single"/>
        </w:rPr>
        <w:lastRenderedPageBreak/>
        <w:t>FIC</w:t>
      </w:r>
    </w:p>
    <w:p w:rsidR="00121434" w:rsidRDefault="00121434" w:rsidP="00121434">
      <w:pPr>
        <w:spacing w:before="100" w:beforeAutospacing="1" w:after="100" w:afterAutospacing="1" w:line="276" w:lineRule="auto"/>
        <w:jc w:val="both"/>
        <w:outlineLvl w:val="0"/>
      </w:pPr>
      <w:r>
        <w:rPr>
          <w:bCs/>
          <w:sz w:val="22"/>
          <w:szCs w:val="22"/>
        </w:rPr>
        <w:t xml:space="preserve">(b) </w:t>
      </w:r>
      <w:r w:rsidRPr="00630D49">
        <w:rPr>
          <w:bCs/>
          <w:sz w:val="22"/>
          <w:szCs w:val="22"/>
        </w:rPr>
        <w:t>The F</w:t>
      </w:r>
      <w:r>
        <w:rPr>
          <w:bCs/>
          <w:sz w:val="22"/>
          <w:szCs w:val="22"/>
        </w:rPr>
        <w:t>inancial Intelligence Centre</w:t>
      </w:r>
      <w:r w:rsidRPr="00630D49">
        <w:rPr>
          <w:bCs/>
          <w:sz w:val="22"/>
          <w:szCs w:val="22"/>
        </w:rPr>
        <w:t xml:space="preserve"> </w:t>
      </w:r>
      <w:r>
        <w:rPr>
          <w:bCs/>
          <w:sz w:val="22"/>
          <w:szCs w:val="22"/>
        </w:rPr>
        <w:t xml:space="preserve">(FIC) </w:t>
      </w:r>
      <w:r w:rsidRPr="00630D49">
        <w:rPr>
          <w:bCs/>
          <w:sz w:val="22"/>
          <w:szCs w:val="22"/>
        </w:rPr>
        <w:t>did not</w:t>
      </w:r>
      <w:r>
        <w:rPr>
          <w:b/>
          <w:sz w:val="22"/>
          <w:szCs w:val="22"/>
        </w:rPr>
        <w:t xml:space="preserve"> </w:t>
      </w:r>
      <w:r>
        <w:t>conclude any commercial contract with:</w:t>
      </w:r>
    </w:p>
    <w:p w:rsidR="00121434" w:rsidRDefault="00121434" w:rsidP="00121434">
      <w:pPr>
        <w:pStyle w:val="ListParagraph"/>
        <w:numPr>
          <w:ilvl w:val="0"/>
          <w:numId w:val="21"/>
        </w:numPr>
        <w:spacing w:before="100" w:beforeAutospacing="1" w:after="100" w:afterAutospacing="1" w:line="276" w:lineRule="auto"/>
        <w:jc w:val="both"/>
        <w:outlineLvl w:val="0"/>
      </w:pPr>
      <w:r>
        <w:t xml:space="preserve">the government of the Russian Federation and/or </w:t>
      </w:r>
    </w:p>
    <w:p w:rsidR="00121434" w:rsidRDefault="00121434" w:rsidP="00121434">
      <w:pPr>
        <w:pStyle w:val="ListParagraph"/>
        <w:numPr>
          <w:ilvl w:val="0"/>
          <w:numId w:val="21"/>
        </w:numPr>
        <w:spacing w:before="100" w:beforeAutospacing="1" w:after="100" w:afterAutospacing="1" w:line="276" w:lineRule="auto"/>
        <w:jc w:val="both"/>
        <w:outlineLvl w:val="0"/>
      </w:pPr>
      <w:r>
        <w:t>any other entity based in the Russian Federation since 1 April 2017 and does not intend to engage or conclude any contract with the Russian Federation in the foreseeable future.</w:t>
      </w:r>
    </w:p>
    <w:p w:rsidR="00121434" w:rsidRDefault="00121434" w:rsidP="00121434">
      <w:pPr>
        <w:pStyle w:val="ListParagraph"/>
        <w:spacing w:before="100" w:beforeAutospacing="1" w:after="100" w:afterAutospacing="1" w:line="276" w:lineRule="auto"/>
        <w:ind w:left="1080"/>
        <w:jc w:val="both"/>
        <w:outlineLvl w:val="0"/>
      </w:pPr>
      <w:r>
        <w:t>(aa) N/A</w:t>
      </w:r>
    </w:p>
    <w:p w:rsidR="00121434" w:rsidRDefault="00121434" w:rsidP="00121434">
      <w:pPr>
        <w:pStyle w:val="ListParagraph"/>
        <w:spacing w:before="100" w:beforeAutospacing="1" w:after="100" w:afterAutospacing="1" w:line="276" w:lineRule="auto"/>
        <w:ind w:left="1080"/>
        <w:jc w:val="both"/>
        <w:outlineLvl w:val="0"/>
      </w:pPr>
      <w:r>
        <w:t>(</w:t>
      </w:r>
      <w:r w:rsidRPr="00986153">
        <w:rPr>
          <w:lang w:val="en-GB"/>
        </w:rPr>
        <w:t>bb</w:t>
      </w:r>
      <w:r>
        <w:t>) N/A</w:t>
      </w:r>
    </w:p>
    <w:p w:rsidR="00121434" w:rsidRDefault="00121434" w:rsidP="00121434">
      <w:pPr>
        <w:pStyle w:val="ListParagraph"/>
        <w:spacing w:before="100" w:beforeAutospacing="1" w:after="100" w:afterAutospacing="1" w:line="276" w:lineRule="auto"/>
        <w:ind w:left="1080"/>
        <w:jc w:val="both"/>
        <w:outlineLvl w:val="0"/>
      </w:pPr>
      <w:r>
        <w:t xml:space="preserve">(cc) N/A </w:t>
      </w:r>
    </w:p>
    <w:p w:rsidR="00121434" w:rsidRDefault="00121434" w:rsidP="00121434">
      <w:pPr>
        <w:pStyle w:val="ListParagraph"/>
        <w:spacing w:before="100" w:beforeAutospacing="1" w:after="100" w:afterAutospacing="1" w:line="276" w:lineRule="auto"/>
        <w:ind w:left="1080"/>
        <w:jc w:val="both"/>
        <w:outlineLvl w:val="0"/>
      </w:pPr>
      <w:r>
        <w:t xml:space="preserve">(dd) N/A </w:t>
      </w:r>
    </w:p>
    <w:p w:rsidR="00121434" w:rsidRPr="00986153" w:rsidRDefault="00121434" w:rsidP="00121434">
      <w:pPr>
        <w:pStyle w:val="ListParagraph"/>
        <w:spacing w:before="100" w:beforeAutospacing="1" w:after="100" w:afterAutospacing="1" w:line="276" w:lineRule="auto"/>
        <w:ind w:left="1080"/>
        <w:jc w:val="both"/>
        <w:outlineLvl w:val="0"/>
        <w:rPr>
          <w:b/>
          <w:sz w:val="22"/>
          <w:szCs w:val="22"/>
        </w:rPr>
      </w:pPr>
      <w:r>
        <w:t>(ee) N/A</w:t>
      </w:r>
    </w:p>
    <w:p w:rsidR="00121434" w:rsidRPr="009358C5" w:rsidRDefault="00121434" w:rsidP="00BC286E">
      <w:pPr>
        <w:pStyle w:val="ListParagraph"/>
        <w:numPr>
          <w:ilvl w:val="0"/>
          <w:numId w:val="23"/>
        </w:numPr>
        <w:pBdr>
          <w:top w:val="single" w:sz="4" w:space="1" w:color="auto"/>
        </w:pBdr>
        <w:spacing w:before="100" w:beforeAutospacing="1" w:after="100" w:afterAutospacing="1" w:line="276" w:lineRule="auto"/>
        <w:jc w:val="both"/>
        <w:outlineLvl w:val="0"/>
        <w:rPr>
          <w:b/>
          <w:bCs/>
          <w:u w:val="single"/>
        </w:rPr>
      </w:pPr>
      <w:r w:rsidRPr="009358C5">
        <w:rPr>
          <w:b/>
          <w:bCs/>
          <w:u w:val="single"/>
        </w:rPr>
        <w:t>FSCA</w:t>
      </w:r>
    </w:p>
    <w:p w:rsidR="00121434" w:rsidRDefault="00121434" w:rsidP="00121434">
      <w:pPr>
        <w:pStyle w:val="ListParagraph"/>
        <w:numPr>
          <w:ilvl w:val="0"/>
          <w:numId w:val="22"/>
        </w:numPr>
        <w:spacing w:before="100" w:beforeAutospacing="1" w:after="100" w:afterAutospacing="1" w:line="276" w:lineRule="auto"/>
        <w:jc w:val="both"/>
        <w:outlineLvl w:val="0"/>
        <w:rPr>
          <w:bCs/>
          <w:sz w:val="22"/>
          <w:szCs w:val="22"/>
        </w:rPr>
      </w:pPr>
      <w:r w:rsidRPr="0001394D">
        <w:rPr>
          <w:bCs/>
          <w:sz w:val="22"/>
          <w:szCs w:val="22"/>
        </w:rPr>
        <w:t xml:space="preserve">There are no commercial contracts concluded by the Financial Sector Conduct Authority with the government of the Russian Federation or with entities based in the Russian Federation since 1 April 2017. </w:t>
      </w:r>
    </w:p>
    <w:p w:rsidR="00E665AF" w:rsidRPr="0001394D" w:rsidRDefault="00E665AF" w:rsidP="00E665AF">
      <w:pPr>
        <w:pStyle w:val="ListParagraph"/>
        <w:spacing w:before="100" w:beforeAutospacing="1" w:after="100" w:afterAutospacing="1" w:line="276" w:lineRule="auto"/>
        <w:jc w:val="both"/>
        <w:outlineLvl w:val="0"/>
        <w:rPr>
          <w:bCs/>
          <w:sz w:val="22"/>
          <w:szCs w:val="22"/>
        </w:rPr>
      </w:pPr>
    </w:p>
    <w:p w:rsidR="00E665AF" w:rsidRDefault="00E665AF" w:rsidP="00E665AF">
      <w:pPr>
        <w:pStyle w:val="ListParagraph"/>
        <w:numPr>
          <w:ilvl w:val="0"/>
          <w:numId w:val="23"/>
        </w:numPr>
        <w:pBdr>
          <w:top w:val="single" w:sz="4" w:space="1" w:color="auto"/>
        </w:pBdr>
        <w:spacing w:before="100" w:beforeAutospacing="1" w:after="100" w:afterAutospacing="1" w:line="276" w:lineRule="auto"/>
        <w:jc w:val="both"/>
        <w:outlineLvl w:val="0"/>
        <w:rPr>
          <w:b/>
          <w:bCs/>
          <w:u w:val="single"/>
        </w:rPr>
      </w:pPr>
      <w:r>
        <w:rPr>
          <w:b/>
          <w:bCs/>
          <w:u w:val="single"/>
        </w:rPr>
        <w:t>GEPF</w:t>
      </w:r>
    </w:p>
    <w:p w:rsidR="00E665AF" w:rsidRPr="00E665AF" w:rsidRDefault="00E665AF" w:rsidP="00E665AF">
      <w:pPr>
        <w:spacing w:before="100" w:beforeAutospacing="1" w:after="100" w:afterAutospacing="1" w:line="276" w:lineRule="auto"/>
        <w:jc w:val="both"/>
        <w:outlineLvl w:val="0"/>
      </w:pPr>
      <w:r w:rsidRPr="00E665AF">
        <w:t>The GEPF did not conclude any commercial contracts with the government of the Russian Federation or any other entity based in the Russian Federation.</w:t>
      </w:r>
    </w:p>
    <w:p w:rsidR="00E665AF" w:rsidRPr="00E665AF" w:rsidRDefault="00E665AF" w:rsidP="00E665AF">
      <w:pPr>
        <w:spacing w:before="100" w:beforeAutospacing="1" w:after="100" w:afterAutospacing="1" w:line="276" w:lineRule="auto"/>
        <w:jc w:val="both"/>
        <w:outlineLvl w:val="0"/>
      </w:pPr>
      <w:r w:rsidRPr="00E665AF">
        <w:t>The rest of the question falls away.</w:t>
      </w:r>
    </w:p>
    <w:p w:rsidR="00121434" w:rsidRPr="009358C5" w:rsidRDefault="0001394D" w:rsidP="00E665AF">
      <w:pPr>
        <w:pStyle w:val="ListParagraph"/>
        <w:numPr>
          <w:ilvl w:val="0"/>
          <w:numId w:val="23"/>
        </w:numPr>
        <w:pBdr>
          <w:top w:val="single" w:sz="4" w:space="1" w:color="auto"/>
        </w:pBdr>
        <w:spacing w:before="100" w:beforeAutospacing="1" w:after="100" w:afterAutospacing="1" w:line="276" w:lineRule="auto"/>
        <w:jc w:val="both"/>
        <w:outlineLvl w:val="0"/>
        <w:rPr>
          <w:b/>
          <w:bCs/>
          <w:u w:val="single"/>
        </w:rPr>
      </w:pPr>
      <w:r w:rsidRPr="009358C5">
        <w:rPr>
          <w:b/>
          <w:bCs/>
          <w:u w:val="single"/>
        </w:rPr>
        <w:t>GPAA</w:t>
      </w:r>
      <w:r w:rsidR="009358C5" w:rsidRPr="009358C5">
        <w:rPr>
          <w:b/>
          <w:bCs/>
          <w:u w:val="single"/>
        </w:rPr>
        <w:t xml:space="preserve"> </w:t>
      </w:r>
    </w:p>
    <w:p w:rsidR="0001394D" w:rsidRDefault="0001394D" w:rsidP="00E665AF">
      <w:pPr>
        <w:spacing w:before="100" w:beforeAutospacing="1" w:after="100" w:afterAutospacing="1" w:line="276" w:lineRule="auto"/>
        <w:jc w:val="both"/>
        <w:outlineLvl w:val="0"/>
        <w:rPr>
          <w:bCs/>
          <w:sz w:val="22"/>
          <w:szCs w:val="22"/>
        </w:rPr>
      </w:pPr>
      <w:r w:rsidRPr="0001394D">
        <w:rPr>
          <w:bCs/>
          <w:sz w:val="22"/>
          <w:szCs w:val="22"/>
        </w:rPr>
        <w:t>The GPAA, have no commercial contracts(i), with the government of the Russian Federation or any other Entity based in the Russian Federation (ii) since 1 April 2017.</w:t>
      </w:r>
    </w:p>
    <w:p w:rsidR="0001394D" w:rsidRPr="009358C5" w:rsidRDefault="0001394D" w:rsidP="00E665AF">
      <w:pPr>
        <w:pStyle w:val="ListParagraph"/>
        <w:numPr>
          <w:ilvl w:val="0"/>
          <w:numId w:val="23"/>
        </w:numPr>
        <w:pBdr>
          <w:top w:val="single" w:sz="4" w:space="1" w:color="auto"/>
        </w:pBdr>
        <w:spacing w:before="100" w:beforeAutospacing="1" w:after="100" w:afterAutospacing="1" w:line="276" w:lineRule="auto"/>
        <w:jc w:val="both"/>
        <w:outlineLvl w:val="0"/>
        <w:rPr>
          <w:b/>
          <w:bCs/>
          <w:u w:val="single"/>
        </w:rPr>
      </w:pPr>
      <w:r w:rsidRPr="009358C5">
        <w:rPr>
          <w:b/>
          <w:bCs/>
          <w:u w:val="single"/>
        </w:rPr>
        <w:t>GTAC</w:t>
      </w:r>
    </w:p>
    <w:p w:rsidR="0001394D" w:rsidRPr="00735D7F" w:rsidRDefault="0001394D" w:rsidP="007252E7">
      <w:pPr>
        <w:spacing w:before="100" w:beforeAutospacing="1" w:after="100" w:afterAutospacing="1" w:line="276" w:lineRule="auto"/>
        <w:jc w:val="both"/>
        <w:outlineLvl w:val="0"/>
      </w:pPr>
      <w:r w:rsidRPr="00EE597E">
        <w:t>GTAC has had no contracts with the government of Russia or any entity based in the Russian Federation since 1 April 2017.</w:t>
      </w:r>
    </w:p>
    <w:p w:rsidR="0001394D" w:rsidRPr="009358C5" w:rsidRDefault="0001394D" w:rsidP="009358C5">
      <w:pPr>
        <w:pStyle w:val="ListParagraph"/>
        <w:numPr>
          <w:ilvl w:val="0"/>
          <w:numId w:val="23"/>
        </w:numPr>
        <w:pBdr>
          <w:top w:val="single" w:sz="4" w:space="1" w:color="auto"/>
        </w:pBdr>
        <w:spacing w:before="100" w:beforeAutospacing="1" w:after="100" w:afterAutospacing="1" w:line="276" w:lineRule="auto"/>
        <w:jc w:val="both"/>
        <w:outlineLvl w:val="0"/>
        <w:rPr>
          <w:b/>
          <w:bCs/>
          <w:u w:val="single"/>
        </w:rPr>
      </w:pPr>
      <w:r w:rsidRPr="009358C5">
        <w:rPr>
          <w:b/>
          <w:bCs/>
          <w:u w:val="single"/>
        </w:rPr>
        <w:t>IRBA</w:t>
      </w:r>
    </w:p>
    <w:p w:rsidR="0001394D" w:rsidRPr="0001394D" w:rsidRDefault="0001394D" w:rsidP="0001394D">
      <w:pPr>
        <w:spacing w:before="100" w:beforeAutospacing="1" w:after="100" w:afterAutospacing="1" w:line="276" w:lineRule="auto"/>
        <w:jc w:val="both"/>
        <w:outlineLvl w:val="0"/>
        <w:rPr>
          <w:bCs/>
        </w:rPr>
      </w:pPr>
      <w:r w:rsidRPr="0001394D">
        <w:rPr>
          <w:bCs/>
        </w:rPr>
        <w:t xml:space="preserve">The Independent Regulatory Board for Auditors (IRBA) has no commercial Contracts with the Russian Federation and/or any other entity based in the Russian Federation. </w:t>
      </w:r>
    </w:p>
    <w:p w:rsidR="0001394D" w:rsidRDefault="0001394D" w:rsidP="0001394D">
      <w:pPr>
        <w:autoSpaceDE w:val="0"/>
        <w:autoSpaceDN w:val="0"/>
        <w:adjustRightInd w:val="0"/>
        <w:rPr>
          <w:rFonts w:ascii="Helvetica" w:hAnsi="Helvetica" w:cs="Helvetica"/>
          <w:color w:val="000000"/>
          <w:sz w:val="21"/>
          <w:szCs w:val="21"/>
          <w:lang w:val="en-ZA" w:eastAsia="en-ZA"/>
        </w:rPr>
      </w:pPr>
      <w:r w:rsidRPr="0001394D">
        <w:rPr>
          <w:color w:val="000000"/>
          <w:lang w:val="en-ZA" w:eastAsia="en-ZA"/>
        </w:rPr>
        <w:t>As an audit regulator, the IRBA has taken a neutral stance on the conflict, but we recognise the risks and impact of the conflict on our registered auditors that audit South African companies that do business or are affiliated with companies that operate in Russia and Ukraine</w:t>
      </w:r>
      <w:r>
        <w:rPr>
          <w:rFonts w:ascii="Helvetica" w:hAnsi="Helvetica" w:cs="Helvetica"/>
          <w:color w:val="000000"/>
          <w:sz w:val="21"/>
          <w:szCs w:val="21"/>
          <w:lang w:val="en-ZA" w:eastAsia="en-ZA"/>
        </w:rPr>
        <w:t>.</w:t>
      </w:r>
    </w:p>
    <w:p w:rsidR="0001394D" w:rsidRDefault="0001394D" w:rsidP="0001394D">
      <w:pPr>
        <w:autoSpaceDE w:val="0"/>
        <w:autoSpaceDN w:val="0"/>
        <w:adjustRightInd w:val="0"/>
        <w:rPr>
          <w:rFonts w:ascii="Segoe UI" w:hAnsi="Segoe UI" w:cs="Segoe UI"/>
          <w:sz w:val="23"/>
          <w:szCs w:val="23"/>
          <w:lang w:val="en-ZA" w:eastAsia="en-ZA"/>
        </w:rPr>
      </w:pPr>
    </w:p>
    <w:p w:rsidR="0001394D" w:rsidRPr="009358C5" w:rsidRDefault="0001394D" w:rsidP="009358C5">
      <w:pPr>
        <w:pStyle w:val="ListParagraph"/>
        <w:numPr>
          <w:ilvl w:val="0"/>
          <w:numId w:val="23"/>
        </w:numPr>
        <w:pBdr>
          <w:top w:val="single" w:sz="4" w:space="1" w:color="auto"/>
        </w:pBdr>
        <w:autoSpaceDE w:val="0"/>
        <w:autoSpaceDN w:val="0"/>
        <w:adjustRightInd w:val="0"/>
        <w:rPr>
          <w:b/>
          <w:bCs/>
          <w:lang w:val="en-ZA" w:eastAsia="en-ZA"/>
        </w:rPr>
      </w:pPr>
      <w:r w:rsidRPr="009358C5">
        <w:rPr>
          <w:b/>
          <w:bCs/>
          <w:lang w:val="en-ZA" w:eastAsia="en-ZA"/>
        </w:rPr>
        <w:t>LANDBANK</w:t>
      </w:r>
    </w:p>
    <w:p w:rsidR="0001394D" w:rsidRDefault="0001394D" w:rsidP="0001394D">
      <w:pPr>
        <w:pBdr>
          <w:top w:val="single" w:sz="4" w:space="1" w:color="auto"/>
        </w:pBdr>
        <w:autoSpaceDE w:val="0"/>
        <w:autoSpaceDN w:val="0"/>
        <w:adjustRightInd w:val="0"/>
        <w:rPr>
          <w:b/>
          <w:bCs/>
          <w:sz w:val="23"/>
          <w:szCs w:val="23"/>
          <w:lang w:val="en-ZA" w:eastAsia="en-ZA"/>
        </w:rPr>
      </w:pPr>
    </w:p>
    <w:p w:rsidR="0001394D" w:rsidRPr="0001394D" w:rsidRDefault="0001394D" w:rsidP="0001394D">
      <w:pPr>
        <w:spacing w:before="100" w:beforeAutospacing="1" w:after="100" w:afterAutospacing="1" w:line="276" w:lineRule="auto"/>
        <w:jc w:val="both"/>
        <w:outlineLvl w:val="0"/>
        <w:rPr>
          <w:bCs/>
          <w:szCs w:val="22"/>
        </w:rPr>
      </w:pPr>
      <w:r w:rsidRPr="0001394D">
        <w:rPr>
          <w:bCs/>
          <w:szCs w:val="22"/>
        </w:rPr>
        <w:t>(b) (i) &amp; (ii) Neither Land Bank nor its subsidiaries have concluded any commercial contracts with the government of the Russian Federation or any other entity based in the Russian Federation since 1 April 2017 or prior to that date</w:t>
      </w:r>
    </w:p>
    <w:p w:rsidR="0001394D" w:rsidRPr="0001394D" w:rsidRDefault="0001394D" w:rsidP="0001394D">
      <w:pPr>
        <w:spacing w:before="100" w:beforeAutospacing="1" w:after="100" w:afterAutospacing="1" w:line="276" w:lineRule="auto"/>
        <w:jc w:val="both"/>
        <w:outlineLvl w:val="0"/>
        <w:rPr>
          <w:bCs/>
          <w:szCs w:val="22"/>
        </w:rPr>
      </w:pPr>
      <w:r w:rsidRPr="0001394D">
        <w:rPr>
          <w:bCs/>
          <w:szCs w:val="22"/>
        </w:rPr>
        <w:t xml:space="preserve">Land Bank does not actively seek to conduct business with international companies unless there is a very specialized service that is needed and there are no local companies that can provide these services. These instances are extremely rare. </w:t>
      </w:r>
    </w:p>
    <w:p w:rsidR="0001394D" w:rsidRPr="0001394D" w:rsidRDefault="0001394D" w:rsidP="0001394D">
      <w:pPr>
        <w:spacing w:before="100" w:beforeAutospacing="1" w:after="100" w:afterAutospacing="1" w:line="276" w:lineRule="auto"/>
        <w:jc w:val="both"/>
        <w:outlineLvl w:val="0"/>
        <w:rPr>
          <w:bCs/>
          <w:szCs w:val="22"/>
        </w:rPr>
      </w:pPr>
      <w:r w:rsidRPr="0001394D">
        <w:rPr>
          <w:bCs/>
          <w:szCs w:val="22"/>
        </w:rPr>
        <w:t>Should an international company choose to participate in an open competitive process being conducted by Land Bank, Land Bank will treat them as fairly and transparently as any other provider and ensure that all governance processes are followed in line with the prescripts of the PFMA</w:t>
      </w:r>
    </w:p>
    <w:p w:rsidR="0001394D" w:rsidRPr="009358C5" w:rsidRDefault="00A248AC" w:rsidP="009358C5">
      <w:pPr>
        <w:pStyle w:val="ListParagraph"/>
        <w:numPr>
          <w:ilvl w:val="0"/>
          <w:numId w:val="23"/>
        </w:numPr>
        <w:pBdr>
          <w:top w:val="single" w:sz="4" w:space="1" w:color="auto"/>
        </w:pBdr>
        <w:autoSpaceDE w:val="0"/>
        <w:autoSpaceDN w:val="0"/>
        <w:adjustRightInd w:val="0"/>
        <w:rPr>
          <w:b/>
          <w:bCs/>
          <w:u w:val="single"/>
          <w:lang w:val="en-ZA" w:eastAsia="en-ZA"/>
        </w:rPr>
      </w:pPr>
      <w:r w:rsidRPr="009358C5">
        <w:rPr>
          <w:b/>
          <w:bCs/>
          <w:u w:val="single"/>
          <w:lang w:val="en-ZA" w:eastAsia="en-ZA"/>
        </w:rPr>
        <w:t>OPFA</w:t>
      </w:r>
    </w:p>
    <w:p w:rsidR="00A248AC" w:rsidRDefault="00A248AC" w:rsidP="0001394D">
      <w:pPr>
        <w:pBdr>
          <w:top w:val="single" w:sz="4" w:space="1" w:color="auto"/>
        </w:pBdr>
        <w:autoSpaceDE w:val="0"/>
        <w:autoSpaceDN w:val="0"/>
        <w:adjustRightInd w:val="0"/>
        <w:rPr>
          <w:b/>
          <w:bCs/>
          <w:u w:val="single"/>
          <w:lang w:val="en-ZA" w:eastAsia="en-ZA"/>
        </w:rPr>
      </w:pPr>
    </w:p>
    <w:p w:rsidR="00A248AC" w:rsidRPr="00A248AC" w:rsidRDefault="00A248AC" w:rsidP="00A248AC">
      <w:pPr>
        <w:spacing w:before="100" w:beforeAutospacing="1" w:after="100" w:afterAutospacing="1" w:line="276" w:lineRule="auto"/>
        <w:jc w:val="both"/>
        <w:outlineLvl w:val="0"/>
      </w:pPr>
      <w:r w:rsidRPr="00A248AC">
        <w:t xml:space="preserve">The Office of the Pension Funds Adjudicator confirms that it has not concluded any commercial contract with the Russian Federation and/or any entity based in the Russian Federation since 01 April 2017. </w:t>
      </w:r>
    </w:p>
    <w:p w:rsidR="00A248AC" w:rsidRPr="009358C5" w:rsidRDefault="00A248AC" w:rsidP="009358C5">
      <w:pPr>
        <w:pStyle w:val="ListParagraph"/>
        <w:numPr>
          <w:ilvl w:val="0"/>
          <w:numId w:val="23"/>
        </w:numPr>
        <w:pBdr>
          <w:top w:val="single" w:sz="4" w:space="1" w:color="auto"/>
        </w:pBdr>
        <w:autoSpaceDE w:val="0"/>
        <w:autoSpaceDN w:val="0"/>
        <w:adjustRightInd w:val="0"/>
        <w:rPr>
          <w:b/>
          <w:bCs/>
          <w:u w:val="single"/>
          <w:lang w:val="en-ZA" w:eastAsia="en-ZA"/>
        </w:rPr>
      </w:pPr>
      <w:r w:rsidRPr="009358C5">
        <w:rPr>
          <w:b/>
          <w:bCs/>
          <w:u w:val="single"/>
          <w:lang w:val="en-ZA" w:eastAsia="en-ZA"/>
        </w:rPr>
        <w:t>PIC</w:t>
      </w:r>
    </w:p>
    <w:p w:rsidR="00A248AC" w:rsidRDefault="00A248AC" w:rsidP="0001394D">
      <w:pPr>
        <w:pBdr>
          <w:top w:val="single" w:sz="4" w:space="1" w:color="auto"/>
        </w:pBdr>
        <w:autoSpaceDE w:val="0"/>
        <w:autoSpaceDN w:val="0"/>
        <w:adjustRightInd w:val="0"/>
        <w:rPr>
          <w:b/>
          <w:bCs/>
          <w:u w:val="single"/>
          <w:lang w:val="en-ZA" w:eastAsia="en-ZA"/>
        </w:rPr>
      </w:pPr>
    </w:p>
    <w:p w:rsidR="00A248AC" w:rsidRPr="00A248AC" w:rsidRDefault="00A248AC" w:rsidP="007252E7">
      <w:pPr>
        <w:spacing w:before="100" w:beforeAutospacing="1" w:after="100" w:afterAutospacing="1" w:line="276" w:lineRule="auto"/>
        <w:ind w:firstLine="11"/>
        <w:outlineLvl w:val="0"/>
        <w:rPr>
          <w:bCs/>
        </w:rPr>
      </w:pPr>
      <w:r w:rsidRPr="00A248AC">
        <w:rPr>
          <w:bCs/>
        </w:rPr>
        <w:t>The PIC did not conclude any commercial contracts with the government of the Russian Federation or any other entity based in the Russian Federation.</w:t>
      </w:r>
    </w:p>
    <w:p w:rsidR="00A248AC" w:rsidRPr="000C3D97" w:rsidRDefault="00A248AC" w:rsidP="007252E7">
      <w:pPr>
        <w:spacing w:before="100" w:beforeAutospacing="1" w:after="100" w:afterAutospacing="1" w:line="276" w:lineRule="auto"/>
        <w:ind w:firstLine="11"/>
        <w:outlineLvl w:val="0"/>
        <w:rPr>
          <w:rFonts w:ascii="Arial" w:hAnsi="Arial" w:cs="Arial"/>
          <w:bCs/>
        </w:rPr>
      </w:pPr>
      <w:r w:rsidRPr="00A248AC">
        <w:rPr>
          <w:bCs/>
        </w:rPr>
        <w:t>The rest of the question falls away</w:t>
      </w:r>
      <w:r>
        <w:rPr>
          <w:rFonts w:ascii="Arial" w:hAnsi="Arial" w:cs="Arial"/>
          <w:bCs/>
        </w:rPr>
        <w:t>.</w:t>
      </w:r>
    </w:p>
    <w:p w:rsidR="00A248AC" w:rsidRPr="007252E7" w:rsidRDefault="00A248AC" w:rsidP="007252E7">
      <w:pPr>
        <w:pStyle w:val="ListParagraph"/>
        <w:numPr>
          <w:ilvl w:val="0"/>
          <w:numId w:val="23"/>
        </w:numPr>
        <w:pBdr>
          <w:top w:val="single" w:sz="4" w:space="1" w:color="auto"/>
        </w:pBdr>
        <w:autoSpaceDE w:val="0"/>
        <w:autoSpaceDN w:val="0"/>
        <w:adjustRightInd w:val="0"/>
        <w:rPr>
          <w:b/>
          <w:bCs/>
          <w:u w:val="single"/>
          <w:lang w:val="en-ZA" w:eastAsia="en-ZA"/>
        </w:rPr>
      </w:pPr>
      <w:r w:rsidRPr="007252E7">
        <w:rPr>
          <w:b/>
          <w:bCs/>
          <w:u w:val="single"/>
          <w:lang w:val="en-ZA" w:eastAsia="en-ZA"/>
        </w:rPr>
        <w:t>SARS</w:t>
      </w:r>
    </w:p>
    <w:p w:rsidR="00A248AC" w:rsidRDefault="00A248AC" w:rsidP="0001394D">
      <w:pPr>
        <w:pBdr>
          <w:top w:val="single" w:sz="4" w:space="1" w:color="auto"/>
        </w:pBdr>
        <w:autoSpaceDE w:val="0"/>
        <w:autoSpaceDN w:val="0"/>
        <w:adjustRightInd w:val="0"/>
        <w:rPr>
          <w:b/>
          <w:bCs/>
          <w:u w:val="single"/>
          <w:lang w:val="en-ZA" w:eastAsia="en-ZA"/>
        </w:rPr>
      </w:pPr>
    </w:p>
    <w:p w:rsidR="00A248AC" w:rsidRPr="004D3924" w:rsidRDefault="00A248AC" w:rsidP="007252E7">
      <w:pPr>
        <w:spacing w:line="360" w:lineRule="auto"/>
        <w:rPr>
          <w:rFonts w:ascii="Arial" w:hAnsi="Arial" w:cs="Arial"/>
          <w:sz w:val="22"/>
          <w:szCs w:val="22"/>
        </w:rPr>
      </w:pPr>
      <w:r w:rsidRPr="004D3924">
        <w:rPr>
          <w:rFonts w:ascii="Arial" w:hAnsi="Arial" w:cs="Arial"/>
          <w:sz w:val="22"/>
          <w:szCs w:val="22"/>
        </w:rPr>
        <w:t>SARS do not have commercial arrangements with any companies in the Russian Federation</w:t>
      </w:r>
      <w:r>
        <w:rPr>
          <w:rFonts w:ascii="Arial" w:hAnsi="Arial" w:cs="Arial"/>
          <w:sz w:val="22"/>
          <w:szCs w:val="22"/>
        </w:rPr>
        <w:t xml:space="preserve">. It should be noted that the SARS </w:t>
      </w:r>
      <w:r w:rsidRPr="004D3924">
        <w:rPr>
          <w:rFonts w:ascii="Arial" w:hAnsi="Arial" w:cs="Arial"/>
          <w:sz w:val="22"/>
          <w:szCs w:val="22"/>
        </w:rPr>
        <w:t>register is based on the awards made to service providers’ disclosures and their company registration at CIPC. SARS does not have sight of the ownership status or controlling entities.</w:t>
      </w:r>
    </w:p>
    <w:p w:rsidR="00A248AC" w:rsidRPr="009358C5" w:rsidRDefault="00A248AC" w:rsidP="009358C5">
      <w:pPr>
        <w:pStyle w:val="ListParagraph"/>
        <w:numPr>
          <w:ilvl w:val="0"/>
          <w:numId w:val="23"/>
        </w:numPr>
        <w:pBdr>
          <w:top w:val="single" w:sz="4" w:space="1" w:color="auto"/>
        </w:pBdr>
        <w:autoSpaceDE w:val="0"/>
        <w:autoSpaceDN w:val="0"/>
        <w:adjustRightInd w:val="0"/>
        <w:rPr>
          <w:b/>
          <w:bCs/>
          <w:u w:val="single"/>
          <w:lang w:val="en-ZA" w:eastAsia="en-ZA"/>
        </w:rPr>
      </w:pPr>
      <w:r w:rsidRPr="009358C5">
        <w:rPr>
          <w:b/>
          <w:bCs/>
          <w:u w:val="single"/>
          <w:lang w:val="en-ZA" w:eastAsia="en-ZA"/>
        </w:rPr>
        <w:t>SASRIA</w:t>
      </w:r>
    </w:p>
    <w:p w:rsidR="00A248AC" w:rsidRPr="00A248AC" w:rsidRDefault="00A248AC" w:rsidP="00A248AC">
      <w:pPr>
        <w:spacing w:before="100" w:beforeAutospacing="1" w:after="100" w:afterAutospacing="1" w:line="276" w:lineRule="auto"/>
        <w:jc w:val="both"/>
        <w:outlineLvl w:val="0"/>
        <w:rPr>
          <w:bCs/>
        </w:rPr>
      </w:pPr>
      <w:r w:rsidRPr="00A248AC">
        <w:rPr>
          <w:bCs/>
        </w:rPr>
        <w:t>Sasria has not concluded any commercial contracts with (i) the government of the Russian Federation and/or (ii) any other entity based in the Russian Federation since 1 April 2017.</w:t>
      </w:r>
    </w:p>
    <w:p w:rsidR="00A248AC" w:rsidRPr="009358C5" w:rsidRDefault="00A248AC" w:rsidP="007252E7">
      <w:pPr>
        <w:pStyle w:val="ListParagraph"/>
        <w:numPr>
          <w:ilvl w:val="0"/>
          <w:numId w:val="23"/>
        </w:numPr>
        <w:pBdr>
          <w:top w:val="single" w:sz="4" w:space="1" w:color="auto"/>
          <w:bottom w:val="single" w:sz="4" w:space="1" w:color="auto"/>
        </w:pBdr>
        <w:autoSpaceDE w:val="0"/>
        <w:autoSpaceDN w:val="0"/>
        <w:adjustRightInd w:val="0"/>
        <w:rPr>
          <w:b/>
          <w:bCs/>
          <w:u w:val="single"/>
          <w:lang w:val="en-ZA" w:eastAsia="en-ZA"/>
        </w:rPr>
      </w:pPr>
      <w:r w:rsidRPr="009358C5">
        <w:rPr>
          <w:b/>
          <w:bCs/>
          <w:u w:val="single"/>
          <w:lang w:val="en-ZA" w:eastAsia="en-ZA"/>
        </w:rPr>
        <w:t>TAX OMBUD</w:t>
      </w:r>
    </w:p>
    <w:p w:rsidR="00A248AC" w:rsidRDefault="00A248AC" w:rsidP="007252E7">
      <w:pPr>
        <w:pBdr>
          <w:top w:val="single" w:sz="4" w:space="1" w:color="auto"/>
          <w:bottom w:val="single" w:sz="4" w:space="1" w:color="auto"/>
        </w:pBdr>
        <w:autoSpaceDE w:val="0"/>
        <w:autoSpaceDN w:val="0"/>
        <w:adjustRightInd w:val="0"/>
        <w:rPr>
          <w:b/>
          <w:bCs/>
          <w:u w:val="single"/>
          <w:lang w:val="en-ZA" w:eastAsia="en-ZA"/>
        </w:rPr>
      </w:pPr>
    </w:p>
    <w:p w:rsidR="00A248AC" w:rsidRDefault="00C22EC7" w:rsidP="007252E7">
      <w:pPr>
        <w:pBdr>
          <w:top w:val="single" w:sz="4" w:space="1" w:color="auto"/>
          <w:bottom w:val="single" w:sz="4" w:space="1" w:color="auto"/>
        </w:pBdr>
        <w:autoSpaceDE w:val="0"/>
        <w:autoSpaceDN w:val="0"/>
        <w:adjustRightInd w:val="0"/>
        <w:rPr>
          <w:lang w:val="en-ZA" w:eastAsia="en-ZA"/>
        </w:rPr>
      </w:pPr>
      <w:r>
        <w:rPr>
          <w:lang w:val="en-ZA" w:eastAsia="en-ZA"/>
        </w:rPr>
        <w:t>The Office of the Tax Ombud does not currently have or any intention to enter into commercial contracts with the government of the Russian Federation and /or any other entity based in the Rusian Federation since 1 April 2017</w:t>
      </w:r>
    </w:p>
    <w:p w:rsidR="007252E7" w:rsidRPr="00C22EC7" w:rsidRDefault="007252E7" w:rsidP="007252E7">
      <w:pPr>
        <w:pBdr>
          <w:top w:val="single" w:sz="4" w:space="1" w:color="auto"/>
          <w:bottom w:val="single" w:sz="4" w:space="1" w:color="auto"/>
        </w:pBdr>
        <w:autoSpaceDE w:val="0"/>
        <w:autoSpaceDN w:val="0"/>
        <w:adjustRightInd w:val="0"/>
        <w:rPr>
          <w:lang w:val="en-ZA" w:eastAsia="en-ZA"/>
        </w:rPr>
      </w:pPr>
    </w:p>
    <w:p w:rsidR="007D0557" w:rsidRPr="007252E7" w:rsidRDefault="007D0557" w:rsidP="007252E7"/>
    <w:sectPr w:rsidR="007D0557" w:rsidRPr="007252E7" w:rsidSect="00121434">
      <w:footerReference w:type="default" r:id="rId8"/>
      <w:pgSz w:w="11906" w:h="16838" w:code="9"/>
      <w:pgMar w:top="1134" w:right="1418" w:bottom="0"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6FD" w:rsidRDefault="000656FD" w:rsidP="00380E88">
      <w:r>
        <w:separator/>
      </w:r>
    </w:p>
  </w:endnote>
  <w:endnote w:type="continuationSeparator" w:id="0">
    <w:p w:rsidR="000656FD" w:rsidRDefault="000656FD"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0E5BE0">
        <w:pPr>
          <w:pStyle w:val="Footer"/>
          <w:jc w:val="center"/>
        </w:pPr>
        <w:r>
          <w:fldChar w:fldCharType="begin"/>
        </w:r>
        <w:r w:rsidR="006C2B5C">
          <w:instrText xml:space="preserve"> PAGE   \* MERGEFORMAT </w:instrText>
        </w:r>
        <w:r>
          <w:fldChar w:fldCharType="separate"/>
        </w:r>
        <w:r w:rsidR="000656FD">
          <w:rPr>
            <w:noProof/>
          </w:rPr>
          <w:t>1</w:t>
        </w:r>
        <w:r>
          <w:rPr>
            <w:noProof/>
          </w:rPr>
          <w:fldChar w:fldCharType="end"/>
        </w:r>
      </w:p>
    </w:sdtContent>
  </w:sdt>
  <w:p w:rsidR="006C2B5C" w:rsidRDefault="006C2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6FD" w:rsidRDefault="000656FD" w:rsidP="00380E88">
      <w:r>
        <w:separator/>
      </w:r>
    </w:p>
  </w:footnote>
  <w:footnote w:type="continuationSeparator" w:id="0">
    <w:p w:rsidR="000656FD" w:rsidRDefault="000656FD"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C6"/>
    <w:multiLevelType w:val="hybridMultilevel"/>
    <w:tmpl w:val="1E1698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47664F7"/>
    <w:multiLevelType w:val="hybridMultilevel"/>
    <w:tmpl w:val="AC56137C"/>
    <w:lvl w:ilvl="0" w:tplc="E5A4705E">
      <w:start w:val="1"/>
      <w:numFmt w:val="lowerRoman"/>
      <w:lvlText w:val="(%1)"/>
      <w:lvlJc w:val="left"/>
      <w:pPr>
        <w:ind w:left="1080" w:hanging="72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DC47F4"/>
    <w:multiLevelType w:val="hybridMultilevel"/>
    <w:tmpl w:val="5492D1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nsid w:val="1B427255"/>
    <w:multiLevelType w:val="hybridMultilevel"/>
    <w:tmpl w:val="9C90F09A"/>
    <w:lvl w:ilvl="0" w:tplc="DE503C2A">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46B501B"/>
    <w:multiLevelType w:val="hybridMultilevel"/>
    <w:tmpl w:val="DCC865BC"/>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8B64D25"/>
    <w:multiLevelType w:val="hybridMultilevel"/>
    <w:tmpl w:val="77A0AC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8">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C9A7DC5"/>
    <w:multiLevelType w:val="hybridMultilevel"/>
    <w:tmpl w:val="38125538"/>
    <w:lvl w:ilvl="0" w:tplc="7DC42DD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D115A3C"/>
    <w:multiLevelType w:val="hybridMultilevel"/>
    <w:tmpl w:val="E1FC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56665"/>
    <w:multiLevelType w:val="hybridMultilevel"/>
    <w:tmpl w:val="A756286C"/>
    <w:lvl w:ilvl="0" w:tplc="BB321F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3">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2173006"/>
    <w:multiLevelType w:val="hybridMultilevel"/>
    <w:tmpl w:val="3C32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9">
    <w:nsid w:val="77B700F2"/>
    <w:multiLevelType w:val="hybridMultilevel"/>
    <w:tmpl w:val="ED1E527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5"/>
  </w:num>
  <w:num w:numId="2">
    <w:abstractNumId w:val="16"/>
  </w:num>
  <w:num w:numId="3">
    <w:abstractNumId w:val="13"/>
  </w:num>
  <w:num w:numId="4">
    <w:abstractNumId w:val="8"/>
  </w:num>
  <w:num w:numId="5">
    <w:abstractNumId w:val="20"/>
  </w:num>
  <w:num w:numId="6">
    <w:abstractNumId w:val="7"/>
  </w:num>
  <w:num w:numId="7">
    <w:abstractNumId w:val="7"/>
  </w:num>
  <w:num w:numId="8">
    <w:abstractNumId w:val="21"/>
  </w:num>
  <w:num w:numId="9">
    <w:abstractNumId w:val="6"/>
  </w:num>
  <w:num w:numId="10">
    <w:abstractNumId w:val="12"/>
  </w:num>
  <w:num w:numId="11">
    <w:abstractNumId w:val="18"/>
  </w:num>
  <w:num w:numId="12">
    <w:abstractNumId w:val="14"/>
  </w:num>
  <w:num w:numId="13">
    <w:abstractNumId w:val="9"/>
  </w:num>
  <w:num w:numId="14">
    <w:abstractNumId w:val="2"/>
  </w:num>
  <w:num w:numId="15">
    <w:abstractNumId w:val="17"/>
  </w:num>
  <w:num w:numId="16">
    <w:abstractNumId w:val="3"/>
  </w:num>
  <w:num w:numId="17">
    <w:abstractNumId w:val="5"/>
  </w:num>
  <w:num w:numId="18">
    <w:abstractNumId w:val="10"/>
  </w:num>
  <w:num w:numId="19">
    <w:abstractNumId w:val="0"/>
  </w:num>
  <w:num w:numId="20">
    <w:abstractNumId w:val="4"/>
  </w:num>
  <w:num w:numId="21">
    <w:abstractNumId w:val="1"/>
  </w:num>
  <w:num w:numId="22">
    <w:abstractNumId w:val="1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40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DQwNbQwM7MwNLM0NjdU0lEKTi0uzszPAykwrwUAQazf1SwAAAA="/>
  </w:docVars>
  <w:rsids>
    <w:rsidRoot w:val="00063E28"/>
    <w:rsid w:val="000054AE"/>
    <w:rsid w:val="00005F25"/>
    <w:rsid w:val="00011016"/>
    <w:rsid w:val="00012A82"/>
    <w:rsid w:val="0001394D"/>
    <w:rsid w:val="000147EE"/>
    <w:rsid w:val="00016A41"/>
    <w:rsid w:val="00017720"/>
    <w:rsid w:val="00020C04"/>
    <w:rsid w:val="000235AD"/>
    <w:rsid w:val="00023BC3"/>
    <w:rsid w:val="00025170"/>
    <w:rsid w:val="00026160"/>
    <w:rsid w:val="0002634B"/>
    <w:rsid w:val="000319D5"/>
    <w:rsid w:val="00037869"/>
    <w:rsid w:val="00041437"/>
    <w:rsid w:val="00042E4A"/>
    <w:rsid w:val="00053303"/>
    <w:rsid w:val="0005383F"/>
    <w:rsid w:val="00060E09"/>
    <w:rsid w:val="00063E28"/>
    <w:rsid w:val="000656FD"/>
    <w:rsid w:val="0007743C"/>
    <w:rsid w:val="00080BD0"/>
    <w:rsid w:val="00082DDF"/>
    <w:rsid w:val="0008596C"/>
    <w:rsid w:val="00091852"/>
    <w:rsid w:val="00094D64"/>
    <w:rsid w:val="000968CF"/>
    <w:rsid w:val="000A3C32"/>
    <w:rsid w:val="000A5567"/>
    <w:rsid w:val="000A57B1"/>
    <w:rsid w:val="000B16E9"/>
    <w:rsid w:val="000B51CC"/>
    <w:rsid w:val="000B555E"/>
    <w:rsid w:val="000C2BEF"/>
    <w:rsid w:val="000C3917"/>
    <w:rsid w:val="000C48D8"/>
    <w:rsid w:val="000D0973"/>
    <w:rsid w:val="000D33E9"/>
    <w:rsid w:val="000D5DF7"/>
    <w:rsid w:val="000E1B36"/>
    <w:rsid w:val="000E3AD1"/>
    <w:rsid w:val="000E5BE0"/>
    <w:rsid w:val="000F0AF6"/>
    <w:rsid w:val="000F37A4"/>
    <w:rsid w:val="000F3B14"/>
    <w:rsid w:val="000F45A0"/>
    <w:rsid w:val="000F5178"/>
    <w:rsid w:val="00100CC2"/>
    <w:rsid w:val="00103805"/>
    <w:rsid w:val="00104BEC"/>
    <w:rsid w:val="00106C7A"/>
    <w:rsid w:val="001075F8"/>
    <w:rsid w:val="00110946"/>
    <w:rsid w:val="00121434"/>
    <w:rsid w:val="0012155F"/>
    <w:rsid w:val="00122C88"/>
    <w:rsid w:val="00123B87"/>
    <w:rsid w:val="00130348"/>
    <w:rsid w:val="00132CAF"/>
    <w:rsid w:val="00132CF0"/>
    <w:rsid w:val="001433AE"/>
    <w:rsid w:val="001436F1"/>
    <w:rsid w:val="0014441E"/>
    <w:rsid w:val="001463EE"/>
    <w:rsid w:val="00147193"/>
    <w:rsid w:val="0015727B"/>
    <w:rsid w:val="00170407"/>
    <w:rsid w:val="00181016"/>
    <w:rsid w:val="00183EB5"/>
    <w:rsid w:val="00193A66"/>
    <w:rsid w:val="00197576"/>
    <w:rsid w:val="001B0917"/>
    <w:rsid w:val="001B1E0F"/>
    <w:rsid w:val="001B411E"/>
    <w:rsid w:val="001B5BD3"/>
    <w:rsid w:val="001B7F2A"/>
    <w:rsid w:val="001C1E62"/>
    <w:rsid w:val="001D24BA"/>
    <w:rsid w:val="001D267B"/>
    <w:rsid w:val="001D4937"/>
    <w:rsid w:val="001E1132"/>
    <w:rsid w:val="001E379C"/>
    <w:rsid w:val="001E3FB5"/>
    <w:rsid w:val="001E58AC"/>
    <w:rsid w:val="001E6902"/>
    <w:rsid w:val="001F4B50"/>
    <w:rsid w:val="001F6D0E"/>
    <w:rsid w:val="001F7560"/>
    <w:rsid w:val="002065BA"/>
    <w:rsid w:val="00207912"/>
    <w:rsid w:val="00216997"/>
    <w:rsid w:val="00223863"/>
    <w:rsid w:val="0022502D"/>
    <w:rsid w:val="00230BF6"/>
    <w:rsid w:val="002314BC"/>
    <w:rsid w:val="00231753"/>
    <w:rsid w:val="00237B23"/>
    <w:rsid w:val="002424EF"/>
    <w:rsid w:val="00251791"/>
    <w:rsid w:val="002565E0"/>
    <w:rsid w:val="00260251"/>
    <w:rsid w:val="00262F05"/>
    <w:rsid w:val="0026563C"/>
    <w:rsid w:val="00271C0F"/>
    <w:rsid w:val="0027436F"/>
    <w:rsid w:val="0028148D"/>
    <w:rsid w:val="002817AC"/>
    <w:rsid w:val="00281A7C"/>
    <w:rsid w:val="00283C35"/>
    <w:rsid w:val="002855CE"/>
    <w:rsid w:val="00285EA1"/>
    <w:rsid w:val="0028635F"/>
    <w:rsid w:val="002867DD"/>
    <w:rsid w:val="002914E0"/>
    <w:rsid w:val="002927CD"/>
    <w:rsid w:val="00293E24"/>
    <w:rsid w:val="002A4157"/>
    <w:rsid w:val="002A588E"/>
    <w:rsid w:val="002B3B25"/>
    <w:rsid w:val="002B7345"/>
    <w:rsid w:val="002D104B"/>
    <w:rsid w:val="002D10B3"/>
    <w:rsid w:val="002D2A4C"/>
    <w:rsid w:val="002D499A"/>
    <w:rsid w:val="002D54F7"/>
    <w:rsid w:val="002E0569"/>
    <w:rsid w:val="002E4AA0"/>
    <w:rsid w:val="002E6B24"/>
    <w:rsid w:val="002F3C22"/>
    <w:rsid w:val="002F6E86"/>
    <w:rsid w:val="003005D2"/>
    <w:rsid w:val="00303F4E"/>
    <w:rsid w:val="00326CF2"/>
    <w:rsid w:val="003323CF"/>
    <w:rsid w:val="003421BD"/>
    <w:rsid w:val="00344553"/>
    <w:rsid w:val="00345531"/>
    <w:rsid w:val="00346695"/>
    <w:rsid w:val="00351BF5"/>
    <w:rsid w:val="00354BA4"/>
    <w:rsid w:val="003707A7"/>
    <w:rsid w:val="00374DCE"/>
    <w:rsid w:val="0037795E"/>
    <w:rsid w:val="00380E88"/>
    <w:rsid w:val="003817F5"/>
    <w:rsid w:val="003845EF"/>
    <w:rsid w:val="00393919"/>
    <w:rsid w:val="003A5B00"/>
    <w:rsid w:val="003A6BD5"/>
    <w:rsid w:val="003B0336"/>
    <w:rsid w:val="003B0A2D"/>
    <w:rsid w:val="003B72D6"/>
    <w:rsid w:val="003C24F7"/>
    <w:rsid w:val="003C4E57"/>
    <w:rsid w:val="003D0E83"/>
    <w:rsid w:val="003D5A20"/>
    <w:rsid w:val="003D6E21"/>
    <w:rsid w:val="003E03B4"/>
    <w:rsid w:val="003E2711"/>
    <w:rsid w:val="003E6A8B"/>
    <w:rsid w:val="003F1329"/>
    <w:rsid w:val="003F6A56"/>
    <w:rsid w:val="00406AE6"/>
    <w:rsid w:val="004112AE"/>
    <w:rsid w:val="00413ABE"/>
    <w:rsid w:val="00413C95"/>
    <w:rsid w:val="004177CA"/>
    <w:rsid w:val="00422EC6"/>
    <w:rsid w:val="004260E9"/>
    <w:rsid w:val="0042645C"/>
    <w:rsid w:val="00426C51"/>
    <w:rsid w:val="00426D08"/>
    <w:rsid w:val="00427ECA"/>
    <w:rsid w:val="0043065E"/>
    <w:rsid w:val="00435349"/>
    <w:rsid w:val="00435EA2"/>
    <w:rsid w:val="004373C8"/>
    <w:rsid w:val="00453CF1"/>
    <w:rsid w:val="00455DF1"/>
    <w:rsid w:val="0046713E"/>
    <w:rsid w:val="004709BD"/>
    <w:rsid w:val="00472D86"/>
    <w:rsid w:val="00473446"/>
    <w:rsid w:val="00474BDC"/>
    <w:rsid w:val="00480D1F"/>
    <w:rsid w:val="00484737"/>
    <w:rsid w:val="00485B2E"/>
    <w:rsid w:val="00485F09"/>
    <w:rsid w:val="004936B2"/>
    <w:rsid w:val="00495422"/>
    <w:rsid w:val="00496D69"/>
    <w:rsid w:val="004A078E"/>
    <w:rsid w:val="004A7866"/>
    <w:rsid w:val="004B1526"/>
    <w:rsid w:val="004B6552"/>
    <w:rsid w:val="004C0E9B"/>
    <w:rsid w:val="004C0FCD"/>
    <w:rsid w:val="004C57A4"/>
    <w:rsid w:val="004C6CE8"/>
    <w:rsid w:val="004D3BF2"/>
    <w:rsid w:val="004D3D5A"/>
    <w:rsid w:val="004D51F0"/>
    <w:rsid w:val="004D568A"/>
    <w:rsid w:val="004E3098"/>
    <w:rsid w:val="004E6E7D"/>
    <w:rsid w:val="004F43FB"/>
    <w:rsid w:val="00503CF8"/>
    <w:rsid w:val="005062A3"/>
    <w:rsid w:val="00513747"/>
    <w:rsid w:val="00513A6D"/>
    <w:rsid w:val="005141B3"/>
    <w:rsid w:val="00522B65"/>
    <w:rsid w:val="005313B2"/>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B6F0A"/>
    <w:rsid w:val="005D0154"/>
    <w:rsid w:val="005D556E"/>
    <w:rsid w:val="005E21D9"/>
    <w:rsid w:val="005E32E0"/>
    <w:rsid w:val="005E415D"/>
    <w:rsid w:val="005F05C1"/>
    <w:rsid w:val="005F11A2"/>
    <w:rsid w:val="005F6B76"/>
    <w:rsid w:val="00613FC6"/>
    <w:rsid w:val="006239F1"/>
    <w:rsid w:val="00624D20"/>
    <w:rsid w:val="0062770E"/>
    <w:rsid w:val="00631CD4"/>
    <w:rsid w:val="00641158"/>
    <w:rsid w:val="00641BED"/>
    <w:rsid w:val="0064275F"/>
    <w:rsid w:val="00642B16"/>
    <w:rsid w:val="0064512A"/>
    <w:rsid w:val="00646E7C"/>
    <w:rsid w:val="00647EF2"/>
    <w:rsid w:val="00651616"/>
    <w:rsid w:val="00653A85"/>
    <w:rsid w:val="00666668"/>
    <w:rsid w:val="00670B2F"/>
    <w:rsid w:val="0067264D"/>
    <w:rsid w:val="00675635"/>
    <w:rsid w:val="00685058"/>
    <w:rsid w:val="00685F0E"/>
    <w:rsid w:val="00687D9E"/>
    <w:rsid w:val="00693A64"/>
    <w:rsid w:val="006951C6"/>
    <w:rsid w:val="006B61B0"/>
    <w:rsid w:val="006B7908"/>
    <w:rsid w:val="006C1C02"/>
    <w:rsid w:val="006C2191"/>
    <w:rsid w:val="006C2B5C"/>
    <w:rsid w:val="006C2D5C"/>
    <w:rsid w:val="006D1766"/>
    <w:rsid w:val="006D1B36"/>
    <w:rsid w:val="006D2C61"/>
    <w:rsid w:val="006D2F61"/>
    <w:rsid w:val="006D37C3"/>
    <w:rsid w:val="006D39E9"/>
    <w:rsid w:val="00704DC7"/>
    <w:rsid w:val="00710ADB"/>
    <w:rsid w:val="007118EA"/>
    <w:rsid w:val="00712545"/>
    <w:rsid w:val="00712E95"/>
    <w:rsid w:val="007175DE"/>
    <w:rsid w:val="007252E7"/>
    <w:rsid w:val="00726A9C"/>
    <w:rsid w:val="00732A53"/>
    <w:rsid w:val="007359BF"/>
    <w:rsid w:val="00737375"/>
    <w:rsid w:val="007403B6"/>
    <w:rsid w:val="00743F26"/>
    <w:rsid w:val="00751942"/>
    <w:rsid w:val="00751A1E"/>
    <w:rsid w:val="007540E0"/>
    <w:rsid w:val="007544A8"/>
    <w:rsid w:val="0075652D"/>
    <w:rsid w:val="00761654"/>
    <w:rsid w:val="0076668B"/>
    <w:rsid w:val="00767E8F"/>
    <w:rsid w:val="007749D9"/>
    <w:rsid w:val="00780F57"/>
    <w:rsid w:val="007839B2"/>
    <w:rsid w:val="00783E1A"/>
    <w:rsid w:val="0079022D"/>
    <w:rsid w:val="007914E0"/>
    <w:rsid w:val="0079284D"/>
    <w:rsid w:val="007A32AF"/>
    <w:rsid w:val="007A78C0"/>
    <w:rsid w:val="007B1BA1"/>
    <w:rsid w:val="007C3B62"/>
    <w:rsid w:val="007C44DF"/>
    <w:rsid w:val="007C4690"/>
    <w:rsid w:val="007C51AA"/>
    <w:rsid w:val="007C5A36"/>
    <w:rsid w:val="007D0557"/>
    <w:rsid w:val="007D25DF"/>
    <w:rsid w:val="007D4060"/>
    <w:rsid w:val="007E56A2"/>
    <w:rsid w:val="007E7A1C"/>
    <w:rsid w:val="007F18AA"/>
    <w:rsid w:val="007F439B"/>
    <w:rsid w:val="007F5C89"/>
    <w:rsid w:val="0080027D"/>
    <w:rsid w:val="00800B54"/>
    <w:rsid w:val="00803AC4"/>
    <w:rsid w:val="00807B52"/>
    <w:rsid w:val="00811367"/>
    <w:rsid w:val="008125F7"/>
    <w:rsid w:val="00813FF0"/>
    <w:rsid w:val="00814CE4"/>
    <w:rsid w:val="008176A7"/>
    <w:rsid w:val="008205C8"/>
    <w:rsid w:val="008223D4"/>
    <w:rsid w:val="008270A1"/>
    <w:rsid w:val="008321A4"/>
    <w:rsid w:val="0084121D"/>
    <w:rsid w:val="00852DC3"/>
    <w:rsid w:val="008600E0"/>
    <w:rsid w:val="008631A7"/>
    <w:rsid w:val="00866056"/>
    <w:rsid w:val="00876CBB"/>
    <w:rsid w:val="008779EA"/>
    <w:rsid w:val="00880EA8"/>
    <w:rsid w:val="00886053"/>
    <w:rsid w:val="0088688A"/>
    <w:rsid w:val="00887A34"/>
    <w:rsid w:val="00891265"/>
    <w:rsid w:val="00893761"/>
    <w:rsid w:val="00896E97"/>
    <w:rsid w:val="00897498"/>
    <w:rsid w:val="00897F0B"/>
    <w:rsid w:val="008A25B9"/>
    <w:rsid w:val="008A3396"/>
    <w:rsid w:val="008A4EBA"/>
    <w:rsid w:val="008A53E5"/>
    <w:rsid w:val="008A6ECF"/>
    <w:rsid w:val="008B0140"/>
    <w:rsid w:val="008B1AC9"/>
    <w:rsid w:val="008C0D4C"/>
    <w:rsid w:val="008C2559"/>
    <w:rsid w:val="008C2974"/>
    <w:rsid w:val="008D3E86"/>
    <w:rsid w:val="008E01C3"/>
    <w:rsid w:val="008E1C5A"/>
    <w:rsid w:val="008E3D62"/>
    <w:rsid w:val="008E4142"/>
    <w:rsid w:val="008F2375"/>
    <w:rsid w:val="008F324E"/>
    <w:rsid w:val="008F616B"/>
    <w:rsid w:val="008F7690"/>
    <w:rsid w:val="00905110"/>
    <w:rsid w:val="00910B58"/>
    <w:rsid w:val="00911717"/>
    <w:rsid w:val="009163A5"/>
    <w:rsid w:val="00917C44"/>
    <w:rsid w:val="009203A2"/>
    <w:rsid w:val="00925943"/>
    <w:rsid w:val="00933C7B"/>
    <w:rsid w:val="009358C5"/>
    <w:rsid w:val="0093680D"/>
    <w:rsid w:val="00945542"/>
    <w:rsid w:val="009508F2"/>
    <w:rsid w:val="00950F95"/>
    <w:rsid w:val="00951562"/>
    <w:rsid w:val="00951BE6"/>
    <w:rsid w:val="00953363"/>
    <w:rsid w:val="00953F07"/>
    <w:rsid w:val="009548CB"/>
    <w:rsid w:val="00957121"/>
    <w:rsid w:val="0096007E"/>
    <w:rsid w:val="00960B82"/>
    <w:rsid w:val="00961C4F"/>
    <w:rsid w:val="00965E2A"/>
    <w:rsid w:val="009679C8"/>
    <w:rsid w:val="00972601"/>
    <w:rsid w:val="00976E83"/>
    <w:rsid w:val="0097786E"/>
    <w:rsid w:val="00977E9D"/>
    <w:rsid w:val="00986C1B"/>
    <w:rsid w:val="00987BC9"/>
    <w:rsid w:val="0099170A"/>
    <w:rsid w:val="009932FB"/>
    <w:rsid w:val="009A18A7"/>
    <w:rsid w:val="009A1B65"/>
    <w:rsid w:val="009C45D6"/>
    <w:rsid w:val="009C6567"/>
    <w:rsid w:val="009C72B2"/>
    <w:rsid w:val="009D4163"/>
    <w:rsid w:val="009E1AB2"/>
    <w:rsid w:val="009E24E9"/>
    <w:rsid w:val="009F2415"/>
    <w:rsid w:val="009F480A"/>
    <w:rsid w:val="00A02200"/>
    <w:rsid w:val="00A02793"/>
    <w:rsid w:val="00A04163"/>
    <w:rsid w:val="00A04688"/>
    <w:rsid w:val="00A06A31"/>
    <w:rsid w:val="00A0746F"/>
    <w:rsid w:val="00A15D3C"/>
    <w:rsid w:val="00A1736D"/>
    <w:rsid w:val="00A23A3E"/>
    <w:rsid w:val="00A248AC"/>
    <w:rsid w:val="00A310E0"/>
    <w:rsid w:val="00A337C8"/>
    <w:rsid w:val="00A359DB"/>
    <w:rsid w:val="00A45496"/>
    <w:rsid w:val="00A45FE5"/>
    <w:rsid w:val="00A51243"/>
    <w:rsid w:val="00A51431"/>
    <w:rsid w:val="00A525F0"/>
    <w:rsid w:val="00A55CB3"/>
    <w:rsid w:val="00A566A2"/>
    <w:rsid w:val="00A5731A"/>
    <w:rsid w:val="00A60DDB"/>
    <w:rsid w:val="00A61462"/>
    <w:rsid w:val="00A677C3"/>
    <w:rsid w:val="00A72B9B"/>
    <w:rsid w:val="00A7553A"/>
    <w:rsid w:val="00A84063"/>
    <w:rsid w:val="00A84F7F"/>
    <w:rsid w:val="00A85716"/>
    <w:rsid w:val="00A952EA"/>
    <w:rsid w:val="00A96A79"/>
    <w:rsid w:val="00A97C66"/>
    <w:rsid w:val="00AA4ED9"/>
    <w:rsid w:val="00AB5748"/>
    <w:rsid w:val="00AB5B28"/>
    <w:rsid w:val="00AB7F03"/>
    <w:rsid w:val="00AD00CE"/>
    <w:rsid w:val="00AD1B6E"/>
    <w:rsid w:val="00AD2B89"/>
    <w:rsid w:val="00AD5C9B"/>
    <w:rsid w:val="00AE07DE"/>
    <w:rsid w:val="00AF70A9"/>
    <w:rsid w:val="00B03AF4"/>
    <w:rsid w:val="00B03DD6"/>
    <w:rsid w:val="00B1117F"/>
    <w:rsid w:val="00B111EF"/>
    <w:rsid w:val="00B1562B"/>
    <w:rsid w:val="00B1593D"/>
    <w:rsid w:val="00B20E37"/>
    <w:rsid w:val="00B31AAE"/>
    <w:rsid w:val="00B35E0C"/>
    <w:rsid w:val="00B432CA"/>
    <w:rsid w:val="00B447E6"/>
    <w:rsid w:val="00B46449"/>
    <w:rsid w:val="00B57527"/>
    <w:rsid w:val="00B62882"/>
    <w:rsid w:val="00B65F8F"/>
    <w:rsid w:val="00B70C7B"/>
    <w:rsid w:val="00B711CB"/>
    <w:rsid w:val="00B716A6"/>
    <w:rsid w:val="00B75BBC"/>
    <w:rsid w:val="00B76831"/>
    <w:rsid w:val="00B76B61"/>
    <w:rsid w:val="00B77F67"/>
    <w:rsid w:val="00B80E15"/>
    <w:rsid w:val="00B81176"/>
    <w:rsid w:val="00B83E8B"/>
    <w:rsid w:val="00B913C7"/>
    <w:rsid w:val="00B936E9"/>
    <w:rsid w:val="00B95452"/>
    <w:rsid w:val="00B96B34"/>
    <w:rsid w:val="00BA517C"/>
    <w:rsid w:val="00BA5C4D"/>
    <w:rsid w:val="00BB333E"/>
    <w:rsid w:val="00BB416B"/>
    <w:rsid w:val="00BC0A3B"/>
    <w:rsid w:val="00BC286E"/>
    <w:rsid w:val="00BC3150"/>
    <w:rsid w:val="00BC450A"/>
    <w:rsid w:val="00BC4BEA"/>
    <w:rsid w:val="00BC5A3F"/>
    <w:rsid w:val="00BD05BC"/>
    <w:rsid w:val="00BD31C6"/>
    <w:rsid w:val="00BE533B"/>
    <w:rsid w:val="00BE64EB"/>
    <w:rsid w:val="00C061CF"/>
    <w:rsid w:val="00C06302"/>
    <w:rsid w:val="00C223DB"/>
    <w:rsid w:val="00C22A1F"/>
    <w:rsid w:val="00C22EC7"/>
    <w:rsid w:val="00C25C7E"/>
    <w:rsid w:val="00C26CCD"/>
    <w:rsid w:val="00C312EA"/>
    <w:rsid w:val="00C32942"/>
    <w:rsid w:val="00C3410D"/>
    <w:rsid w:val="00C375AF"/>
    <w:rsid w:val="00C401F8"/>
    <w:rsid w:val="00C41105"/>
    <w:rsid w:val="00C44C35"/>
    <w:rsid w:val="00C45C13"/>
    <w:rsid w:val="00C472D6"/>
    <w:rsid w:val="00C526D5"/>
    <w:rsid w:val="00C55BE6"/>
    <w:rsid w:val="00C566C1"/>
    <w:rsid w:val="00C56D83"/>
    <w:rsid w:val="00C60822"/>
    <w:rsid w:val="00C60A55"/>
    <w:rsid w:val="00C61072"/>
    <w:rsid w:val="00C65A57"/>
    <w:rsid w:val="00C77F83"/>
    <w:rsid w:val="00C87C5C"/>
    <w:rsid w:val="00C905A7"/>
    <w:rsid w:val="00CB034C"/>
    <w:rsid w:val="00CB4FDB"/>
    <w:rsid w:val="00CB51AD"/>
    <w:rsid w:val="00CC0640"/>
    <w:rsid w:val="00CC2F3E"/>
    <w:rsid w:val="00CC392D"/>
    <w:rsid w:val="00CC7673"/>
    <w:rsid w:val="00CE0468"/>
    <w:rsid w:val="00CF097E"/>
    <w:rsid w:val="00D01E04"/>
    <w:rsid w:val="00D05765"/>
    <w:rsid w:val="00D1433D"/>
    <w:rsid w:val="00D17D13"/>
    <w:rsid w:val="00D20E78"/>
    <w:rsid w:val="00D20F25"/>
    <w:rsid w:val="00D2724B"/>
    <w:rsid w:val="00D332C0"/>
    <w:rsid w:val="00D3397E"/>
    <w:rsid w:val="00D3403D"/>
    <w:rsid w:val="00D34050"/>
    <w:rsid w:val="00D356CF"/>
    <w:rsid w:val="00D363B6"/>
    <w:rsid w:val="00D37422"/>
    <w:rsid w:val="00D42FF3"/>
    <w:rsid w:val="00D46E69"/>
    <w:rsid w:val="00D537FD"/>
    <w:rsid w:val="00D61422"/>
    <w:rsid w:val="00D65933"/>
    <w:rsid w:val="00D709E4"/>
    <w:rsid w:val="00D74F80"/>
    <w:rsid w:val="00D761DC"/>
    <w:rsid w:val="00D90B3F"/>
    <w:rsid w:val="00DB2463"/>
    <w:rsid w:val="00DC769E"/>
    <w:rsid w:val="00DC76EF"/>
    <w:rsid w:val="00DD0F3E"/>
    <w:rsid w:val="00DD2A0D"/>
    <w:rsid w:val="00DD5296"/>
    <w:rsid w:val="00DE122E"/>
    <w:rsid w:val="00DE3CBB"/>
    <w:rsid w:val="00DE56AD"/>
    <w:rsid w:val="00DE76CB"/>
    <w:rsid w:val="00DF0D26"/>
    <w:rsid w:val="00DF4200"/>
    <w:rsid w:val="00DF746E"/>
    <w:rsid w:val="00DF7D10"/>
    <w:rsid w:val="00E01FF6"/>
    <w:rsid w:val="00E052AA"/>
    <w:rsid w:val="00E0626A"/>
    <w:rsid w:val="00E103FB"/>
    <w:rsid w:val="00E130CF"/>
    <w:rsid w:val="00E150D2"/>
    <w:rsid w:val="00E1520C"/>
    <w:rsid w:val="00E202D4"/>
    <w:rsid w:val="00E24571"/>
    <w:rsid w:val="00E35140"/>
    <w:rsid w:val="00E359AC"/>
    <w:rsid w:val="00E376D0"/>
    <w:rsid w:val="00E37A36"/>
    <w:rsid w:val="00E42AEE"/>
    <w:rsid w:val="00E43A5D"/>
    <w:rsid w:val="00E533D0"/>
    <w:rsid w:val="00E55071"/>
    <w:rsid w:val="00E57DDD"/>
    <w:rsid w:val="00E60EE1"/>
    <w:rsid w:val="00E665AF"/>
    <w:rsid w:val="00E72F99"/>
    <w:rsid w:val="00E74D85"/>
    <w:rsid w:val="00E77DF6"/>
    <w:rsid w:val="00E8352B"/>
    <w:rsid w:val="00E938DE"/>
    <w:rsid w:val="00E950AD"/>
    <w:rsid w:val="00EA468F"/>
    <w:rsid w:val="00EA6A49"/>
    <w:rsid w:val="00EA792E"/>
    <w:rsid w:val="00EB04E2"/>
    <w:rsid w:val="00EC21DD"/>
    <w:rsid w:val="00EC347E"/>
    <w:rsid w:val="00EC4BF6"/>
    <w:rsid w:val="00EC6B14"/>
    <w:rsid w:val="00ED0A98"/>
    <w:rsid w:val="00ED1050"/>
    <w:rsid w:val="00ED166D"/>
    <w:rsid w:val="00ED3A3C"/>
    <w:rsid w:val="00EE2E7B"/>
    <w:rsid w:val="00EE65D7"/>
    <w:rsid w:val="00EE7CEF"/>
    <w:rsid w:val="00EE7DD6"/>
    <w:rsid w:val="00EF5BB4"/>
    <w:rsid w:val="00F01FD1"/>
    <w:rsid w:val="00F03C60"/>
    <w:rsid w:val="00F04D43"/>
    <w:rsid w:val="00F05CB1"/>
    <w:rsid w:val="00F06A25"/>
    <w:rsid w:val="00F1421B"/>
    <w:rsid w:val="00F17B2E"/>
    <w:rsid w:val="00F201B8"/>
    <w:rsid w:val="00F267D9"/>
    <w:rsid w:val="00F27B12"/>
    <w:rsid w:val="00F33FD4"/>
    <w:rsid w:val="00F36709"/>
    <w:rsid w:val="00F4189C"/>
    <w:rsid w:val="00F41C86"/>
    <w:rsid w:val="00F47FDD"/>
    <w:rsid w:val="00F51C17"/>
    <w:rsid w:val="00F5571A"/>
    <w:rsid w:val="00F6058B"/>
    <w:rsid w:val="00F6442E"/>
    <w:rsid w:val="00F65949"/>
    <w:rsid w:val="00F673A7"/>
    <w:rsid w:val="00F70594"/>
    <w:rsid w:val="00F754AB"/>
    <w:rsid w:val="00F76106"/>
    <w:rsid w:val="00F8147B"/>
    <w:rsid w:val="00F87EA6"/>
    <w:rsid w:val="00F903C3"/>
    <w:rsid w:val="00F90B91"/>
    <w:rsid w:val="00F938A0"/>
    <w:rsid w:val="00FB0A2F"/>
    <w:rsid w:val="00FB0ABC"/>
    <w:rsid w:val="00FB5217"/>
    <w:rsid w:val="00FB5B3F"/>
    <w:rsid w:val="00FC2064"/>
    <w:rsid w:val="00FC2209"/>
    <w:rsid w:val="00FC224A"/>
    <w:rsid w:val="00FC2A11"/>
    <w:rsid w:val="00FC4E03"/>
    <w:rsid w:val="00FD137D"/>
    <w:rsid w:val="00FD2E66"/>
    <w:rsid w:val="00FD4700"/>
    <w:rsid w:val="00FD595E"/>
    <w:rsid w:val="00FE12F0"/>
    <w:rsid w:val="00FE4A54"/>
    <w:rsid w:val="00FE58EB"/>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semiHidden/>
    <w:unhideWhenUsed/>
    <w:qFormat/>
    <w:rsid w:val="00E57D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Heading2Char">
    <w:name w:val="Heading 2 Char"/>
    <w:basedOn w:val="DefaultParagraphFont"/>
    <w:link w:val="Heading2"/>
    <w:semiHidden/>
    <w:rsid w:val="00E57DDD"/>
    <w:rPr>
      <w:rFonts w:asciiTheme="majorHAnsi" w:eastAsiaTheme="majorEastAsia" w:hAnsiTheme="majorHAnsi" w:cstheme="majorBidi"/>
      <w:color w:val="365F91" w:themeColor="accent1" w:themeShade="BF"/>
      <w:sz w:val="26"/>
      <w:szCs w:val="26"/>
      <w:lang w:val="en-US" w:eastAsia="en-US"/>
    </w:rPr>
  </w:style>
  <w:style w:type="paragraph" w:styleId="Caption">
    <w:name w:val="caption"/>
    <w:basedOn w:val="Normal"/>
    <w:next w:val="Normal"/>
    <w:semiHidden/>
    <w:unhideWhenUsed/>
    <w:qFormat/>
    <w:rsid w:val="006C1C02"/>
    <w:pPr>
      <w:spacing w:after="200"/>
    </w:pPr>
    <w:rPr>
      <w:i/>
      <w:iCs/>
      <w:color w:val="1F497D" w:themeColor="text2"/>
      <w:sz w:val="18"/>
      <w:szCs w:val="18"/>
    </w:rPr>
  </w:style>
  <w:style w:type="character" w:customStyle="1" w:styleId="markedcontent">
    <w:name w:val="markedcontent"/>
    <w:basedOn w:val="DefaultParagraphFont"/>
    <w:rsid w:val="00761654"/>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6268169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60096118">
      <w:bodyDiv w:val="1"/>
      <w:marLeft w:val="0"/>
      <w:marRight w:val="0"/>
      <w:marTop w:val="0"/>
      <w:marBottom w:val="0"/>
      <w:divBdr>
        <w:top w:val="none" w:sz="0" w:space="0" w:color="auto"/>
        <w:left w:val="none" w:sz="0" w:space="0" w:color="auto"/>
        <w:bottom w:val="none" w:sz="0" w:space="0" w:color="auto"/>
        <w:right w:val="none" w:sz="0" w:space="0" w:color="auto"/>
      </w:divBdr>
    </w:div>
    <w:div w:id="631904479">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665128575">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66525109">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11706610">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06278225">
      <w:bodyDiv w:val="1"/>
      <w:marLeft w:val="0"/>
      <w:marRight w:val="0"/>
      <w:marTop w:val="0"/>
      <w:marBottom w:val="0"/>
      <w:divBdr>
        <w:top w:val="none" w:sz="0" w:space="0" w:color="auto"/>
        <w:left w:val="none" w:sz="0" w:space="0" w:color="auto"/>
        <w:bottom w:val="none" w:sz="0" w:space="0" w:color="auto"/>
        <w:right w:val="none" w:sz="0" w:space="0" w:color="auto"/>
      </w:divBdr>
    </w:div>
    <w:div w:id="1330909526">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450705248">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51009634">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7446111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28678495">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229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24321-138A-446C-9184-D368846D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2022-05-23T07:56:00Z</cp:lastPrinted>
  <dcterms:created xsi:type="dcterms:W3CDTF">2022-09-06T10:29:00Z</dcterms:created>
  <dcterms:modified xsi:type="dcterms:W3CDTF">2022-09-06T10:29:00Z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