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A8" w:rsidRDefault="00A64CBA">
      <w:pPr>
        <w:jc w:val="center"/>
        <w:outlineLvl w:val="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noProof/>
          <w:lang w:val="en-ZA"/>
        </w:rP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1731645</wp:posOffset>
            </wp:positionH>
            <wp:positionV relativeFrom="page">
              <wp:posOffset>361950</wp:posOffset>
            </wp:positionV>
            <wp:extent cx="3965575" cy="1797686"/>
            <wp:effectExtent l="0" t="0" r="0" b="0"/>
            <wp:wrapThrough wrapText="bothSides" distL="50800" distR="508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3604" t="5807" r="13362" b="70718"/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1797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125A8" w:rsidRDefault="007125A8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7125A8" w:rsidRDefault="007125A8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7125A8" w:rsidRDefault="007125A8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7125A8" w:rsidRDefault="007125A8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7125A8" w:rsidRDefault="007125A8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7125A8" w:rsidRDefault="007125A8">
      <w:pPr>
        <w:outlineLvl w:val="0"/>
        <w:rPr>
          <w:rFonts w:ascii="Arial" w:eastAsia="Arial" w:hAnsi="Arial" w:cs="Arial"/>
          <w:b/>
          <w:bCs/>
          <w:color w:val="FF0000"/>
        </w:rPr>
      </w:pPr>
    </w:p>
    <w:p w:rsidR="007125A8" w:rsidRDefault="007125A8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7125A8" w:rsidRDefault="007125A8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AE0451" w:rsidRDefault="00AE0451">
      <w:pPr>
        <w:jc w:val="center"/>
        <w:outlineLvl w:val="0"/>
        <w:rPr>
          <w:rFonts w:ascii="Arial" w:hAnsi="Arial"/>
          <w:b/>
          <w:bCs/>
        </w:rPr>
      </w:pPr>
    </w:p>
    <w:p w:rsidR="007125A8" w:rsidRDefault="00A64CBA">
      <w:pPr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NATIONAL ASSEMBLY</w:t>
      </w:r>
    </w:p>
    <w:p w:rsidR="007125A8" w:rsidRDefault="007125A8">
      <w:pPr>
        <w:jc w:val="both"/>
        <w:outlineLvl w:val="0"/>
        <w:rPr>
          <w:rFonts w:ascii="Arial" w:eastAsia="Arial" w:hAnsi="Arial" w:cs="Arial"/>
          <w:b/>
          <w:bCs/>
        </w:rPr>
      </w:pPr>
    </w:p>
    <w:p w:rsidR="007125A8" w:rsidRDefault="007125A8">
      <w:pPr>
        <w:jc w:val="both"/>
        <w:outlineLvl w:val="0"/>
        <w:rPr>
          <w:rFonts w:ascii="Arial" w:eastAsia="Arial" w:hAnsi="Arial" w:cs="Arial"/>
          <w:b/>
          <w:bCs/>
        </w:rPr>
      </w:pPr>
    </w:p>
    <w:p w:rsidR="007125A8" w:rsidRDefault="00A64CBA">
      <w:pPr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WRITTEN REPLY</w:t>
      </w:r>
    </w:p>
    <w:p w:rsidR="007125A8" w:rsidRDefault="007125A8">
      <w:pPr>
        <w:jc w:val="both"/>
        <w:outlineLvl w:val="0"/>
        <w:rPr>
          <w:rFonts w:ascii="Arial" w:eastAsia="Arial" w:hAnsi="Arial" w:cs="Arial"/>
          <w:b/>
          <w:bCs/>
        </w:rPr>
      </w:pPr>
    </w:p>
    <w:p w:rsidR="007125A8" w:rsidRDefault="00A64CBA">
      <w:pPr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PARLIAMENTARY QUESTION:  1565</w:t>
      </w:r>
    </w:p>
    <w:p w:rsidR="007125A8" w:rsidRDefault="007125A8">
      <w:pPr>
        <w:jc w:val="both"/>
        <w:outlineLvl w:val="0"/>
        <w:rPr>
          <w:rFonts w:ascii="Arial" w:eastAsia="Arial" w:hAnsi="Arial" w:cs="Arial"/>
          <w:b/>
          <w:bCs/>
        </w:rPr>
      </w:pPr>
    </w:p>
    <w:p w:rsidR="00AE0451" w:rsidRDefault="00A64CBA">
      <w:pPr>
        <w:jc w:val="both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 OF PUBLICATION: 2 June 2017 </w:t>
      </w:r>
    </w:p>
    <w:p w:rsidR="007125A8" w:rsidRDefault="00A64CBA">
      <w:pPr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7125A8" w:rsidRDefault="00A64CBA">
      <w:pPr>
        <w:spacing w:before="100" w:after="10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Dr MJ Cardo (DA) to ask the Minister of Economic Development: </w:t>
      </w:r>
    </w:p>
    <w:p w:rsidR="007125A8" w:rsidRDefault="00A64CBA">
      <w:pPr>
        <w:spacing w:before="100" w:after="10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color w:val="1C1C1B"/>
          <w:u w:color="1C1C1B"/>
        </w:rPr>
        <w:t xml:space="preserve">Did the International Trade Administration Commission oppose the introduction </w:t>
      </w:r>
      <w:r>
        <w:rPr>
          <w:rFonts w:ascii="Arial" w:hAnsi="Arial"/>
          <w:color w:val="1C1C1B"/>
          <w:u w:color="1C1C1B"/>
        </w:rPr>
        <w:t>of a 12% safeguard duty on imported hot-</w:t>
      </w:r>
      <w:r>
        <w:rPr>
          <w:rFonts w:ascii="Arial" w:hAnsi="Arial"/>
        </w:rPr>
        <w:t>rolled</w:t>
      </w:r>
      <w:r>
        <w:rPr>
          <w:rFonts w:ascii="Arial" w:hAnsi="Arial"/>
          <w:color w:val="1C1C1B"/>
          <w:u w:color="1C1C1B"/>
        </w:rPr>
        <w:t xml:space="preserve"> steel in an essential facts letter issued in 2017; if not, what is the position in this </w:t>
      </w:r>
      <w:r>
        <w:rPr>
          <w:rFonts w:ascii="Arial" w:hAnsi="Arial"/>
        </w:rPr>
        <w:t>regard</w:t>
      </w:r>
      <w:r>
        <w:rPr>
          <w:rFonts w:ascii="Arial" w:hAnsi="Arial"/>
          <w:color w:val="1C1C1B"/>
          <w:u w:color="1C1C1B"/>
        </w:rPr>
        <w:t>; if so, (a) why and (b) what are the further relevant details in this regard</w:t>
      </w:r>
      <w:r>
        <w:rPr>
          <w:rFonts w:ascii="Arial" w:hAnsi="Arial"/>
        </w:rPr>
        <w:t xml:space="preserve">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NW1766E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 xml:space="preserve">                                                                </w:t>
      </w:r>
    </w:p>
    <w:p w:rsidR="007125A8" w:rsidRDefault="00A64CBA">
      <w:pPr>
        <w:spacing w:before="100" w:after="100" w:line="360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color w:val="252525"/>
          <w:u w:val="single" w:color="252525"/>
        </w:rPr>
        <w:t>REPLY:</w:t>
      </w:r>
    </w:p>
    <w:p w:rsidR="007125A8" w:rsidRDefault="00A64C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The Chief Commissioner of the International Trade Administration Commission (ITAC) has advised that as part of its standard procedure before making a final determination on trade remed</w:t>
      </w:r>
      <w:r>
        <w:rPr>
          <w:rFonts w:ascii="Arial" w:hAnsi="Arial"/>
        </w:rPr>
        <w:t xml:space="preserve">ies, it normally issues essential facts letters.  The purpose of an essential facts letter is to </w:t>
      </w:r>
      <w:bookmarkStart w:id="0" w:name="_GoBack"/>
      <w:bookmarkEnd w:id="0"/>
      <w:r>
        <w:rPr>
          <w:rFonts w:ascii="Arial" w:hAnsi="Arial"/>
        </w:rPr>
        <w:t>inform the applicant and interested parties of the relevant factors that the Commission was considering in making a final determination for all the participant</w:t>
      </w:r>
      <w:r>
        <w:rPr>
          <w:rFonts w:ascii="Arial" w:hAnsi="Arial"/>
        </w:rPr>
        <w:t>s to comment.  It is always emphasised in these letters that the Commission has not yet made its final determination and nothing in these letters should be construed as such.</w:t>
      </w:r>
    </w:p>
    <w:p w:rsidR="007125A8" w:rsidRDefault="007125A8">
      <w:pPr>
        <w:spacing w:line="360" w:lineRule="auto"/>
        <w:jc w:val="both"/>
        <w:rPr>
          <w:rFonts w:ascii="Arial" w:eastAsia="Arial" w:hAnsi="Arial" w:cs="Arial"/>
        </w:rPr>
      </w:pPr>
    </w:p>
    <w:p w:rsidR="007125A8" w:rsidRDefault="00A64C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 the case of hot-rolled steel, the Commission relayed in the essential facts l</w:t>
      </w:r>
      <w:r>
        <w:rPr>
          <w:rFonts w:ascii="Arial" w:hAnsi="Arial"/>
        </w:rPr>
        <w:t xml:space="preserve">etter that it was considering making a final determination that: there were </w:t>
      </w:r>
      <w:r>
        <w:rPr>
          <w:rFonts w:ascii="Arial" w:hAnsi="Arial"/>
        </w:rPr>
        <w:t>unforeseen</w:t>
      </w:r>
      <w:r>
        <w:rPr>
          <w:rFonts w:ascii="Arial" w:hAnsi="Arial"/>
        </w:rPr>
        <w:t xml:space="preserve"> developments; there was a surge in imports; there was serious injury to the domestic industry caused by a surge in imports; and that it was also considering not recommen</w:t>
      </w:r>
      <w:r>
        <w:rPr>
          <w:rFonts w:ascii="Arial" w:hAnsi="Arial"/>
        </w:rPr>
        <w:t xml:space="preserve">ding imposition of safeguard measures on public interest grounds.  </w:t>
      </w:r>
      <w:r>
        <w:rPr>
          <w:rFonts w:ascii="Arial" w:hAnsi="Arial"/>
        </w:rPr>
        <w:t xml:space="preserve">It then called on parties to comment on these. ITAC </w:t>
      </w:r>
      <w:r>
        <w:rPr>
          <w:rFonts w:ascii="Arial" w:hAnsi="Arial"/>
        </w:rPr>
        <w:t>consider</w:t>
      </w:r>
      <w:r>
        <w:rPr>
          <w:rFonts w:ascii="Arial" w:hAnsi="Arial"/>
        </w:rPr>
        <w:t xml:space="preserve">ed </w:t>
      </w:r>
      <w:r>
        <w:rPr>
          <w:rFonts w:ascii="Arial" w:hAnsi="Arial"/>
        </w:rPr>
        <w:t>comments received from the applicant and interested parties</w:t>
      </w:r>
      <w:r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the Commission made a final determination.  </w:t>
      </w:r>
    </w:p>
    <w:p w:rsidR="007125A8" w:rsidRDefault="007125A8">
      <w:pPr>
        <w:spacing w:line="360" w:lineRule="auto"/>
        <w:jc w:val="both"/>
        <w:rPr>
          <w:rFonts w:ascii="Arial" w:eastAsia="Arial" w:hAnsi="Arial" w:cs="Arial"/>
        </w:rPr>
      </w:pPr>
    </w:p>
    <w:p w:rsidR="007125A8" w:rsidRDefault="007125A8">
      <w:pPr>
        <w:spacing w:line="360" w:lineRule="auto"/>
        <w:jc w:val="both"/>
        <w:rPr>
          <w:rFonts w:ascii="Arial" w:eastAsia="Arial" w:hAnsi="Arial" w:cs="Arial"/>
        </w:rPr>
      </w:pPr>
    </w:p>
    <w:p w:rsidR="007125A8" w:rsidRDefault="007125A8">
      <w:pPr>
        <w:spacing w:line="360" w:lineRule="auto"/>
        <w:jc w:val="both"/>
        <w:rPr>
          <w:rFonts w:ascii="Arial" w:eastAsia="Arial" w:hAnsi="Arial" w:cs="Arial"/>
        </w:rPr>
      </w:pPr>
    </w:p>
    <w:p w:rsidR="007125A8" w:rsidRDefault="00A64C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The contents </w:t>
      </w:r>
      <w:r>
        <w:rPr>
          <w:rFonts w:ascii="Arial" w:hAnsi="Arial"/>
        </w:rPr>
        <w:t>of its final determination and reasons will be made public once the Report of the Commission on the safeguard investigation on hot-rolled steel is published for implementation by the Ministry of Finance.</w:t>
      </w:r>
      <w:r>
        <w:rPr>
          <w:rFonts w:ascii="Arial" w:hAnsi="Arial"/>
        </w:rPr>
        <w:t>”</w:t>
      </w:r>
    </w:p>
    <w:p w:rsidR="007125A8" w:rsidRDefault="007125A8">
      <w:pPr>
        <w:rPr>
          <w:rFonts w:ascii="Arial" w:eastAsia="Arial" w:hAnsi="Arial" w:cs="Arial"/>
        </w:rPr>
      </w:pPr>
    </w:p>
    <w:p w:rsidR="007125A8" w:rsidRDefault="007125A8">
      <w:pPr>
        <w:rPr>
          <w:rFonts w:ascii="Arial" w:eastAsia="Arial" w:hAnsi="Arial" w:cs="Arial"/>
        </w:rPr>
      </w:pPr>
    </w:p>
    <w:p w:rsidR="007125A8" w:rsidRDefault="00A64CBA">
      <w:pPr>
        <w:spacing w:after="15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                                       </w:t>
      </w:r>
      <w:r>
        <w:rPr>
          <w:rFonts w:ascii="Arial" w:eastAsia="Arial" w:hAnsi="Arial" w:cs="Arial"/>
          <w:b/>
          <w:bCs/>
        </w:rPr>
        <w:t xml:space="preserve">                                                            </w:t>
      </w:r>
    </w:p>
    <w:p w:rsidR="007125A8" w:rsidRDefault="00A37C6D" w:rsidP="00A37C6D">
      <w:pPr>
        <w:pStyle w:val="PlainText"/>
        <w:spacing w:line="360" w:lineRule="auto"/>
        <w:jc w:val="center"/>
      </w:pPr>
      <w:r>
        <w:rPr>
          <w:rFonts w:ascii="Arial" w:hAnsi="Arial"/>
          <w:b/>
          <w:bCs/>
          <w:sz w:val="24"/>
          <w:szCs w:val="24"/>
        </w:rPr>
        <w:t>-END-</w:t>
      </w:r>
    </w:p>
    <w:sectPr w:rsidR="007125A8">
      <w:headerReference w:type="default" r:id="rId7"/>
      <w:footerReference w:type="default" r:id="rId8"/>
      <w:pgSz w:w="11900" w:h="16840"/>
      <w:pgMar w:top="993" w:right="1327" w:bottom="709" w:left="1560" w:header="709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BA" w:rsidRDefault="00A64CBA">
      <w:r>
        <w:separator/>
      </w:r>
    </w:p>
  </w:endnote>
  <w:endnote w:type="continuationSeparator" w:id="0">
    <w:p w:rsidR="00A64CBA" w:rsidRDefault="00A6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A8" w:rsidRDefault="00A64CBA">
    <w:pPr>
      <w:pStyle w:val="Body1"/>
      <w:tabs>
        <w:tab w:val="center" w:pos="4320"/>
        <w:tab w:val="center" w:pos="4513"/>
        <w:tab w:val="right" w:pos="8620"/>
        <w:tab w:val="right" w:pos="8640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A37C6D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</w:p>
  <w:p w:rsidR="007125A8" w:rsidRDefault="00A64CBA">
    <w:pPr>
      <w:pStyle w:val="Body1"/>
      <w:tabs>
        <w:tab w:val="center" w:pos="4320"/>
        <w:tab w:val="center" w:pos="4513"/>
        <w:tab w:val="right" w:pos="8620"/>
        <w:tab w:val="right" w:pos="8640"/>
      </w:tabs>
      <w:jc w:val="center"/>
    </w:pPr>
    <w:r>
      <w:rPr>
        <w:rFonts w:ascii="Arial" w:hAnsi="Arial"/>
        <w:sz w:val="16"/>
        <w:szCs w:val="16"/>
      </w:rPr>
      <w:t xml:space="preserve">Parliamentary Question No 1565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BA" w:rsidRDefault="00A64CBA">
      <w:r>
        <w:separator/>
      </w:r>
    </w:p>
  </w:footnote>
  <w:footnote w:type="continuationSeparator" w:id="0">
    <w:p w:rsidR="00A64CBA" w:rsidRDefault="00A6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A8" w:rsidRDefault="007125A8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A8"/>
    <w:rsid w:val="007125A8"/>
    <w:rsid w:val="00A37C6D"/>
    <w:rsid w:val="00A64CBA"/>
    <w:rsid w:val="00A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4C1CB-15FD-41AF-A23B-87FAE4A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MTMushi</dc:creator>
  <cp:lastModifiedBy>MTMushi</cp:lastModifiedBy>
  <cp:revision>2</cp:revision>
  <dcterms:created xsi:type="dcterms:W3CDTF">2017-06-19T09:42:00Z</dcterms:created>
  <dcterms:modified xsi:type="dcterms:W3CDTF">2017-06-19T09:42:00Z</dcterms:modified>
</cp:coreProperties>
</file>