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345F4A">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345F4A">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345F4A">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345F4A">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345F4A">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345F4A">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345F4A">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0545B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u w:val="single"/>
          <w:bdr w:val="nil"/>
          <w:lang w:val="en-US"/>
        </w:rPr>
      </w:pPr>
    </w:p>
    <w:p w:rsidR="0083640D" w:rsidRPr="00655403" w:rsidRDefault="0083640D" w:rsidP="000545B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u w:val="single"/>
          <w:bdr w:val="nil"/>
          <w:lang w:val="en-US"/>
        </w:rPr>
      </w:pPr>
    </w:p>
    <w:p w:rsidR="006C22EF" w:rsidRPr="00655403" w:rsidRDefault="006C22EF" w:rsidP="000545B4">
      <w:pPr>
        <w:pBdr>
          <w:top w:val="nil"/>
          <w:left w:val="nil"/>
          <w:bottom w:val="nil"/>
          <w:right w:val="nil"/>
          <w:between w:val="nil"/>
          <w:bar w:val="nil"/>
        </w:pBdr>
        <w:spacing w:after="0" w:line="360" w:lineRule="auto"/>
        <w:jc w:val="both"/>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0545B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0545B4">
      <w:pPr>
        <w:pBdr>
          <w:top w:val="nil"/>
          <w:left w:val="nil"/>
          <w:bottom w:val="nil"/>
          <w:right w:val="nil"/>
          <w:between w:val="nil"/>
          <w:bar w:val="nil"/>
        </w:pBdr>
        <w:spacing w:after="0" w:line="360" w:lineRule="auto"/>
        <w:jc w:val="both"/>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6178F2"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1553</w:t>
      </w:r>
    </w:p>
    <w:p w:rsidR="006C22EF" w:rsidRPr="00655403" w:rsidRDefault="002F279D"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178F2">
        <w:rPr>
          <w:rFonts w:ascii="Arial Narrow" w:eastAsia="Arial Unicode MS" w:hAnsi="Arial Narrow" w:cs="Times New Roman"/>
          <w:b/>
          <w:bCs/>
          <w:sz w:val="24"/>
          <w:szCs w:val="24"/>
          <w:bdr w:val="nil"/>
          <w:lang w:val="en-US"/>
        </w:rPr>
        <w:t>28</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6178F2" w:rsidP="000545B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15</w:t>
      </w:r>
    </w:p>
    <w:p w:rsidR="006C22EF" w:rsidRPr="00655403" w:rsidRDefault="00B12CA0" w:rsidP="000545B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E47B09">
        <w:rPr>
          <w:rFonts w:ascii="Arial Narrow" w:eastAsia="Arial Unicode MS" w:hAnsi="Arial Narrow" w:cs="Times New Roman"/>
          <w:b/>
          <w:bCs/>
          <w:sz w:val="24"/>
          <w:szCs w:val="24"/>
          <w:bdr w:val="nil"/>
          <w:lang w:val="en-US"/>
        </w:rPr>
        <w:t>02 June 2021</w:t>
      </w:r>
    </w:p>
    <w:p w:rsidR="002F397B" w:rsidRDefault="002F397B"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u w:val="single"/>
          <w:bdr w:val="nil"/>
          <w:lang w:val="en-US"/>
        </w:rPr>
      </w:pPr>
    </w:p>
    <w:p w:rsidR="00BC2B1A" w:rsidRPr="00655403" w:rsidRDefault="00BC2B1A"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u w:val="single"/>
          <w:bdr w:val="nil"/>
          <w:lang w:val="en-US"/>
        </w:rPr>
      </w:pPr>
    </w:p>
    <w:p w:rsidR="00BC2B1A" w:rsidRDefault="00BC2B1A" w:rsidP="000545B4">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5F2E76" w:rsidRDefault="006178F2" w:rsidP="000545B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6178F2">
        <w:rPr>
          <w:rFonts w:ascii="Arial Narrow" w:eastAsia="Calibri" w:hAnsi="Arial Narrow" w:cs="Times New Roman"/>
          <w:sz w:val="24"/>
          <w:szCs w:val="24"/>
        </w:rPr>
        <w:t>(a) What is the planned final deadline for the finalisation of the Tourism Recovery Plan, (b) what are the (i) timelines, (ii) time frames and (iii) deadlines for the finalisation of the plan, (c) how was the plan drawn up, (d) who was consulted, (e) what data was (i) obtained and (ii) used and (f) what are the budget allocations for each line item?</w:t>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r>
      <w:r w:rsidRPr="006178F2">
        <w:rPr>
          <w:rFonts w:ascii="Arial Narrow" w:eastAsia="Calibri" w:hAnsi="Arial Narrow" w:cs="Times New Roman"/>
          <w:sz w:val="24"/>
          <w:szCs w:val="24"/>
        </w:rPr>
        <w:tab/>
        <w:t>NW1757E</w:t>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54543B" w:rsidRPr="0054543B">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0545B4">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93143D" w:rsidRPr="006178F2" w:rsidRDefault="006178F2" w:rsidP="000545B4">
      <w:pPr>
        <w:pBdr>
          <w:top w:val="nil"/>
          <w:left w:val="nil"/>
          <w:bottom w:val="nil"/>
          <w:right w:val="nil"/>
          <w:between w:val="nil"/>
          <w:bar w:val="nil"/>
        </w:pBdr>
        <w:tabs>
          <w:tab w:val="left" w:pos="284"/>
          <w:tab w:val="left" w:pos="851"/>
        </w:tabs>
        <w:spacing w:after="0" w:line="360" w:lineRule="auto"/>
        <w:jc w:val="both"/>
        <w:rPr>
          <w:rFonts w:ascii="Arial Narrow" w:eastAsia="Calibri" w:hAnsi="Arial Narrow" w:cs="Times New Roman"/>
          <w:sz w:val="24"/>
          <w:szCs w:val="24"/>
          <w:lang w:val="af-ZA"/>
        </w:rPr>
      </w:pPr>
      <w:r w:rsidRPr="006178F2">
        <w:rPr>
          <w:rFonts w:ascii="Arial Narrow" w:eastAsia="Calibri" w:hAnsi="Arial Narrow" w:cs="Times New Roman"/>
          <w:sz w:val="24"/>
          <w:szCs w:val="24"/>
        </w:rPr>
        <w:t>(a</w:t>
      </w:r>
      <w:r>
        <w:rPr>
          <w:rFonts w:ascii="Arial Narrow" w:eastAsia="Calibri" w:hAnsi="Arial Narrow" w:cs="Times New Roman"/>
          <w:sz w:val="24"/>
          <w:szCs w:val="24"/>
        </w:rPr>
        <w:t xml:space="preserve">) </w:t>
      </w:r>
      <w:r w:rsidRPr="006178F2">
        <w:rPr>
          <w:rFonts w:ascii="Arial Narrow" w:eastAsia="Calibri" w:hAnsi="Arial Narrow" w:cs="Times New Roman"/>
          <w:sz w:val="24"/>
          <w:szCs w:val="24"/>
        </w:rPr>
        <w:t xml:space="preserve">&amp; (b) </w:t>
      </w:r>
      <w:r w:rsidR="009175C4">
        <w:rPr>
          <w:rFonts w:ascii="Arial Narrow" w:eastAsia="Calibri" w:hAnsi="Arial Narrow" w:cs="Times New Roman"/>
          <w:sz w:val="24"/>
          <w:szCs w:val="24"/>
        </w:rPr>
        <w:t>(i) – (iii)</w:t>
      </w:r>
      <w:r w:rsidRPr="006178F2">
        <w:rPr>
          <w:rFonts w:ascii="Arial Narrow" w:eastAsia="Calibri" w:hAnsi="Arial Narrow" w:cs="Times New Roman"/>
          <w:sz w:val="24"/>
          <w:szCs w:val="24"/>
        </w:rPr>
        <w:t xml:space="preserve"> Finalisation of the Tourism Recovery Plan.  </w:t>
      </w:r>
    </w:p>
    <w:p w:rsidR="0054543B" w:rsidRDefault="00BA001A" w:rsidP="000545B4">
      <w:pPr>
        <w:pStyle w:val="ListParagraph"/>
        <w:pBdr>
          <w:top w:val="nil"/>
          <w:left w:val="nil"/>
          <w:bottom w:val="nil"/>
          <w:right w:val="nil"/>
          <w:between w:val="nil"/>
          <w:bar w:val="nil"/>
        </w:pBdr>
        <w:tabs>
          <w:tab w:val="left" w:pos="851"/>
        </w:tabs>
        <w:spacing w:after="0" w:line="36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The Tourism Sector Recovery Plan was approved by Cabine</w:t>
      </w:r>
      <w:r w:rsidR="000545B4">
        <w:rPr>
          <w:rFonts w:ascii="Arial Narrow" w:eastAsia="Calibri" w:hAnsi="Arial Narrow" w:cs="Times New Roman"/>
          <w:sz w:val="24"/>
          <w:szCs w:val="24"/>
        </w:rPr>
        <w:t>t</w:t>
      </w:r>
      <w:r>
        <w:rPr>
          <w:rFonts w:ascii="Arial Narrow" w:eastAsia="Calibri" w:hAnsi="Arial Narrow" w:cs="Times New Roman"/>
          <w:sz w:val="24"/>
          <w:szCs w:val="24"/>
        </w:rPr>
        <w:t xml:space="preserve"> on 21 April 2021 and is a three-year recovery plan for the tourism sector ending in March 2024.</w:t>
      </w:r>
    </w:p>
    <w:p w:rsidR="0054543B" w:rsidRDefault="0054543B" w:rsidP="000545B4">
      <w:pPr>
        <w:pStyle w:val="ListParagraph"/>
        <w:pBdr>
          <w:top w:val="nil"/>
          <w:left w:val="nil"/>
          <w:bottom w:val="nil"/>
          <w:right w:val="nil"/>
          <w:between w:val="nil"/>
          <w:bar w:val="nil"/>
        </w:pBdr>
        <w:tabs>
          <w:tab w:val="left" w:pos="851"/>
        </w:tabs>
        <w:spacing w:after="0" w:line="360" w:lineRule="auto"/>
        <w:ind w:left="851"/>
        <w:jc w:val="both"/>
        <w:rPr>
          <w:rFonts w:ascii="Arial Narrow" w:eastAsia="Calibri" w:hAnsi="Arial Narrow" w:cs="Times New Roman"/>
          <w:sz w:val="24"/>
          <w:szCs w:val="24"/>
        </w:rPr>
      </w:pPr>
    </w:p>
    <w:p w:rsidR="0054543B" w:rsidRPr="006178F2" w:rsidRDefault="006178F2" w:rsidP="000545B4">
      <w:pPr>
        <w:pBdr>
          <w:top w:val="nil"/>
          <w:left w:val="nil"/>
          <w:bottom w:val="nil"/>
          <w:right w:val="nil"/>
          <w:between w:val="nil"/>
          <w:bar w:val="nil"/>
        </w:pBdr>
        <w:tabs>
          <w:tab w:val="left" w:pos="851"/>
        </w:tabs>
        <w:spacing w:after="0"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(c) </w:t>
      </w:r>
      <w:r>
        <w:rPr>
          <w:rFonts w:ascii="Arial Narrow" w:eastAsia="Calibri" w:hAnsi="Arial Narrow" w:cs="Times New Roman"/>
          <w:sz w:val="24"/>
          <w:szCs w:val="24"/>
          <w:lang w:val="af-ZA"/>
        </w:rPr>
        <w:tab/>
      </w:r>
      <w:r w:rsidRPr="006178F2">
        <w:rPr>
          <w:rFonts w:ascii="Arial Narrow" w:eastAsia="Calibri" w:hAnsi="Arial Narrow" w:cs="Times New Roman"/>
          <w:sz w:val="24"/>
          <w:szCs w:val="24"/>
          <w:lang w:val="af-ZA"/>
        </w:rPr>
        <w:t>How was the plan drawn up.</w:t>
      </w:r>
    </w:p>
    <w:p w:rsidR="006178F2" w:rsidRDefault="00BA001A" w:rsidP="000545B4">
      <w:pPr>
        <w:pBdr>
          <w:top w:val="nil"/>
          <w:left w:val="nil"/>
          <w:bottom w:val="nil"/>
          <w:right w:val="nil"/>
          <w:between w:val="nil"/>
          <w:bar w:val="nil"/>
        </w:pBdr>
        <w:tabs>
          <w:tab w:val="left" w:pos="851"/>
        </w:tabs>
        <w:spacing w:after="0" w:line="360" w:lineRule="auto"/>
        <w:ind w:left="851"/>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The Tourism Sector Recovery Plan was drafted in consultation with the entire tourism sector including private and public sector.</w:t>
      </w:r>
    </w:p>
    <w:p w:rsidR="00BA001A" w:rsidRDefault="00BA001A" w:rsidP="000545B4">
      <w:pPr>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br w:type="page"/>
      </w:r>
    </w:p>
    <w:p w:rsidR="00BA001A" w:rsidRPr="006178F2" w:rsidRDefault="00BA001A" w:rsidP="000545B4">
      <w:pPr>
        <w:pBdr>
          <w:top w:val="nil"/>
          <w:left w:val="nil"/>
          <w:bottom w:val="nil"/>
          <w:right w:val="nil"/>
          <w:between w:val="nil"/>
          <w:bar w:val="nil"/>
        </w:pBdr>
        <w:tabs>
          <w:tab w:val="left" w:pos="851"/>
        </w:tabs>
        <w:spacing w:after="0" w:line="360" w:lineRule="auto"/>
        <w:ind w:left="851"/>
        <w:jc w:val="both"/>
        <w:rPr>
          <w:rFonts w:ascii="Arial Narrow" w:eastAsia="Calibri" w:hAnsi="Arial Narrow" w:cs="Times New Roman"/>
          <w:sz w:val="24"/>
          <w:szCs w:val="24"/>
          <w:lang w:val="af-ZA"/>
        </w:rPr>
      </w:pPr>
    </w:p>
    <w:p w:rsidR="006178F2" w:rsidRDefault="006178F2" w:rsidP="000545B4">
      <w:pPr>
        <w:ind w:left="851" w:hanging="851"/>
        <w:jc w:val="both"/>
        <w:rPr>
          <w:rFonts w:ascii="Arial Narrow" w:hAnsi="Arial Narrow"/>
          <w:sz w:val="24"/>
          <w:szCs w:val="24"/>
          <w:lang w:val="af-ZA"/>
        </w:rPr>
      </w:pPr>
      <w:r>
        <w:rPr>
          <w:rFonts w:ascii="Arial Narrow" w:hAnsi="Arial Narrow"/>
          <w:sz w:val="24"/>
          <w:szCs w:val="24"/>
          <w:lang w:val="af-ZA"/>
        </w:rPr>
        <w:t>(d)</w:t>
      </w:r>
      <w:r>
        <w:rPr>
          <w:rFonts w:ascii="Arial Narrow" w:hAnsi="Arial Narrow"/>
          <w:sz w:val="24"/>
          <w:szCs w:val="24"/>
          <w:lang w:val="af-ZA"/>
        </w:rPr>
        <w:tab/>
        <w:t>Who was consulted.</w:t>
      </w:r>
    </w:p>
    <w:p w:rsidR="00BA001A" w:rsidRDefault="00BA001A" w:rsidP="0054063D">
      <w:pPr>
        <w:spacing w:line="360" w:lineRule="auto"/>
        <w:ind w:left="851" w:hanging="851"/>
        <w:jc w:val="both"/>
        <w:rPr>
          <w:rFonts w:ascii="Arial Narrow" w:hAnsi="Arial Narrow"/>
          <w:sz w:val="24"/>
          <w:szCs w:val="24"/>
          <w:lang w:val="af-ZA"/>
        </w:rPr>
      </w:pPr>
      <w:r>
        <w:rPr>
          <w:rFonts w:ascii="Arial Narrow" w:hAnsi="Arial Narrow"/>
          <w:sz w:val="24"/>
          <w:szCs w:val="24"/>
          <w:lang w:val="af-ZA"/>
        </w:rPr>
        <w:tab/>
        <w:t>Every South African was provided an opportunity to provide inputs into the Plan noting that the Plan was published for Public Comment in August 2020. This was in addition to focused and targeted meetings and webinars with both public and private stakeholders within the tourism sector</w:t>
      </w:r>
      <w:r w:rsidR="000545B4">
        <w:rPr>
          <w:rFonts w:ascii="Arial Narrow" w:hAnsi="Arial Narrow"/>
          <w:sz w:val="24"/>
          <w:szCs w:val="24"/>
          <w:lang w:val="af-ZA"/>
        </w:rPr>
        <w:t xml:space="preserve"> value chain</w:t>
      </w:r>
      <w:r>
        <w:rPr>
          <w:rFonts w:ascii="Arial Narrow" w:hAnsi="Arial Narrow"/>
          <w:sz w:val="24"/>
          <w:szCs w:val="24"/>
          <w:lang w:val="af-ZA"/>
        </w:rPr>
        <w:t>.</w:t>
      </w:r>
    </w:p>
    <w:p w:rsidR="006178F2" w:rsidRDefault="006178F2" w:rsidP="000545B4">
      <w:pPr>
        <w:ind w:left="851" w:hanging="851"/>
        <w:jc w:val="both"/>
        <w:rPr>
          <w:rFonts w:ascii="Arial Narrow" w:hAnsi="Arial Narrow"/>
          <w:sz w:val="24"/>
          <w:szCs w:val="24"/>
          <w:lang w:val="af-ZA"/>
        </w:rPr>
      </w:pPr>
    </w:p>
    <w:p w:rsidR="00C54318" w:rsidRDefault="006178F2" w:rsidP="000545B4">
      <w:pPr>
        <w:ind w:left="851" w:hanging="851"/>
        <w:jc w:val="both"/>
        <w:rPr>
          <w:rFonts w:ascii="Arial Narrow" w:hAnsi="Arial Narrow"/>
          <w:sz w:val="24"/>
          <w:szCs w:val="24"/>
          <w:lang w:val="af-ZA"/>
        </w:rPr>
      </w:pPr>
      <w:r>
        <w:rPr>
          <w:rFonts w:ascii="Arial Narrow" w:hAnsi="Arial Narrow"/>
          <w:sz w:val="24"/>
          <w:szCs w:val="24"/>
          <w:lang w:val="af-ZA"/>
        </w:rPr>
        <w:t>(e)</w:t>
      </w:r>
      <w:r>
        <w:rPr>
          <w:rFonts w:ascii="Arial Narrow" w:hAnsi="Arial Narrow"/>
          <w:sz w:val="24"/>
          <w:szCs w:val="24"/>
          <w:lang w:val="af-ZA"/>
        </w:rPr>
        <w:tab/>
        <w:t xml:space="preserve">What data was </w:t>
      </w:r>
      <w:r w:rsidR="00C54318">
        <w:rPr>
          <w:rFonts w:ascii="Arial Narrow" w:hAnsi="Arial Narrow"/>
          <w:sz w:val="24"/>
          <w:szCs w:val="24"/>
          <w:lang w:val="af-ZA"/>
        </w:rPr>
        <w:t>(i) obtained and (ii) used.</w:t>
      </w:r>
    </w:p>
    <w:p w:rsidR="003252B3" w:rsidRDefault="003252B3" w:rsidP="0054063D">
      <w:pPr>
        <w:spacing w:line="360" w:lineRule="auto"/>
        <w:ind w:left="851" w:hanging="851"/>
        <w:jc w:val="both"/>
        <w:rPr>
          <w:rFonts w:ascii="Arial Narrow" w:hAnsi="Arial Narrow"/>
          <w:sz w:val="24"/>
          <w:szCs w:val="24"/>
          <w:lang w:val="af-ZA"/>
        </w:rPr>
      </w:pPr>
      <w:r>
        <w:rPr>
          <w:rFonts w:ascii="Arial Narrow" w:hAnsi="Arial Narrow"/>
          <w:sz w:val="24"/>
          <w:szCs w:val="24"/>
          <w:lang w:val="af-ZA"/>
        </w:rPr>
        <w:tab/>
        <w:t xml:space="preserve">To </w:t>
      </w:r>
      <w:r w:rsidR="000545B4">
        <w:rPr>
          <w:rFonts w:ascii="Arial Narrow" w:hAnsi="Arial Narrow"/>
          <w:sz w:val="24"/>
          <w:szCs w:val="24"/>
          <w:lang w:val="af-ZA"/>
        </w:rPr>
        <w:t xml:space="preserve">properly baseline the pandemic’s impact a modified dynamic input-output table was used to model the effect of exogenous changes in tourism spending on final demand, This analysis approximated COVID-19 impact on tourism at a subsector level and enabled estimation of </w:t>
      </w:r>
      <w:r w:rsidR="00C6763A">
        <w:rPr>
          <w:rFonts w:ascii="Arial Narrow" w:hAnsi="Arial Narrow"/>
          <w:sz w:val="24"/>
          <w:szCs w:val="24"/>
          <w:lang w:val="af-ZA"/>
        </w:rPr>
        <w:t>income</w:t>
      </w:r>
      <w:r w:rsidR="000545B4">
        <w:rPr>
          <w:rFonts w:ascii="Arial Narrow" w:hAnsi="Arial Narrow"/>
          <w:sz w:val="24"/>
          <w:szCs w:val="24"/>
          <w:lang w:val="af-ZA"/>
        </w:rPr>
        <w:t xml:space="preserve"> and employment levels based on proposed interventions and stimuli. The model used existing data sources, amongst others, the Tourism Satellite Account and the Domestic and International Tourism Surveys. The model also drawed on survey data gathered during the development of the Tourism Sector Recovery Plan.</w:t>
      </w:r>
    </w:p>
    <w:p w:rsidR="009175C4" w:rsidRDefault="009175C4" w:rsidP="000545B4">
      <w:pPr>
        <w:ind w:left="851" w:hanging="851"/>
        <w:jc w:val="both"/>
        <w:rPr>
          <w:rFonts w:ascii="Arial Narrow" w:hAnsi="Arial Narrow"/>
          <w:sz w:val="24"/>
          <w:szCs w:val="24"/>
          <w:lang w:val="af-ZA"/>
        </w:rPr>
      </w:pPr>
    </w:p>
    <w:p w:rsidR="006178F2" w:rsidRPr="006178F2" w:rsidRDefault="006178F2" w:rsidP="000545B4">
      <w:pPr>
        <w:ind w:left="851" w:hanging="851"/>
        <w:jc w:val="both"/>
        <w:rPr>
          <w:rFonts w:ascii="Arial Narrow" w:hAnsi="Arial Narrow"/>
          <w:sz w:val="24"/>
          <w:szCs w:val="24"/>
          <w:lang w:val="af-ZA"/>
        </w:rPr>
      </w:pPr>
      <w:r w:rsidRPr="006178F2">
        <w:rPr>
          <w:rFonts w:ascii="Arial Narrow" w:hAnsi="Arial Narrow"/>
          <w:sz w:val="24"/>
          <w:szCs w:val="24"/>
          <w:lang w:val="af-ZA"/>
        </w:rPr>
        <w:t xml:space="preserve">(f) </w:t>
      </w:r>
      <w:r w:rsidR="00C54318">
        <w:rPr>
          <w:rFonts w:ascii="Arial Narrow" w:hAnsi="Arial Narrow"/>
          <w:sz w:val="24"/>
          <w:szCs w:val="24"/>
          <w:lang w:val="af-ZA"/>
        </w:rPr>
        <w:tab/>
        <w:t>W</w:t>
      </w:r>
      <w:r w:rsidRPr="006178F2">
        <w:rPr>
          <w:rFonts w:ascii="Arial Narrow" w:hAnsi="Arial Narrow"/>
          <w:sz w:val="24"/>
          <w:szCs w:val="24"/>
          <w:lang w:val="af-ZA"/>
        </w:rPr>
        <w:t>hat are the budget allocations for each line item</w:t>
      </w:r>
      <w:r w:rsidR="00C54318">
        <w:rPr>
          <w:rFonts w:ascii="Arial Narrow" w:hAnsi="Arial Narrow"/>
          <w:sz w:val="24"/>
          <w:szCs w:val="24"/>
          <w:lang w:val="af-ZA"/>
        </w:rPr>
        <w:t>.</w:t>
      </w:r>
    </w:p>
    <w:p w:rsidR="00057208" w:rsidRPr="00E47B09" w:rsidRDefault="00BA001A" w:rsidP="00E47B09">
      <w:pPr>
        <w:pBdr>
          <w:top w:val="nil"/>
          <w:left w:val="nil"/>
          <w:bottom w:val="nil"/>
          <w:right w:val="nil"/>
          <w:between w:val="nil"/>
          <w:bar w:val="nil"/>
        </w:pBdr>
        <w:spacing w:after="0" w:line="360" w:lineRule="auto"/>
        <w:ind w:left="851" w:hanging="851"/>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ab/>
        <w:t xml:space="preserve">Noting the fiscal contrains within Government and mitigating against the risk of not receiving any additional funding for the implementation of the </w:t>
      </w:r>
      <w:r w:rsidR="00C6763A">
        <w:rPr>
          <w:rFonts w:ascii="Arial Narrow" w:eastAsia="Calibri" w:hAnsi="Arial Narrow" w:cs="Times New Roman"/>
          <w:sz w:val="24"/>
          <w:szCs w:val="24"/>
          <w:lang w:val="af-ZA"/>
        </w:rPr>
        <w:t>Plan</w:t>
      </w:r>
      <w:r>
        <w:rPr>
          <w:rFonts w:ascii="Arial Narrow" w:eastAsia="Calibri" w:hAnsi="Arial Narrow" w:cs="Times New Roman"/>
          <w:sz w:val="24"/>
          <w:szCs w:val="24"/>
          <w:lang w:val="af-ZA"/>
        </w:rPr>
        <w:t xml:space="preserve"> the Annual Performance Plans</w:t>
      </w:r>
      <w:r w:rsidR="00C6763A">
        <w:rPr>
          <w:rFonts w:ascii="Arial Narrow" w:eastAsia="Calibri" w:hAnsi="Arial Narrow" w:cs="Times New Roman"/>
          <w:sz w:val="24"/>
          <w:szCs w:val="24"/>
          <w:lang w:val="af-ZA"/>
        </w:rPr>
        <w:t>,</w:t>
      </w:r>
      <w:r>
        <w:rPr>
          <w:rFonts w:ascii="Arial Narrow" w:eastAsia="Calibri" w:hAnsi="Arial Narrow" w:cs="Times New Roman"/>
          <w:sz w:val="24"/>
          <w:szCs w:val="24"/>
          <w:lang w:val="af-ZA"/>
        </w:rPr>
        <w:t xml:space="preserve"> for both the Department of Tourism and South African Tourism</w:t>
      </w:r>
      <w:r w:rsidR="00C6763A">
        <w:rPr>
          <w:rFonts w:ascii="Arial Narrow" w:eastAsia="Calibri" w:hAnsi="Arial Narrow" w:cs="Times New Roman"/>
          <w:sz w:val="24"/>
          <w:szCs w:val="24"/>
          <w:lang w:val="af-ZA"/>
        </w:rPr>
        <w:t>,</w:t>
      </w:r>
      <w:r>
        <w:rPr>
          <w:rFonts w:ascii="Arial Narrow" w:eastAsia="Calibri" w:hAnsi="Arial Narrow" w:cs="Times New Roman"/>
          <w:sz w:val="24"/>
          <w:szCs w:val="24"/>
          <w:lang w:val="af-ZA"/>
        </w:rPr>
        <w:t xml:space="preserve"> </w:t>
      </w:r>
      <w:r w:rsidR="00C6763A">
        <w:rPr>
          <w:rFonts w:ascii="Arial Narrow" w:eastAsia="Calibri" w:hAnsi="Arial Narrow" w:cs="Times New Roman"/>
          <w:sz w:val="24"/>
          <w:szCs w:val="24"/>
          <w:lang w:val="af-ZA"/>
        </w:rPr>
        <w:t>focus</w:t>
      </w:r>
      <w:r>
        <w:rPr>
          <w:rFonts w:ascii="Arial Narrow" w:eastAsia="Calibri" w:hAnsi="Arial Narrow" w:cs="Times New Roman"/>
          <w:sz w:val="24"/>
          <w:szCs w:val="24"/>
          <w:lang w:val="af-ZA"/>
        </w:rPr>
        <w:t xml:space="preserve"> on the implimentation of the priorities identified in the Tourism Sector Recovery Plan.</w:t>
      </w:r>
      <w:bookmarkStart w:id="0" w:name="_GoBack"/>
      <w:bookmarkEnd w:id="0"/>
    </w:p>
    <w:sectPr w:rsidR="00057208" w:rsidRPr="00E47B09"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1F" w:rsidRDefault="00A0761F">
      <w:pPr>
        <w:spacing w:after="0" w:line="240" w:lineRule="auto"/>
      </w:pPr>
      <w:r>
        <w:separator/>
      </w:r>
    </w:p>
  </w:endnote>
  <w:endnote w:type="continuationSeparator" w:id="0">
    <w:p w:rsidR="00A0761F" w:rsidRDefault="00A07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6178F2" w:rsidP="002F279D">
        <w:pPr>
          <w:pStyle w:val="Footer"/>
          <w:tabs>
            <w:tab w:val="clear" w:pos="4513"/>
            <w:tab w:val="center" w:pos="5103"/>
          </w:tabs>
          <w:jc w:val="right"/>
          <w:rPr>
            <w:rFonts w:ascii="Arial Narrow" w:hAnsi="Arial Narrow"/>
          </w:rPr>
        </w:pPr>
        <w:r>
          <w:rPr>
            <w:rFonts w:ascii="Arial Narrow" w:hAnsi="Arial Narrow"/>
            <w:sz w:val="18"/>
            <w:szCs w:val="18"/>
          </w:rPr>
          <w:t>1553</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757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1468FA" w:rsidRPr="00013AC6">
          <w:rPr>
            <w:rFonts w:ascii="Arial Narrow" w:hAnsi="Arial Narrow"/>
          </w:rPr>
          <w:fldChar w:fldCharType="begin"/>
        </w:r>
        <w:r w:rsidR="00013AC6" w:rsidRPr="00013AC6">
          <w:rPr>
            <w:rFonts w:ascii="Arial Narrow" w:hAnsi="Arial Narrow"/>
          </w:rPr>
          <w:instrText xml:space="preserve"> PAGE   \* MERGEFORMAT </w:instrText>
        </w:r>
        <w:r w:rsidR="001468FA" w:rsidRPr="00013AC6">
          <w:rPr>
            <w:rFonts w:ascii="Arial Narrow" w:hAnsi="Arial Narrow"/>
          </w:rPr>
          <w:fldChar w:fldCharType="separate"/>
        </w:r>
        <w:r w:rsidR="0049214A">
          <w:rPr>
            <w:rFonts w:ascii="Arial Narrow" w:hAnsi="Arial Narrow"/>
            <w:noProof/>
          </w:rPr>
          <w:t>2</w:t>
        </w:r>
        <w:r w:rsidR="001468FA"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A0761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0761F">
    <w:pPr>
      <w:pStyle w:val="Footer"/>
      <w:jc w:val="right"/>
    </w:pPr>
  </w:p>
  <w:p w:rsidR="001656DE" w:rsidRPr="006016C0" w:rsidRDefault="006178F2" w:rsidP="006016C0">
    <w:pPr>
      <w:pStyle w:val="HeaderFooter"/>
      <w:jc w:val="center"/>
      <w:rPr>
        <w:rFonts w:ascii="Arial Narrow" w:hAnsi="Arial Narrow"/>
        <w:sz w:val="18"/>
        <w:szCs w:val="18"/>
      </w:rPr>
    </w:pPr>
    <w:r>
      <w:rPr>
        <w:rFonts w:ascii="Arial Narrow" w:hAnsi="Arial Narrow"/>
        <w:sz w:val="18"/>
        <w:szCs w:val="18"/>
      </w:rPr>
      <w:t>1553</w:t>
    </w:r>
    <w:r w:rsidR="00D100A6">
      <w:rPr>
        <w:rFonts w:ascii="Arial Narrow" w:hAnsi="Arial Narrow"/>
        <w:sz w:val="18"/>
        <w:szCs w:val="18"/>
      </w:rPr>
      <w:t xml:space="preserve"> (NW</w:t>
    </w:r>
    <w:r w:rsidR="0054543B">
      <w:rPr>
        <w:rFonts w:ascii="Arial Narrow" w:hAnsi="Arial Narrow"/>
        <w:sz w:val="18"/>
        <w:szCs w:val="18"/>
      </w:rPr>
      <w:t>1</w:t>
    </w:r>
    <w:r>
      <w:rPr>
        <w:rFonts w:ascii="Arial Narrow" w:hAnsi="Arial Narrow"/>
        <w:sz w:val="18"/>
        <w:szCs w:val="18"/>
      </w:rPr>
      <w:t>757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1F" w:rsidRDefault="00A0761F">
      <w:pPr>
        <w:spacing w:after="0" w:line="240" w:lineRule="auto"/>
      </w:pPr>
      <w:r>
        <w:separator/>
      </w:r>
    </w:p>
  </w:footnote>
  <w:footnote w:type="continuationSeparator" w:id="0">
    <w:p w:rsidR="00A0761F" w:rsidRDefault="00A07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F66A19"/>
    <w:multiLevelType w:val="hybridMultilevel"/>
    <w:tmpl w:val="F4CE1920"/>
    <w:lvl w:ilvl="0" w:tplc="61FC96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CA47A3D"/>
    <w:multiLevelType w:val="hybridMultilevel"/>
    <w:tmpl w:val="1716108A"/>
    <w:lvl w:ilvl="0" w:tplc="61FC96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6">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C332E04"/>
    <w:multiLevelType w:val="hybridMultilevel"/>
    <w:tmpl w:val="1716108A"/>
    <w:lvl w:ilvl="0" w:tplc="61FC96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3">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1"/>
  </w:num>
  <w:num w:numId="3">
    <w:abstractNumId w:val="10"/>
  </w:num>
  <w:num w:numId="4">
    <w:abstractNumId w:val="13"/>
  </w:num>
  <w:num w:numId="5">
    <w:abstractNumId w:val="3"/>
  </w:num>
  <w:num w:numId="6">
    <w:abstractNumId w:val="26"/>
  </w:num>
  <w:num w:numId="7">
    <w:abstractNumId w:val="9"/>
  </w:num>
  <w:num w:numId="8">
    <w:abstractNumId w:val="4"/>
  </w:num>
  <w:num w:numId="9">
    <w:abstractNumId w:val="33"/>
  </w:num>
  <w:num w:numId="10">
    <w:abstractNumId w:val="22"/>
  </w:num>
  <w:num w:numId="11">
    <w:abstractNumId w:val="31"/>
  </w:num>
  <w:num w:numId="12">
    <w:abstractNumId w:val="38"/>
  </w:num>
  <w:num w:numId="13">
    <w:abstractNumId w:val="23"/>
  </w:num>
  <w:num w:numId="14">
    <w:abstractNumId w:val="7"/>
  </w:num>
  <w:num w:numId="15">
    <w:abstractNumId w:val="15"/>
  </w:num>
  <w:num w:numId="16">
    <w:abstractNumId w:val="20"/>
  </w:num>
  <w:num w:numId="17">
    <w:abstractNumId w:val="14"/>
  </w:num>
  <w:num w:numId="18">
    <w:abstractNumId w:val="17"/>
  </w:num>
  <w:num w:numId="19">
    <w:abstractNumId w:val="18"/>
  </w:num>
  <w:num w:numId="20">
    <w:abstractNumId w:val="29"/>
  </w:num>
  <w:num w:numId="21">
    <w:abstractNumId w:val="16"/>
  </w:num>
  <w:num w:numId="22">
    <w:abstractNumId w:val="27"/>
  </w:num>
  <w:num w:numId="23">
    <w:abstractNumId w:val="25"/>
  </w:num>
  <w:num w:numId="24">
    <w:abstractNumId w:val="45"/>
  </w:num>
  <w:num w:numId="25">
    <w:abstractNumId w:val="6"/>
  </w:num>
  <w:num w:numId="26">
    <w:abstractNumId w:val="37"/>
  </w:num>
  <w:num w:numId="27">
    <w:abstractNumId w:val="2"/>
  </w:num>
  <w:num w:numId="28">
    <w:abstractNumId w:val="44"/>
  </w:num>
  <w:num w:numId="29">
    <w:abstractNumId w:val="5"/>
  </w:num>
  <w:num w:numId="30">
    <w:abstractNumId w:val="36"/>
  </w:num>
  <w:num w:numId="31">
    <w:abstractNumId w:val="28"/>
  </w:num>
  <w:num w:numId="32">
    <w:abstractNumId w:val="32"/>
  </w:num>
  <w:num w:numId="33">
    <w:abstractNumId w:val="11"/>
  </w:num>
  <w:num w:numId="34">
    <w:abstractNumId w:val="0"/>
  </w:num>
  <w:num w:numId="35">
    <w:abstractNumId w:val="21"/>
  </w:num>
  <w:num w:numId="36">
    <w:abstractNumId w:val="43"/>
  </w:num>
  <w:num w:numId="37">
    <w:abstractNumId w:val="39"/>
  </w:num>
  <w:num w:numId="38">
    <w:abstractNumId w:val="42"/>
  </w:num>
  <w:num w:numId="39">
    <w:abstractNumId w:val="8"/>
  </w:num>
  <w:num w:numId="40">
    <w:abstractNumId w:val="35"/>
  </w:num>
  <w:num w:numId="41">
    <w:abstractNumId w:val="19"/>
  </w:num>
  <w:num w:numId="42">
    <w:abstractNumId w:val="34"/>
  </w:num>
  <w:num w:numId="43">
    <w:abstractNumId w:val="24"/>
  </w:num>
  <w:num w:numId="44">
    <w:abstractNumId w:val="40"/>
  </w:num>
  <w:num w:numId="45">
    <w:abstractNumId w:val="3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138C"/>
    <w:rsid w:val="000545B4"/>
    <w:rsid w:val="00057208"/>
    <w:rsid w:val="00070783"/>
    <w:rsid w:val="000C3341"/>
    <w:rsid w:val="000C44F3"/>
    <w:rsid w:val="000C51A5"/>
    <w:rsid w:val="000E00D6"/>
    <w:rsid w:val="000E3860"/>
    <w:rsid w:val="001468FA"/>
    <w:rsid w:val="001839A9"/>
    <w:rsid w:val="001A519A"/>
    <w:rsid w:val="001C36E9"/>
    <w:rsid w:val="001C5D48"/>
    <w:rsid w:val="001D19B0"/>
    <w:rsid w:val="001D1F08"/>
    <w:rsid w:val="001D7453"/>
    <w:rsid w:val="001D7D5B"/>
    <w:rsid w:val="001E58B5"/>
    <w:rsid w:val="0023397B"/>
    <w:rsid w:val="00236829"/>
    <w:rsid w:val="00260C2C"/>
    <w:rsid w:val="00267BB2"/>
    <w:rsid w:val="002E24A9"/>
    <w:rsid w:val="002F279D"/>
    <w:rsid w:val="002F397B"/>
    <w:rsid w:val="003111B9"/>
    <w:rsid w:val="003252B3"/>
    <w:rsid w:val="0032627A"/>
    <w:rsid w:val="003334EC"/>
    <w:rsid w:val="0033490C"/>
    <w:rsid w:val="00345F4A"/>
    <w:rsid w:val="00371075"/>
    <w:rsid w:val="003766B1"/>
    <w:rsid w:val="0038039F"/>
    <w:rsid w:val="00387417"/>
    <w:rsid w:val="003A42D5"/>
    <w:rsid w:val="003C5683"/>
    <w:rsid w:val="003D4737"/>
    <w:rsid w:val="004009F4"/>
    <w:rsid w:val="00447C75"/>
    <w:rsid w:val="00471ABE"/>
    <w:rsid w:val="0047408B"/>
    <w:rsid w:val="00485AC7"/>
    <w:rsid w:val="0049214A"/>
    <w:rsid w:val="004945AB"/>
    <w:rsid w:val="004B2C2E"/>
    <w:rsid w:val="004C360D"/>
    <w:rsid w:val="004D02F7"/>
    <w:rsid w:val="00501635"/>
    <w:rsid w:val="00504917"/>
    <w:rsid w:val="0054063D"/>
    <w:rsid w:val="0054543B"/>
    <w:rsid w:val="005454F4"/>
    <w:rsid w:val="00545830"/>
    <w:rsid w:val="00553930"/>
    <w:rsid w:val="00555A74"/>
    <w:rsid w:val="00571792"/>
    <w:rsid w:val="00576183"/>
    <w:rsid w:val="005B5009"/>
    <w:rsid w:val="005C13B9"/>
    <w:rsid w:val="005C36B5"/>
    <w:rsid w:val="005F2E76"/>
    <w:rsid w:val="006016C0"/>
    <w:rsid w:val="00607B52"/>
    <w:rsid w:val="006178F2"/>
    <w:rsid w:val="00627B0B"/>
    <w:rsid w:val="00632E4F"/>
    <w:rsid w:val="006333D4"/>
    <w:rsid w:val="00655403"/>
    <w:rsid w:val="006B0355"/>
    <w:rsid w:val="006C22EF"/>
    <w:rsid w:val="006D41F7"/>
    <w:rsid w:val="007140C0"/>
    <w:rsid w:val="00773B37"/>
    <w:rsid w:val="007A55E7"/>
    <w:rsid w:val="007F5766"/>
    <w:rsid w:val="008121CD"/>
    <w:rsid w:val="00831CB9"/>
    <w:rsid w:val="0083640D"/>
    <w:rsid w:val="00852D59"/>
    <w:rsid w:val="008A6E76"/>
    <w:rsid w:val="008A7A9A"/>
    <w:rsid w:val="008B0B46"/>
    <w:rsid w:val="008B4534"/>
    <w:rsid w:val="008B55A3"/>
    <w:rsid w:val="008B5DD3"/>
    <w:rsid w:val="008E73A3"/>
    <w:rsid w:val="0091328D"/>
    <w:rsid w:val="009175C4"/>
    <w:rsid w:val="0093143D"/>
    <w:rsid w:val="009319CB"/>
    <w:rsid w:val="00940CDA"/>
    <w:rsid w:val="0094185D"/>
    <w:rsid w:val="00947B5B"/>
    <w:rsid w:val="00972BD7"/>
    <w:rsid w:val="00975E93"/>
    <w:rsid w:val="009A06F8"/>
    <w:rsid w:val="009A0955"/>
    <w:rsid w:val="009A58D0"/>
    <w:rsid w:val="00A0761F"/>
    <w:rsid w:val="00A176DC"/>
    <w:rsid w:val="00A46FF7"/>
    <w:rsid w:val="00A72A6B"/>
    <w:rsid w:val="00A75AB3"/>
    <w:rsid w:val="00A76D97"/>
    <w:rsid w:val="00A82287"/>
    <w:rsid w:val="00AD2AEF"/>
    <w:rsid w:val="00AF451F"/>
    <w:rsid w:val="00B115A7"/>
    <w:rsid w:val="00B12CA0"/>
    <w:rsid w:val="00B15F93"/>
    <w:rsid w:val="00B359B5"/>
    <w:rsid w:val="00B53A89"/>
    <w:rsid w:val="00B71DB5"/>
    <w:rsid w:val="00B7210F"/>
    <w:rsid w:val="00BA001A"/>
    <w:rsid w:val="00BB1222"/>
    <w:rsid w:val="00BC2B1A"/>
    <w:rsid w:val="00BE40D5"/>
    <w:rsid w:val="00C07DBA"/>
    <w:rsid w:val="00C14944"/>
    <w:rsid w:val="00C1682D"/>
    <w:rsid w:val="00C24A26"/>
    <w:rsid w:val="00C339C8"/>
    <w:rsid w:val="00C46460"/>
    <w:rsid w:val="00C53330"/>
    <w:rsid w:val="00C54318"/>
    <w:rsid w:val="00C6763A"/>
    <w:rsid w:val="00CC04D4"/>
    <w:rsid w:val="00CD4D2F"/>
    <w:rsid w:val="00D021EC"/>
    <w:rsid w:val="00D100A6"/>
    <w:rsid w:val="00D27D2D"/>
    <w:rsid w:val="00D47F8D"/>
    <w:rsid w:val="00DC2F7B"/>
    <w:rsid w:val="00E0207D"/>
    <w:rsid w:val="00E4192C"/>
    <w:rsid w:val="00E47924"/>
    <w:rsid w:val="00E47B09"/>
    <w:rsid w:val="00E54B68"/>
    <w:rsid w:val="00E935CD"/>
    <w:rsid w:val="00E94463"/>
    <w:rsid w:val="00EE5E4C"/>
    <w:rsid w:val="00EF0544"/>
    <w:rsid w:val="00F1693A"/>
    <w:rsid w:val="00F4258D"/>
    <w:rsid w:val="00F73FD0"/>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CD8D-FC37-4C8C-9754-79BB02C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2021-06-04T11:41:00Z</dcterms:created>
  <dcterms:modified xsi:type="dcterms:W3CDTF">2021-06-04T11:41:00Z</dcterms:modified>
</cp:coreProperties>
</file>