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80CEC" w:rsidRPr="00DC6183" w:rsidRDefault="00480CEC" w:rsidP="00480CEC">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480CEC" w:rsidRPr="00DC6183" w:rsidRDefault="00480CEC" w:rsidP="00480CEC">
      <w:pPr>
        <w:jc w:val="center"/>
        <w:rPr>
          <w:rFonts w:ascii="Arial" w:hAnsi="Arial" w:cs="Arial"/>
          <w:b/>
          <w:bCs/>
          <w:lang w:val="en-ZA"/>
        </w:rPr>
      </w:pPr>
      <w:r w:rsidRPr="00DC6183">
        <w:rPr>
          <w:rFonts w:ascii="Arial" w:hAnsi="Arial" w:cs="Arial"/>
          <w:b/>
          <w:bCs/>
          <w:lang w:val="en-ZA"/>
        </w:rPr>
        <w:t>FOR WRITTEN REPLY</w:t>
      </w:r>
    </w:p>
    <w:p w:rsidR="00480CEC" w:rsidRPr="00DC6183" w:rsidRDefault="00480CEC" w:rsidP="00480CE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1547</w:t>
      </w:r>
    </w:p>
    <w:p w:rsidR="00480CEC" w:rsidRPr="00DC6183" w:rsidRDefault="00480CEC" w:rsidP="00480CEC">
      <w:pPr>
        <w:spacing w:line="360" w:lineRule="auto"/>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480CEC" w:rsidRPr="00FF2AAB" w:rsidRDefault="00480CEC" w:rsidP="00480CE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21</w:t>
      </w:r>
    </w:p>
    <w:p w:rsidR="00480CEC" w:rsidRPr="00CE536E" w:rsidRDefault="00480CEC" w:rsidP="00480CEC">
      <w:pPr>
        <w:spacing w:before="100" w:beforeAutospacing="1" w:after="100" w:afterAutospacing="1" w:line="360" w:lineRule="auto"/>
        <w:ind w:left="720"/>
        <w:jc w:val="both"/>
        <w:outlineLvl w:val="0"/>
        <w:rPr>
          <w:rFonts w:ascii="Arial" w:hAnsi="Arial" w:cs="Arial"/>
          <w:b/>
          <w:lang w:val="en-ZA"/>
        </w:rPr>
      </w:pPr>
      <w:r w:rsidRPr="00CE536E">
        <w:rPr>
          <w:rFonts w:ascii="Arial" w:hAnsi="Arial" w:cs="Arial"/>
          <w:b/>
          <w:lang w:val="en-ZA"/>
        </w:rPr>
        <w:t xml:space="preserve">Dr S </w:t>
      </w:r>
      <w:proofErr w:type="spellStart"/>
      <w:r w:rsidRPr="00CE536E">
        <w:rPr>
          <w:rFonts w:ascii="Arial" w:hAnsi="Arial" w:cs="Arial"/>
          <w:b/>
          <w:lang w:val="en-ZA"/>
        </w:rPr>
        <w:t>S</w:t>
      </w:r>
      <w:proofErr w:type="spellEnd"/>
      <w:r w:rsidRPr="00CE536E">
        <w:rPr>
          <w:rFonts w:ascii="Arial" w:hAnsi="Arial" w:cs="Arial"/>
          <w:b/>
          <w:lang w:val="en-ZA"/>
        </w:rPr>
        <w:t xml:space="preserve"> </w:t>
      </w:r>
      <w:proofErr w:type="spellStart"/>
      <w:r w:rsidRPr="00CE536E">
        <w:rPr>
          <w:rFonts w:ascii="Arial" w:hAnsi="Arial" w:cs="Arial"/>
          <w:b/>
          <w:lang w:val="en-ZA"/>
        </w:rPr>
        <w:t>Thembekwayo</w:t>
      </w:r>
      <w:proofErr w:type="spellEnd"/>
      <w:r w:rsidRPr="00CE536E">
        <w:rPr>
          <w:rFonts w:ascii="Arial" w:hAnsi="Arial" w:cs="Arial"/>
          <w:b/>
          <w:lang w:val="en-ZA"/>
        </w:rPr>
        <w:t xml:space="preserve"> (EFF) to ask the Minister of Higher Education, Science and Innovation</w:t>
      </w:r>
      <w:r w:rsidR="009867E8" w:rsidRPr="00CE536E">
        <w:rPr>
          <w:rFonts w:ascii="Arial" w:hAnsi="Arial" w:cs="Arial"/>
          <w:b/>
          <w:lang w:val="en-ZA"/>
        </w:rPr>
        <w:fldChar w:fldCharType="begin"/>
      </w:r>
      <w:r w:rsidRPr="00CE536E">
        <w:rPr>
          <w:rFonts w:ascii="Arial" w:hAnsi="Arial" w:cs="Arial"/>
          <w:lang w:val="en-ZA"/>
        </w:rPr>
        <w:instrText xml:space="preserve"> XE "</w:instrText>
      </w:r>
      <w:r w:rsidRPr="00CE536E">
        <w:rPr>
          <w:rFonts w:ascii="Arial" w:hAnsi="Arial" w:cs="Arial"/>
          <w:b/>
          <w:lang w:val="en-ZA"/>
        </w:rPr>
        <w:instrText>Higher</w:instrText>
      </w:r>
      <w:r w:rsidRPr="00CE536E">
        <w:rPr>
          <w:rFonts w:ascii="Arial" w:hAnsi="Arial" w:cs="Arial"/>
          <w:b/>
        </w:rPr>
        <w:instrText xml:space="preserve"> Education, Science and Innovation</w:instrText>
      </w:r>
      <w:r w:rsidRPr="00CE536E">
        <w:rPr>
          <w:rFonts w:ascii="Arial" w:hAnsi="Arial" w:cs="Arial"/>
          <w:lang w:val="en-ZA"/>
        </w:rPr>
        <w:instrText xml:space="preserve">" </w:instrText>
      </w:r>
      <w:r w:rsidR="009867E8" w:rsidRPr="00CE536E">
        <w:rPr>
          <w:rFonts w:ascii="Arial" w:hAnsi="Arial" w:cs="Arial"/>
          <w:b/>
          <w:lang w:val="en-ZA"/>
        </w:rPr>
        <w:fldChar w:fldCharType="end"/>
      </w:r>
      <w:r w:rsidRPr="00CE536E">
        <w:rPr>
          <w:rFonts w:ascii="Arial" w:hAnsi="Arial" w:cs="Arial"/>
          <w:b/>
          <w:lang w:val="en-ZA"/>
        </w:rPr>
        <w:t>:</w:t>
      </w:r>
    </w:p>
    <w:p w:rsidR="00480CEC" w:rsidRPr="007D6B79" w:rsidRDefault="00480CEC" w:rsidP="00480CEC">
      <w:pPr>
        <w:spacing w:before="100" w:beforeAutospacing="1" w:after="100" w:afterAutospacing="1" w:line="360" w:lineRule="auto"/>
        <w:ind w:left="720"/>
        <w:contextualSpacing/>
        <w:jc w:val="both"/>
        <w:rPr>
          <w:rFonts w:ascii="Arial" w:eastAsia="SimSun" w:hAnsi="Arial" w:cs="Arial"/>
          <w:lang w:val="en-ZA" w:eastAsia="en-ZA"/>
        </w:rPr>
      </w:pPr>
      <w:r w:rsidRPr="00CE536E">
        <w:rPr>
          <w:rFonts w:ascii="Arial" w:eastAsia="SimSun" w:hAnsi="Arial" w:cs="Arial"/>
          <w:bCs/>
          <w:lang w:val="en-ZA" w:eastAsia="en-ZA"/>
        </w:rPr>
        <w:t>What (a) is the root cause of the failure of the National Student Financial Aid Scheme to pay disbursements due to students at the University of South Africa and (b) interventions have been made by his department to resolve the problem</w:t>
      </w:r>
      <w:r w:rsidRPr="00CE536E">
        <w:rPr>
          <w:rFonts w:ascii="Arial" w:eastAsia="SimSun" w:hAnsi="Arial" w:cs="Arial"/>
          <w:lang w:val="en-ZA" w:eastAsia="en-ZA"/>
        </w:rPr>
        <w:t>?</w:t>
      </w:r>
      <w:r w:rsidRPr="00CE536E">
        <w:rPr>
          <w:rFonts w:ascii="Arial" w:eastAsia="SimSun" w:hAnsi="Arial" w:cs="Arial"/>
          <w:lang w:val="en-ZA" w:eastAsia="en-ZA"/>
        </w:rPr>
        <w:tab/>
      </w:r>
    </w:p>
    <w:p w:rsidR="00480CEC" w:rsidRPr="007D6B79" w:rsidRDefault="00480CEC" w:rsidP="00480CEC">
      <w:pPr>
        <w:spacing w:before="100" w:beforeAutospacing="1" w:after="100" w:afterAutospacing="1" w:line="360" w:lineRule="auto"/>
        <w:ind w:left="720"/>
        <w:contextualSpacing/>
        <w:jc w:val="both"/>
        <w:rPr>
          <w:rFonts w:ascii="Arial" w:eastAsia="SimSun" w:hAnsi="Arial" w:cs="Arial"/>
          <w:lang w:val="en-ZA" w:eastAsia="en-ZA"/>
        </w:rPr>
      </w:pPr>
    </w:p>
    <w:p w:rsidR="00480CEC" w:rsidRPr="00CE536E" w:rsidRDefault="00480CEC" w:rsidP="00480CEC">
      <w:pPr>
        <w:spacing w:before="100" w:beforeAutospacing="1" w:after="100" w:afterAutospacing="1" w:line="360" w:lineRule="auto"/>
        <w:ind w:left="7200" w:firstLine="720"/>
        <w:contextualSpacing/>
        <w:jc w:val="both"/>
        <w:rPr>
          <w:rFonts w:ascii="Arial" w:eastAsia="SimSun" w:hAnsi="Arial" w:cs="Arial"/>
          <w:b/>
          <w:lang w:val="en-ZA" w:eastAsia="en-ZA"/>
        </w:rPr>
      </w:pPr>
      <w:r w:rsidRPr="00CE536E">
        <w:rPr>
          <w:rFonts w:ascii="Arial" w:eastAsia="SimSun" w:hAnsi="Arial" w:cs="Arial"/>
          <w:b/>
          <w:lang w:val="en-ZA" w:eastAsia="en-ZA"/>
        </w:rPr>
        <w:t>NW1750E</w:t>
      </w:r>
    </w:p>
    <w:p w:rsidR="00480CEC" w:rsidRDefault="00480CEC" w:rsidP="00480CEC">
      <w:pPr>
        <w:spacing w:before="100" w:beforeAutospacing="1" w:after="100" w:afterAutospacing="1" w:line="360" w:lineRule="auto"/>
        <w:jc w:val="both"/>
        <w:outlineLvl w:val="0"/>
        <w:rPr>
          <w:rFonts w:ascii="Arial" w:hAnsi="Arial" w:cs="Arial"/>
          <w:b/>
        </w:rPr>
      </w:pPr>
    </w:p>
    <w:p w:rsidR="00480CEC" w:rsidRDefault="00480CEC" w:rsidP="00480CEC">
      <w:pPr>
        <w:spacing w:before="100" w:beforeAutospacing="1" w:after="100" w:afterAutospacing="1" w:line="360" w:lineRule="auto"/>
        <w:jc w:val="both"/>
        <w:outlineLvl w:val="0"/>
        <w:rPr>
          <w:rFonts w:ascii="Arial" w:hAnsi="Arial" w:cs="Arial"/>
          <w:b/>
        </w:rPr>
      </w:pPr>
    </w:p>
    <w:p w:rsidR="00480CEC" w:rsidRDefault="00480CEC" w:rsidP="00480CEC">
      <w:pPr>
        <w:spacing w:before="100" w:beforeAutospacing="1" w:after="100" w:afterAutospacing="1" w:line="360" w:lineRule="auto"/>
        <w:jc w:val="both"/>
        <w:outlineLvl w:val="0"/>
        <w:rPr>
          <w:rFonts w:ascii="Arial" w:hAnsi="Arial" w:cs="Arial"/>
          <w:b/>
        </w:rPr>
      </w:pPr>
    </w:p>
    <w:p w:rsidR="00480CEC" w:rsidRDefault="00480CEC" w:rsidP="00480CEC">
      <w:pPr>
        <w:spacing w:before="100" w:beforeAutospacing="1" w:after="100" w:afterAutospacing="1" w:line="360" w:lineRule="auto"/>
        <w:jc w:val="both"/>
        <w:outlineLvl w:val="0"/>
        <w:rPr>
          <w:rFonts w:ascii="Arial" w:hAnsi="Arial" w:cs="Arial"/>
          <w:b/>
        </w:rPr>
      </w:pPr>
    </w:p>
    <w:p w:rsidR="00480CEC" w:rsidRDefault="00480CEC" w:rsidP="00480CEC">
      <w:pPr>
        <w:spacing w:before="100" w:beforeAutospacing="1" w:after="100" w:afterAutospacing="1" w:line="360" w:lineRule="auto"/>
        <w:jc w:val="both"/>
        <w:outlineLvl w:val="0"/>
        <w:rPr>
          <w:rFonts w:ascii="Arial" w:hAnsi="Arial" w:cs="Arial"/>
          <w:b/>
        </w:rPr>
      </w:pPr>
    </w:p>
    <w:p w:rsidR="004831BE" w:rsidRDefault="004831BE" w:rsidP="00480CEC">
      <w:pPr>
        <w:spacing w:before="100" w:beforeAutospacing="1" w:after="100" w:afterAutospacing="1" w:line="360" w:lineRule="auto"/>
        <w:jc w:val="both"/>
        <w:outlineLvl w:val="0"/>
        <w:rPr>
          <w:rFonts w:ascii="Arial" w:hAnsi="Arial" w:cs="Arial"/>
          <w:b/>
        </w:rPr>
      </w:pPr>
    </w:p>
    <w:p w:rsidR="004831BE" w:rsidRDefault="004831BE" w:rsidP="00480CEC">
      <w:pPr>
        <w:spacing w:before="100" w:beforeAutospacing="1" w:after="100" w:afterAutospacing="1" w:line="360" w:lineRule="auto"/>
        <w:jc w:val="both"/>
        <w:outlineLvl w:val="0"/>
        <w:rPr>
          <w:rFonts w:ascii="Arial" w:hAnsi="Arial" w:cs="Arial"/>
          <w:b/>
        </w:rPr>
      </w:pPr>
    </w:p>
    <w:p w:rsidR="004831BE" w:rsidRDefault="004831BE" w:rsidP="00480CEC">
      <w:pPr>
        <w:spacing w:before="100" w:beforeAutospacing="1" w:after="100" w:afterAutospacing="1" w:line="360" w:lineRule="auto"/>
        <w:jc w:val="both"/>
        <w:outlineLvl w:val="0"/>
        <w:rPr>
          <w:rFonts w:ascii="Arial" w:hAnsi="Arial" w:cs="Arial"/>
          <w:b/>
        </w:rPr>
      </w:pPr>
    </w:p>
    <w:p w:rsidR="004831BE" w:rsidRDefault="004831BE" w:rsidP="00480CEC">
      <w:pPr>
        <w:spacing w:before="100" w:beforeAutospacing="1" w:after="100" w:afterAutospacing="1" w:line="360" w:lineRule="auto"/>
        <w:jc w:val="both"/>
        <w:outlineLvl w:val="0"/>
        <w:rPr>
          <w:rFonts w:ascii="Arial" w:hAnsi="Arial" w:cs="Arial"/>
          <w:b/>
        </w:rPr>
      </w:pPr>
    </w:p>
    <w:p w:rsidR="004831BE" w:rsidRDefault="004831BE" w:rsidP="00480CEC">
      <w:pPr>
        <w:spacing w:before="100" w:beforeAutospacing="1" w:after="100" w:afterAutospacing="1" w:line="360" w:lineRule="auto"/>
        <w:jc w:val="both"/>
        <w:outlineLvl w:val="0"/>
        <w:rPr>
          <w:rFonts w:ascii="Arial" w:hAnsi="Arial" w:cs="Arial"/>
          <w:b/>
        </w:rPr>
      </w:pPr>
    </w:p>
    <w:p w:rsidR="00480CEC" w:rsidRPr="00CE60B6" w:rsidRDefault="00480CEC" w:rsidP="00480CEC">
      <w:pPr>
        <w:spacing w:before="100" w:beforeAutospacing="1" w:after="100" w:afterAutospacing="1" w:line="360" w:lineRule="auto"/>
        <w:jc w:val="both"/>
        <w:outlineLvl w:val="0"/>
        <w:rPr>
          <w:rFonts w:ascii="Arial" w:hAnsi="Arial" w:cs="Arial"/>
          <w:lang w:val="en-ZA"/>
        </w:rPr>
      </w:pPr>
      <w:r w:rsidRPr="00CE60B6">
        <w:rPr>
          <w:rFonts w:ascii="Arial" w:hAnsi="Arial" w:cs="Arial"/>
          <w:b/>
        </w:rPr>
        <w:lastRenderedPageBreak/>
        <w:t>REPLY:</w:t>
      </w:r>
    </w:p>
    <w:p w:rsidR="00480CEC" w:rsidRPr="000A3E9B" w:rsidRDefault="00480CEC" w:rsidP="00480CEC">
      <w:pPr>
        <w:pStyle w:val="ListParagraph"/>
        <w:numPr>
          <w:ilvl w:val="0"/>
          <w:numId w:val="50"/>
        </w:numPr>
        <w:shd w:val="clear" w:color="auto" w:fill="FFFFFF"/>
        <w:spacing w:after="135" w:line="360" w:lineRule="auto"/>
        <w:ind w:left="567" w:hanging="567"/>
        <w:jc w:val="both"/>
        <w:rPr>
          <w:rFonts w:ascii="Arial" w:eastAsia="Times New Roman" w:hAnsi="Arial" w:cs="Arial"/>
          <w:color w:val="333333"/>
          <w:lang w:val="en-US"/>
        </w:rPr>
      </w:pPr>
      <w:r w:rsidRPr="000A3E9B">
        <w:rPr>
          <w:rFonts w:ascii="Arial" w:eastAsia="Times New Roman" w:hAnsi="Arial" w:cs="Arial"/>
          <w:color w:val="333333"/>
          <w:lang w:val="en-US"/>
        </w:rPr>
        <w:t>NSFAS has made payments in advance to all universities and as such; there should be no unpaid allowances to compliant students. Universities have their own payment processes to distribute allowances to students. The advance payments were made as an intervention to ensure that universities pay allowances to students, in a timely manner.</w:t>
      </w:r>
    </w:p>
    <w:p w:rsidR="00480CEC" w:rsidRPr="0074349A" w:rsidRDefault="00480CEC" w:rsidP="00480CEC">
      <w:pPr>
        <w:spacing w:line="360" w:lineRule="auto"/>
        <w:ind w:left="567"/>
        <w:jc w:val="both"/>
        <w:rPr>
          <w:rFonts w:ascii="Arial" w:hAnsi="Arial" w:cs="Arial"/>
          <w:color w:val="000000"/>
          <w:lang w:val="en-ZA"/>
        </w:rPr>
      </w:pPr>
      <w:r w:rsidRPr="0074349A">
        <w:rPr>
          <w:rFonts w:ascii="Arial" w:hAnsi="Arial" w:cs="Arial"/>
          <w:lang w:val="en-ZA"/>
        </w:rPr>
        <w:t xml:space="preserve">There are currently 179 068 </w:t>
      </w:r>
      <w:r>
        <w:rPr>
          <w:rFonts w:ascii="Arial" w:hAnsi="Arial" w:cs="Arial"/>
          <w:lang w:val="en-ZA"/>
        </w:rPr>
        <w:t xml:space="preserve">UNISA </w:t>
      </w:r>
      <w:r w:rsidRPr="0074349A">
        <w:rPr>
          <w:rFonts w:ascii="Arial" w:hAnsi="Arial" w:cs="Arial"/>
          <w:lang w:val="en-ZA"/>
        </w:rPr>
        <w:t>student</w:t>
      </w:r>
      <w:r>
        <w:rPr>
          <w:rFonts w:ascii="Arial" w:hAnsi="Arial" w:cs="Arial"/>
          <w:lang w:val="en-ZA"/>
        </w:rPr>
        <w:t>s</w:t>
      </w:r>
      <w:r w:rsidRPr="0074349A">
        <w:rPr>
          <w:rFonts w:ascii="Arial" w:hAnsi="Arial" w:cs="Arial"/>
          <w:lang w:val="en-ZA"/>
        </w:rPr>
        <w:t xml:space="preserve"> funded through the DHET Bursary Scheme. </w:t>
      </w:r>
      <w:r w:rsidRPr="0074349A">
        <w:rPr>
          <w:rFonts w:ascii="Arial" w:hAnsi="Arial" w:cs="Arial"/>
          <w:color w:val="000000"/>
          <w:lang w:val="en-ZA"/>
        </w:rPr>
        <w:t> </w:t>
      </w:r>
      <w:r w:rsidRPr="0074349A">
        <w:rPr>
          <w:rFonts w:ascii="Arial" w:hAnsi="Arial" w:cs="Arial"/>
          <w:color w:val="000000"/>
        </w:rPr>
        <w:t>Total disbursements to funded student amounted to R931, 8 million of which NSFAS provided an advance of R774.6 million and UNISA an amount of R102.9 million from their own funding. 170 564 students who qualify for the learning material allowance i</w:t>
      </w:r>
      <w:r w:rsidR="001329C1">
        <w:rPr>
          <w:rFonts w:ascii="Arial" w:hAnsi="Arial" w:cs="Arial"/>
          <w:color w:val="000000"/>
        </w:rPr>
        <w:t>n terms</w:t>
      </w:r>
      <w:r w:rsidRPr="0074349A">
        <w:rPr>
          <w:rFonts w:ascii="Arial" w:hAnsi="Arial" w:cs="Arial"/>
          <w:color w:val="000000"/>
        </w:rPr>
        <w:t xml:space="preserve"> of the 2021 DHET Guidelines received their allowances. 4 254 opted for the laptops. </w:t>
      </w:r>
      <w:r w:rsidRPr="0074349A">
        <w:rPr>
          <w:rFonts w:ascii="Arial" w:hAnsi="Arial" w:cs="Arial"/>
          <w:color w:val="000000"/>
          <w:lang w:val="en-ZA"/>
        </w:rPr>
        <w:t xml:space="preserve">Incidental allowance </w:t>
      </w:r>
      <w:r w:rsidR="001329C1" w:rsidRPr="0074349A">
        <w:rPr>
          <w:rFonts w:ascii="Arial" w:hAnsi="Arial" w:cs="Arial"/>
          <w:color w:val="000000"/>
          <w:lang w:val="en-ZA"/>
        </w:rPr>
        <w:t>has</w:t>
      </w:r>
      <w:r w:rsidRPr="0074349A">
        <w:rPr>
          <w:rFonts w:ascii="Arial" w:hAnsi="Arial" w:cs="Arial"/>
          <w:color w:val="000000"/>
          <w:lang w:val="en-ZA"/>
        </w:rPr>
        <w:t xml:space="preserve"> been paid for the months of Feb-July 2021 to </w:t>
      </w:r>
      <w:r w:rsidR="001329C1" w:rsidRPr="0074349A">
        <w:rPr>
          <w:rFonts w:ascii="Arial" w:hAnsi="Arial" w:cs="Arial"/>
          <w:color w:val="000000"/>
          <w:lang w:val="en-ZA"/>
        </w:rPr>
        <w:t>88 625</w:t>
      </w:r>
      <w:r w:rsidRPr="0074349A">
        <w:rPr>
          <w:rFonts w:ascii="Arial" w:hAnsi="Arial" w:cs="Arial"/>
          <w:color w:val="000000"/>
          <w:lang w:val="en-ZA"/>
        </w:rPr>
        <w:t xml:space="preserve"> students who qualify in terms of the 2021 DHET Guidelines. Please note only those students who carry a course load of 10 and more qualify for the incidental allowances.</w:t>
      </w:r>
    </w:p>
    <w:p w:rsidR="00480CEC" w:rsidRPr="0074349A" w:rsidRDefault="00480CEC" w:rsidP="00480CEC">
      <w:pPr>
        <w:spacing w:line="360" w:lineRule="auto"/>
        <w:ind w:left="567"/>
        <w:jc w:val="both"/>
        <w:rPr>
          <w:rFonts w:ascii="Arial" w:hAnsi="Arial" w:cs="Arial"/>
          <w:color w:val="000000"/>
          <w:u w:val="single"/>
          <w:lang w:val="en-ZA"/>
        </w:rPr>
      </w:pPr>
      <w:r w:rsidRPr="0074349A">
        <w:rPr>
          <w:rFonts w:ascii="Arial" w:hAnsi="Arial" w:cs="Arial"/>
          <w:color w:val="000000"/>
          <w:u w:val="single"/>
          <w:lang w:val="en-ZA"/>
        </w:rPr>
        <w:t>4 204 have not received allowances based on following reason:</w:t>
      </w:r>
    </w:p>
    <w:p w:rsidR="00480CEC" w:rsidRPr="0074349A" w:rsidRDefault="00480CEC" w:rsidP="00480CEC">
      <w:pPr>
        <w:spacing w:line="360" w:lineRule="auto"/>
        <w:ind w:left="567"/>
        <w:jc w:val="both"/>
        <w:rPr>
          <w:rFonts w:ascii="Arial" w:hAnsi="Arial" w:cs="Arial"/>
          <w:color w:val="000000"/>
          <w:lang w:val="en-ZA"/>
        </w:rPr>
      </w:pPr>
      <w:r w:rsidRPr="0074349A">
        <w:rPr>
          <w:rFonts w:ascii="Arial" w:hAnsi="Arial" w:cs="Arial"/>
          <w:color w:val="000000"/>
          <w:lang w:val="en-ZA"/>
        </w:rPr>
        <w:t>-2020 results uploaded by funding not migrated to 2021</w:t>
      </w:r>
    </w:p>
    <w:p w:rsidR="00480CEC" w:rsidRPr="0074349A" w:rsidRDefault="00480CEC" w:rsidP="00480CEC">
      <w:pPr>
        <w:spacing w:line="360" w:lineRule="auto"/>
        <w:ind w:left="567"/>
        <w:jc w:val="both"/>
        <w:rPr>
          <w:rFonts w:ascii="Arial" w:hAnsi="Arial" w:cs="Arial"/>
          <w:color w:val="000000"/>
          <w:lang w:val="en-ZA"/>
        </w:rPr>
      </w:pPr>
      <w:r w:rsidRPr="0074349A">
        <w:rPr>
          <w:rFonts w:ascii="Arial" w:hAnsi="Arial" w:cs="Arial"/>
          <w:color w:val="000000"/>
          <w:lang w:val="en-ZA"/>
        </w:rPr>
        <w:t>-N+ Rule: Higher Certificate students starting Degree/Diploma in 2021</w:t>
      </w:r>
    </w:p>
    <w:p w:rsidR="00480CEC" w:rsidRPr="0074349A" w:rsidRDefault="00480CEC" w:rsidP="00480CEC">
      <w:pPr>
        <w:spacing w:line="360" w:lineRule="auto"/>
        <w:ind w:left="567"/>
        <w:jc w:val="both"/>
        <w:rPr>
          <w:rFonts w:ascii="Arial" w:hAnsi="Arial" w:cs="Arial"/>
          <w:color w:val="000000"/>
          <w:lang w:val="en-ZA"/>
        </w:rPr>
      </w:pPr>
      <w:r w:rsidRPr="0074349A">
        <w:rPr>
          <w:rFonts w:ascii="Arial" w:hAnsi="Arial" w:cs="Arial"/>
          <w:color w:val="000000"/>
          <w:lang w:val="en-ZA"/>
        </w:rPr>
        <w:t xml:space="preserve">-LLB students not migrated </w:t>
      </w:r>
    </w:p>
    <w:p w:rsidR="00480CEC" w:rsidRPr="0074349A" w:rsidRDefault="00480CEC" w:rsidP="00480CEC">
      <w:pPr>
        <w:spacing w:line="360" w:lineRule="auto"/>
        <w:ind w:left="567"/>
        <w:jc w:val="both"/>
        <w:rPr>
          <w:rFonts w:ascii="Arial" w:hAnsi="Arial" w:cs="Arial"/>
          <w:color w:val="000000"/>
          <w:lang w:val="en-ZA"/>
        </w:rPr>
      </w:pPr>
      <w:r w:rsidRPr="0074349A">
        <w:rPr>
          <w:rFonts w:ascii="Arial" w:hAnsi="Arial" w:cs="Arial"/>
          <w:color w:val="000000"/>
          <w:lang w:val="en-ZA"/>
        </w:rPr>
        <w:t>-Pipeline National Diploma students, funding not migrated</w:t>
      </w:r>
    </w:p>
    <w:p w:rsidR="00480CEC" w:rsidRPr="0074349A" w:rsidRDefault="00480CEC" w:rsidP="00480CEC">
      <w:pPr>
        <w:spacing w:line="360" w:lineRule="auto"/>
        <w:ind w:left="567"/>
        <w:jc w:val="both"/>
        <w:rPr>
          <w:rFonts w:ascii="Arial" w:hAnsi="Arial" w:cs="Arial"/>
          <w:color w:val="000000"/>
          <w:lang w:val="en-ZA"/>
        </w:rPr>
      </w:pPr>
      <w:r w:rsidRPr="0074349A">
        <w:rPr>
          <w:rFonts w:ascii="Arial" w:hAnsi="Arial" w:cs="Arial"/>
          <w:color w:val="000000"/>
          <w:lang w:val="en-ZA"/>
        </w:rPr>
        <w:t>-Students switching institutions</w:t>
      </w:r>
    </w:p>
    <w:p w:rsidR="00480CEC" w:rsidRPr="0074349A" w:rsidRDefault="00480CEC" w:rsidP="001329C1">
      <w:pPr>
        <w:spacing w:line="360" w:lineRule="auto"/>
        <w:ind w:left="567"/>
        <w:jc w:val="both"/>
        <w:rPr>
          <w:rFonts w:ascii="Arial" w:hAnsi="Arial" w:cs="Arial"/>
          <w:color w:val="000000"/>
          <w:lang w:val="en-ZA"/>
        </w:rPr>
      </w:pPr>
      <w:r w:rsidRPr="0074349A">
        <w:rPr>
          <w:rFonts w:ascii="Arial" w:hAnsi="Arial" w:cs="Arial"/>
          <w:color w:val="000000"/>
          <w:lang w:val="en-ZA"/>
        </w:rPr>
        <w:t>2 403 applications for NSFAS appeals for returning students were considered and 1 360 were recommended for further funding support. These students have not received allowances as UNISA are still waiting for final outcome from NSFAS.</w:t>
      </w:r>
      <w:bookmarkStart w:id="0" w:name="_GoBack"/>
      <w:bookmarkEnd w:id="0"/>
    </w:p>
    <w:p w:rsidR="00480CEC" w:rsidRPr="00CE60B6" w:rsidRDefault="00480CEC" w:rsidP="00480CEC">
      <w:pPr>
        <w:shd w:val="clear" w:color="auto" w:fill="FFFFFF"/>
        <w:spacing w:after="135" w:line="360" w:lineRule="auto"/>
        <w:ind w:left="567" w:hanging="567"/>
        <w:jc w:val="both"/>
        <w:rPr>
          <w:rFonts w:ascii="Arial" w:eastAsia="Times New Roman" w:hAnsi="Arial" w:cs="Arial"/>
          <w:color w:val="333333"/>
          <w:lang w:val="en-US"/>
        </w:rPr>
      </w:pPr>
      <w:r w:rsidRPr="00CE60B6">
        <w:rPr>
          <w:rFonts w:ascii="Arial" w:eastAsia="Times New Roman" w:hAnsi="Arial" w:cs="Arial"/>
          <w:color w:val="333333"/>
          <w:lang w:val="en-US"/>
        </w:rPr>
        <w:t xml:space="preserve">(b)  </w:t>
      </w:r>
      <w:r>
        <w:rPr>
          <w:rFonts w:ascii="Arial" w:eastAsia="Times New Roman" w:hAnsi="Arial" w:cs="Arial"/>
          <w:color w:val="333333"/>
          <w:lang w:val="en-US"/>
        </w:rPr>
        <w:tab/>
      </w:r>
      <w:r w:rsidRPr="00CE60B6">
        <w:rPr>
          <w:rFonts w:ascii="Arial" w:eastAsia="Times New Roman" w:hAnsi="Arial" w:cs="Arial"/>
          <w:color w:val="333333"/>
          <w:lang w:val="en-US"/>
        </w:rPr>
        <w:t>The Department has scheduled the 2021 transfers for university and TVET college bursaries to NSFAS as shown in the table below, to ensure that NSFAS has the necessary cash flow resources.</w:t>
      </w:r>
    </w:p>
    <w:tbl>
      <w:tblPr>
        <w:tblpPr w:leftFromText="45" w:rightFromText="45" w:vertAnchor="text" w:horzAnchor="margin" w:tblpXSpec="center" w:tblpY="45"/>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620"/>
        <w:gridCol w:w="1620"/>
        <w:gridCol w:w="1620"/>
        <w:gridCol w:w="1620"/>
        <w:gridCol w:w="1620"/>
      </w:tblGrid>
      <w:tr w:rsidR="00480CEC" w:rsidRPr="00CE60B6" w:rsidTr="00137045">
        <w:trPr>
          <w:trHeight w:val="249"/>
        </w:trPr>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April 2021</w:t>
            </w:r>
          </w:p>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R’000</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June 2021</w:t>
            </w:r>
          </w:p>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R’000</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August 2021</w:t>
            </w:r>
          </w:p>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R’000</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October 2021</w:t>
            </w:r>
          </w:p>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R’000</w:t>
            </w:r>
          </w:p>
        </w:tc>
        <w:tc>
          <w:tcPr>
            <w:tcW w:w="1620" w:type="dxa"/>
            <w:vMerge w:val="restart"/>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center"/>
              <w:rPr>
                <w:rFonts w:ascii="Arial" w:eastAsia="Times New Roman" w:hAnsi="Arial" w:cs="Arial"/>
                <w:color w:val="333333"/>
                <w:lang w:val="en-US"/>
              </w:rPr>
            </w:pPr>
            <w:r w:rsidRPr="00CE60B6">
              <w:rPr>
                <w:rFonts w:ascii="Arial" w:eastAsia="Times New Roman" w:hAnsi="Arial" w:cs="Arial"/>
                <w:b/>
                <w:bCs/>
                <w:color w:val="333333"/>
                <w:lang w:val="en-US"/>
              </w:rPr>
              <w:t>Total</w:t>
            </w:r>
          </w:p>
        </w:tc>
      </w:tr>
      <w:tr w:rsidR="00480CEC" w:rsidRPr="00CE60B6" w:rsidTr="00137045">
        <w:trPr>
          <w:trHeight w:val="420"/>
        </w:trPr>
        <w:tc>
          <w:tcPr>
            <w:tcW w:w="1620" w:type="dxa"/>
            <w:shd w:val="clear" w:color="auto" w:fill="FFFFFF"/>
            <w:tcMar>
              <w:top w:w="0" w:type="dxa"/>
              <w:left w:w="0" w:type="dxa"/>
              <w:bottom w:w="0" w:type="dxa"/>
              <w:right w:w="0" w:type="dxa"/>
            </w:tcMar>
            <w:vAlign w:val="center"/>
          </w:tcPr>
          <w:p w:rsidR="00480CEC" w:rsidRPr="00CE60B6" w:rsidRDefault="00480CEC" w:rsidP="00137045">
            <w:pPr>
              <w:spacing w:after="135" w:line="360" w:lineRule="auto"/>
              <w:jc w:val="center"/>
              <w:rPr>
                <w:rFonts w:ascii="Arial" w:eastAsia="Times New Roman" w:hAnsi="Arial" w:cs="Arial"/>
                <w:b/>
                <w:bCs/>
                <w:color w:val="333333"/>
                <w:lang w:val="en-US"/>
              </w:rPr>
            </w:pPr>
          </w:p>
        </w:tc>
        <w:tc>
          <w:tcPr>
            <w:tcW w:w="1620" w:type="dxa"/>
            <w:shd w:val="clear" w:color="auto" w:fill="FFFFFF"/>
            <w:tcMar>
              <w:top w:w="0" w:type="dxa"/>
              <w:left w:w="0" w:type="dxa"/>
              <w:bottom w:w="0" w:type="dxa"/>
              <w:right w:w="0" w:type="dxa"/>
            </w:tcMar>
            <w:vAlign w:val="center"/>
          </w:tcPr>
          <w:p w:rsidR="00480CEC" w:rsidRPr="00CE60B6" w:rsidRDefault="00480CEC" w:rsidP="00137045">
            <w:pPr>
              <w:spacing w:after="135" w:line="360" w:lineRule="auto"/>
              <w:jc w:val="center"/>
              <w:rPr>
                <w:rFonts w:ascii="Arial" w:eastAsia="Times New Roman" w:hAnsi="Arial" w:cs="Arial"/>
                <w:b/>
                <w:bCs/>
                <w:color w:val="333333"/>
                <w:lang w:val="en-US"/>
              </w:rPr>
            </w:pPr>
          </w:p>
        </w:tc>
        <w:tc>
          <w:tcPr>
            <w:tcW w:w="1620" w:type="dxa"/>
            <w:shd w:val="clear" w:color="auto" w:fill="FFFFFF"/>
            <w:tcMar>
              <w:top w:w="0" w:type="dxa"/>
              <w:left w:w="0" w:type="dxa"/>
              <w:bottom w:w="0" w:type="dxa"/>
              <w:right w:w="0" w:type="dxa"/>
            </w:tcMar>
            <w:vAlign w:val="center"/>
          </w:tcPr>
          <w:p w:rsidR="00480CEC" w:rsidRPr="00CE60B6" w:rsidRDefault="00480CEC" w:rsidP="00137045">
            <w:pPr>
              <w:spacing w:after="135" w:line="360" w:lineRule="auto"/>
              <w:jc w:val="center"/>
              <w:rPr>
                <w:rFonts w:ascii="Arial" w:eastAsia="Times New Roman" w:hAnsi="Arial" w:cs="Arial"/>
                <w:b/>
                <w:bCs/>
                <w:color w:val="333333"/>
                <w:lang w:val="en-US"/>
              </w:rPr>
            </w:pPr>
          </w:p>
        </w:tc>
        <w:tc>
          <w:tcPr>
            <w:tcW w:w="1620" w:type="dxa"/>
            <w:shd w:val="clear" w:color="auto" w:fill="FFFFFF"/>
            <w:tcMar>
              <w:top w:w="0" w:type="dxa"/>
              <w:left w:w="0" w:type="dxa"/>
              <w:bottom w:w="0" w:type="dxa"/>
              <w:right w:w="0" w:type="dxa"/>
            </w:tcMar>
            <w:vAlign w:val="center"/>
          </w:tcPr>
          <w:p w:rsidR="00480CEC" w:rsidRPr="00CE60B6" w:rsidRDefault="00480CEC" w:rsidP="00137045">
            <w:pPr>
              <w:spacing w:after="135" w:line="360" w:lineRule="auto"/>
              <w:jc w:val="center"/>
              <w:rPr>
                <w:rFonts w:ascii="Arial" w:eastAsia="Times New Roman" w:hAnsi="Arial" w:cs="Arial"/>
                <w:b/>
                <w:bCs/>
                <w:color w:val="333333"/>
                <w:lang w:val="en-US"/>
              </w:rPr>
            </w:pPr>
          </w:p>
        </w:tc>
        <w:tc>
          <w:tcPr>
            <w:tcW w:w="1620" w:type="dxa"/>
            <w:vMerge/>
            <w:shd w:val="clear" w:color="auto" w:fill="FFFFFF"/>
            <w:tcMar>
              <w:top w:w="0" w:type="dxa"/>
              <w:left w:w="0" w:type="dxa"/>
              <w:bottom w:w="0" w:type="dxa"/>
              <w:right w:w="0" w:type="dxa"/>
            </w:tcMar>
            <w:vAlign w:val="center"/>
          </w:tcPr>
          <w:p w:rsidR="00480CEC" w:rsidRPr="00CE60B6" w:rsidRDefault="00480CEC" w:rsidP="00137045">
            <w:pPr>
              <w:spacing w:after="135" w:line="360" w:lineRule="auto"/>
              <w:jc w:val="center"/>
              <w:rPr>
                <w:rFonts w:ascii="Arial" w:eastAsia="Times New Roman" w:hAnsi="Arial" w:cs="Arial"/>
                <w:b/>
                <w:bCs/>
                <w:color w:val="333333"/>
                <w:lang w:val="en-US"/>
              </w:rPr>
            </w:pPr>
          </w:p>
        </w:tc>
      </w:tr>
      <w:tr w:rsidR="00480CEC" w:rsidRPr="00CE60B6" w:rsidTr="00137045">
        <w:trPr>
          <w:trHeight w:val="279"/>
        </w:trPr>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right"/>
              <w:rPr>
                <w:rFonts w:ascii="Arial" w:eastAsia="Times New Roman" w:hAnsi="Arial" w:cs="Arial"/>
                <w:color w:val="333333"/>
                <w:lang w:val="en-US"/>
              </w:rPr>
            </w:pPr>
            <w:r w:rsidRPr="00CE60B6">
              <w:rPr>
                <w:rFonts w:ascii="Arial" w:eastAsia="Times New Roman" w:hAnsi="Arial" w:cs="Arial"/>
                <w:color w:val="333333"/>
                <w:lang w:val="en-US"/>
              </w:rPr>
              <w:t>8 788 444</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right"/>
              <w:rPr>
                <w:rFonts w:ascii="Arial" w:eastAsia="Times New Roman" w:hAnsi="Arial" w:cs="Arial"/>
                <w:color w:val="333333"/>
                <w:lang w:val="en-US"/>
              </w:rPr>
            </w:pPr>
            <w:r w:rsidRPr="00CE60B6">
              <w:rPr>
                <w:rFonts w:ascii="Arial" w:eastAsia="Times New Roman" w:hAnsi="Arial" w:cs="Arial"/>
                <w:color w:val="333333"/>
                <w:lang w:val="en-US"/>
              </w:rPr>
              <w:t>8 788 443</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right"/>
              <w:rPr>
                <w:rFonts w:ascii="Arial" w:eastAsia="Times New Roman" w:hAnsi="Arial" w:cs="Arial"/>
                <w:color w:val="333333"/>
                <w:lang w:val="en-US"/>
              </w:rPr>
            </w:pPr>
            <w:r w:rsidRPr="00CE60B6">
              <w:rPr>
                <w:rFonts w:ascii="Arial" w:eastAsia="Times New Roman" w:hAnsi="Arial" w:cs="Arial"/>
                <w:color w:val="333333"/>
                <w:lang w:val="en-US"/>
              </w:rPr>
              <w:t>8 788 443</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right"/>
              <w:rPr>
                <w:rFonts w:ascii="Arial" w:eastAsia="Times New Roman" w:hAnsi="Arial" w:cs="Arial"/>
                <w:color w:val="333333"/>
                <w:lang w:val="en-US"/>
              </w:rPr>
            </w:pPr>
            <w:r w:rsidRPr="00CE60B6">
              <w:rPr>
                <w:rFonts w:ascii="Arial" w:eastAsia="Times New Roman" w:hAnsi="Arial" w:cs="Arial"/>
                <w:color w:val="333333"/>
                <w:lang w:val="en-US"/>
              </w:rPr>
              <w:t>8 788 443</w:t>
            </w:r>
          </w:p>
        </w:tc>
        <w:tc>
          <w:tcPr>
            <w:tcW w:w="1620" w:type="dxa"/>
            <w:shd w:val="clear" w:color="auto" w:fill="FFFFFF"/>
            <w:tcMar>
              <w:top w:w="0" w:type="dxa"/>
              <w:left w:w="0" w:type="dxa"/>
              <w:bottom w:w="0" w:type="dxa"/>
              <w:right w:w="0" w:type="dxa"/>
            </w:tcMar>
            <w:vAlign w:val="center"/>
            <w:hideMark/>
          </w:tcPr>
          <w:p w:rsidR="00480CEC" w:rsidRPr="00CE60B6" w:rsidRDefault="00480CEC" w:rsidP="00137045">
            <w:pPr>
              <w:spacing w:after="135" w:line="360" w:lineRule="auto"/>
              <w:jc w:val="right"/>
              <w:rPr>
                <w:rFonts w:ascii="Arial" w:eastAsia="Times New Roman" w:hAnsi="Arial" w:cs="Arial"/>
                <w:color w:val="333333"/>
                <w:lang w:val="en-US"/>
              </w:rPr>
            </w:pPr>
            <w:r w:rsidRPr="00CE60B6">
              <w:rPr>
                <w:rFonts w:ascii="Arial" w:eastAsia="Times New Roman" w:hAnsi="Arial" w:cs="Arial"/>
                <w:color w:val="333333"/>
                <w:lang w:val="en-US"/>
              </w:rPr>
              <w:t>35 153 77</w:t>
            </w:r>
          </w:p>
        </w:tc>
      </w:tr>
    </w:tbl>
    <w:p w:rsidR="00480CEC" w:rsidRPr="00CE60B6" w:rsidRDefault="00480CEC" w:rsidP="00480CEC">
      <w:pPr>
        <w:spacing w:before="100" w:beforeAutospacing="1" w:after="100" w:afterAutospacing="1" w:line="360" w:lineRule="auto"/>
        <w:jc w:val="both"/>
        <w:rPr>
          <w:rFonts w:ascii="Arial" w:hAnsi="Arial" w:cs="Arial"/>
          <w:b/>
        </w:rPr>
      </w:pPr>
    </w:p>
    <w:p w:rsidR="00480CEC" w:rsidRPr="00CE60B6" w:rsidRDefault="00480CEC" w:rsidP="00480CEC">
      <w:pPr>
        <w:spacing w:before="100" w:beforeAutospacing="1" w:after="100" w:afterAutospacing="1" w:line="360" w:lineRule="auto"/>
        <w:jc w:val="both"/>
        <w:rPr>
          <w:rFonts w:ascii="Arial" w:hAnsi="Arial" w:cs="Arial"/>
          <w:b/>
        </w:rPr>
      </w:pPr>
    </w:p>
    <w:p w:rsidR="00480CEC" w:rsidRPr="00CE60B6" w:rsidRDefault="00480CEC" w:rsidP="00480CEC">
      <w:pPr>
        <w:spacing w:before="100" w:beforeAutospacing="1" w:after="100" w:afterAutospacing="1" w:line="360" w:lineRule="auto"/>
        <w:jc w:val="both"/>
        <w:rPr>
          <w:rFonts w:ascii="Arial" w:hAnsi="Arial" w:cs="Arial"/>
          <w:b/>
        </w:rPr>
      </w:pPr>
    </w:p>
    <w:p w:rsidR="00480CEC" w:rsidRDefault="00480CEC" w:rsidP="00480CEC">
      <w:pPr>
        <w:spacing w:before="100" w:beforeAutospacing="1" w:after="100" w:afterAutospacing="1" w:line="360" w:lineRule="auto"/>
        <w:jc w:val="both"/>
        <w:rPr>
          <w:rFonts w:ascii="Arial" w:hAnsi="Arial" w:cs="Arial"/>
          <w:b/>
        </w:rPr>
      </w:pPr>
    </w:p>
    <w:p w:rsidR="00480CEC" w:rsidRDefault="00480CEC" w:rsidP="00480CEC">
      <w:pPr>
        <w:spacing w:before="100" w:beforeAutospacing="1" w:after="100" w:afterAutospacing="1" w:line="360" w:lineRule="auto"/>
        <w:jc w:val="both"/>
        <w:rPr>
          <w:rFonts w:ascii="Arial" w:hAnsi="Arial" w:cs="Arial"/>
          <w:b/>
        </w:rPr>
      </w:pPr>
    </w:p>
    <w:p w:rsidR="00480CEC" w:rsidRDefault="00480CEC" w:rsidP="00480CEC">
      <w:pPr>
        <w:spacing w:before="100" w:beforeAutospacing="1" w:after="100" w:afterAutospacing="1" w:line="360" w:lineRule="auto"/>
        <w:jc w:val="both"/>
        <w:rPr>
          <w:rFonts w:ascii="Arial" w:hAnsi="Arial" w:cs="Arial"/>
          <w:b/>
        </w:rPr>
      </w:pPr>
    </w:p>
    <w:p w:rsidR="00BD00C9" w:rsidRPr="00BD00C9" w:rsidRDefault="00BD00C9" w:rsidP="00247234">
      <w:pPr>
        <w:spacing w:before="240" w:after="160" w:line="259" w:lineRule="auto"/>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3A3244"/>
    <w:multiLevelType w:val="hybridMultilevel"/>
    <w:tmpl w:val="AE06BB24"/>
    <w:lvl w:ilvl="0" w:tplc="91B2F0F0">
      <w:start w:val="1"/>
      <w:numFmt w:val="lowerLetter"/>
      <w:lvlText w:val="(%1)"/>
      <w:lvlJc w:val="left"/>
      <w:pPr>
        <w:ind w:left="844" w:hanging="39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7">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0">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3">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9"/>
  </w:num>
  <w:num w:numId="3">
    <w:abstractNumId w:val="35"/>
  </w:num>
  <w:num w:numId="4">
    <w:abstractNumId w:val="5"/>
  </w:num>
  <w:num w:numId="5">
    <w:abstractNumId w:val="44"/>
  </w:num>
  <w:num w:numId="6">
    <w:abstractNumId w:val="32"/>
  </w:num>
  <w:num w:numId="7">
    <w:abstractNumId w:val="41"/>
  </w:num>
  <w:num w:numId="8">
    <w:abstractNumId w:val="29"/>
  </w:num>
  <w:num w:numId="9">
    <w:abstractNumId w:val="43"/>
  </w:num>
  <w:num w:numId="10">
    <w:abstractNumId w:val="16"/>
  </w:num>
  <w:num w:numId="11">
    <w:abstractNumId w:val="20"/>
  </w:num>
  <w:num w:numId="12">
    <w:abstractNumId w:val="1"/>
  </w:num>
  <w:num w:numId="13">
    <w:abstractNumId w:val="25"/>
  </w:num>
  <w:num w:numId="14">
    <w:abstractNumId w:val="40"/>
  </w:num>
  <w:num w:numId="15">
    <w:abstractNumId w:val="11"/>
  </w:num>
  <w:num w:numId="16">
    <w:abstractNumId w:val="46"/>
  </w:num>
  <w:num w:numId="17">
    <w:abstractNumId w:val="39"/>
  </w:num>
  <w:num w:numId="18">
    <w:abstractNumId w:val="48"/>
  </w:num>
  <w:num w:numId="19">
    <w:abstractNumId w:val="13"/>
  </w:num>
  <w:num w:numId="20">
    <w:abstractNumId w:val="22"/>
  </w:num>
  <w:num w:numId="21">
    <w:abstractNumId w:val="15"/>
  </w:num>
  <w:num w:numId="22">
    <w:abstractNumId w:val="18"/>
  </w:num>
  <w:num w:numId="23">
    <w:abstractNumId w:val="26"/>
  </w:num>
  <w:num w:numId="24">
    <w:abstractNumId w:val="33"/>
  </w:num>
  <w:num w:numId="25">
    <w:abstractNumId w:val="45"/>
  </w:num>
  <w:num w:numId="26">
    <w:abstractNumId w:val="23"/>
  </w:num>
  <w:num w:numId="27">
    <w:abstractNumId w:val="8"/>
  </w:num>
  <w:num w:numId="28">
    <w:abstractNumId w:val="38"/>
  </w:num>
  <w:num w:numId="29">
    <w:abstractNumId w:val="42"/>
  </w:num>
  <w:num w:numId="30">
    <w:abstractNumId w:val="34"/>
  </w:num>
  <w:num w:numId="31">
    <w:abstractNumId w:val="9"/>
  </w:num>
  <w:num w:numId="32">
    <w:abstractNumId w:val="12"/>
  </w:num>
  <w:num w:numId="33">
    <w:abstractNumId w:val="31"/>
  </w:num>
  <w:num w:numId="34">
    <w:abstractNumId w:val="7"/>
  </w:num>
  <w:num w:numId="35">
    <w:abstractNumId w:val="17"/>
  </w:num>
  <w:num w:numId="36">
    <w:abstractNumId w:val="14"/>
  </w:num>
  <w:num w:numId="37">
    <w:abstractNumId w:val="24"/>
  </w:num>
  <w:num w:numId="38">
    <w:abstractNumId w:val="27"/>
  </w:num>
  <w:num w:numId="39">
    <w:abstractNumId w:val="6"/>
  </w:num>
  <w:num w:numId="40">
    <w:abstractNumId w:val="37"/>
  </w:num>
  <w:num w:numId="41">
    <w:abstractNumId w:val="36"/>
  </w:num>
  <w:num w:numId="42">
    <w:abstractNumId w:val="30"/>
  </w:num>
  <w:num w:numId="43">
    <w:abstractNumId w:val="19"/>
  </w:num>
  <w:num w:numId="44">
    <w:abstractNumId w:val="28"/>
  </w:num>
  <w:num w:numId="45">
    <w:abstractNumId w:val="47"/>
  </w:num>
  <w:num w:numId="46">
    <w:abstractNumId w:val="4"/>
  </w:num>
  <w:num w:numId="47">
    <w:abstractNumId w:val="10"/>
  </w:num>
  <w:num w:numId="48">
    <w:abstractNumId w:val="3"/>
  </w:num>
  <w:num w:numId="49">
    <w:abstractNumId w:val="21"/>
  </w:num>
  <w:num w:numId="5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29C1"/>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234"/>
    <w:rsid w:val="00247CDD"/>
    <w:rsid w:val="00250110"/>
    <w:rsid w:val="0025309B"/>
    <w:rsid w:val="00253A84"/>
    <w:rsid w:val="0025524E"/>
    <w:rsid w:val="002556A8"/>
    <w:rsid w:val="00256324"/>
    <w:rsid w:val="00261E5D"/>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0CEC"/>
    <w:rsid w:val="004823DC"/>
    <w:rsid w:val="004831BE"/>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67E8"/>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1B55"/>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AB6"/>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6B1"/>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locked/>
    <w:rsid w:val="00247234"/>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D76A-C958-4F1C-8239-309A4615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2021-06-23T15:20:00Z</dcterms:created>
  <dcterms:modified xsi:type="dcterms:W3CDTF">2021-06-23T15:20:00Z</dcterms:modified>
</cp:coreProperties>
</file>