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217EBC">
        <w:rPr>
          <w:b/>
          <w:bCs/>
          <w:sz w:val="24"/>
          <w:u w:val="single"/>
        </w:rPr>
        <w:t>543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38AC">
        <w:rPr>
          <w:b/>
          <w:bCs/>
          <w:sz w:val="24"/>
          <w:u w:val="single"/>
        </w:rPr>
        <w:t>15</w:t>
      </w:r>
      <w:r w:rsidR="00A268B1">
        <w:rPr>
          <w:b/>
          <w:bCs/>
          <w:sz w:val="24"/>
          <w:u w:val="single"/>
        </w:rPr>
        <w:t xml:space="preserve"> NOVEMB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B0600">
        <w:rPr>
          <w:b/>
          <w:bCs/>
          <w:sz w:val="24"/>
          <w:u w:val="single"/>
        </w:rPr>
        <w:t>2</w:t>
      </w:r>
      <w:r w:rsidR="00DF38AC">
        <w:rPr>
          <w:b/>
          <w:bCs/>
          <w:sz w:val="24"/>
          <w:u w:val="single"/>
        </w:rPr>
        <w:t>7</w:t>
      </w:r>
      <w:r w:rsidRPr="00294557">
        <w:rPr>
          <w:b/>
          <w:bCs/>
          <w:sz w:val="24"/>
          <w:u w:val="single"/>
        </w:rPr>
        <w:t>)</w:t>
      </w:r>
    </w:p>
    <w:p w:rsidR="00217EBC" w:rsidRPr="00217EBC" w:rsidRDefault="00217EBC" w:rsidP="00217EBC">
      <w:pPr>
        <w:spacing w:before="100" w:beforeAutospacing="1" w:after="100" w:afterAutospacing="1"/>
        <w:jc w:val="both"/>
        <w:outlineLvl w:val="0"/>
        <w:rPr>
          <w:rFonts w:eastAsia="Calibri"/>
          <w:b/>
          <w:bCs/>
          <w:sz w:val="24"/>
          <w:u w:val="single"/>
        </w:rPr>
      </w:pPr>
      <w:r w:rsidRPr="00217EBC">
        <w:rPr>
          <w:rFonts w:eastAsia="Calibri"/>
          <w:b/>
          <w:bCs/>
          <w:sz w:val="24"/>
          <w:u w:val="single"/>
        </w:rPr>
        <w:t>Mrs E R Wilson (DA) to ask the Minister of Health</w:t>
      </w:r>
      <w:r w:rsidRPr="00217EBC">
        <w:rPr>
          <w:rFonts w:eastAsia="Calibri"/>
          <w:b/>
          <w:bCs/>
          <w:sz w:val="24"/>
          <w:u w:val="single"/>
        </w:rPr>
        <w:fldChar w:fldCharType="begin"/>
      </w:r>
      <w:r w:rsidRPr="00217EBC">
        <w:rPr>
          <w:u w:val="single"/>
        </w:rPr>
        <w:instrText xml:space="preserve"> XE "</w:instrText>
      </w:r>
      <w:r w:rsidRPr="00217EBC">
        <w:rPr>
          <w:rFonts w:eastAsia="Calibri"/>
          <w:b/>
          <w:bCs/>
          <w:sz w:val="24"/>
          <w:u w:val="single"/>
        </w:rPr>
        <w:instrText>Health</w:instrText>
      </w:r>
      <w:r w:rsidRPr="00217EBC">
        <w:rPr>
          <w:u w:val="single"/>
        </w:rPr>
        <w:instrText xml:space="preserve">" </w:instrText>
      </w:r>
      <w:r w:rsidRPr="00217EBC">
        <w:rPr>
          <w:rFonts w:eastAsia="Calibri"/>
          <w:b/>
          <w:bCs/>
          <w:sz w:val="24"/>
          <w:u w:val="single"/>
        </w:rPr>
        <w:fldChar w:fldCharType="end"/>
      </w:r>
      <w:r w:rsidRPr="00217EBC">
        <w:rPr>
          <w:rFonts w:eastAsia="Calibri"/>
          <w:b/>
          <w:bCs/>
          <w:sz w:val="24"/>
          <w:u w:val="single"/>
        </w:rPr>
        <w:t>:</w:t>
      </w:r>
    </w:p>
    <w:p w:rsidR="00DF38AC" w:rsidRPr="00217EBC" w:rsidRDefault="00217EBC" w:rsidP="00217EBC">
      <w:pPr>
        <w:spacing w:before="100" w:beforeAutospacing="1" w:after="100" w:afterAutospacing="1"/>
        <w:jc w:val="both"/>
        <w:rPr>
          <w:sz w:val="24"/>
        </w:rPr>
      </w:pPr>
      <w:r w:rsidRPr="00217EBC">
        <w:rPr>
          <w:color w:val="000000"/>
          <w:sz w:val="24"/>
          <w:lang w:val="en-US" w:eastAsia="en-ZA"/>
        </w:rPr>
        <w:t xml:space="preserve">With reference to his department’s financial report on the R31 million </w:t>
      </w:r>
      <w:proofErr w:type="spellStart"/>
      <w:r w:rsidRPr="00217EBC">
        <w:rPr>
          <w:color w:val="000000"/>
          <w:sz w:val="24"/>
          <w:lang w:val="en-US" w:eastAsia="en-ZA"/>
        </w:rPr>
        <w:t>virement</w:t>
      </w:r>
      <w:proofErr w:type="spellEnd"/>
      <w:r w:rsidRPr="00217EBC">
        <w:rPr>
          <w:color w:val="000000"/>
          <w:sz w:val="24"/>
          <w:lang w:val="en-US" w:eastAsia="en-ZA"/>
        </w:rPr>
        <w:t xml:space="preserve"> that was requested for vaccines for Limpopo, (a) </w:t>
      </w:r>
      <w:r w:rsidRPr="00217EBC">
        <w:rPr>
          <w:rFonts w:eastAsia="Calibri"/>
          <w:sz w:val="24"/>
          <w:lang w:val="en-US"/>
        </w:rPr>
        <w:t>what was the Limpopo budget for vaccines in the (</w:t>
      </w:r>
      <w:proofErr w:type="spellStart"/>
      <w:r w:rsidRPr="00217EBC">
        <w:rPr>
          <w:rFonts w:eastAsia="Calibri"/>
          <w:sz w:val="24"/>
          <w:lang w:val="en-US"/>
        </w:rPr>
        <w:t>i</w:t>
      </w:r>
      <w:proofErr w:type="spellEnd"/>
      <w:r w:rsidRPr="00217EBC">
        <w:rPr>
          <w:rFonts w:eastAsia="Calibri"/>
          <w:sz w:val="24"/>
          <w:lang w:val="en-US"/>
        </w:rPr>
        <w:t xml:space="preserve">) 2017-18 and (ii) 2018-19 financial years, (b) why was a R31 million </w:t>
      </w:r>
      <w:proofErr w:type="spellStart"/>
      <w:r w:rsidRPr="00217EBC">
        <w:rPr>
          <w:rFonts w:eastAsia="Calibri"/>
          <w:sz w:val="24"/>
          <w:lang w:val="en-US"/>
        </w:rPr>
        <w:t>virement</w:t>
      </w:r>
      <w:proofErr w:type="spellEnd"/>
      <w:r w:rsidRPr="00217EBC">
        <w:rPr>
          <w:rFonts w:eastAsia="Calibri"/>
          <w:sz w:val="24"/>
          <w:lang w:val="en-US"/>
        </w:rPr>
        <w:t xml:space="preserve"> </w:t>
      </w:r>
      <w:r w:rsidRPr="00217EBC">
        <w:rPr>
          <w:sz w:val="24"/>
        </w:rPr>
        <w:t>necessary</w:t>
      </w:r>
      <w:r w:rsidRPr="00217EBC">
        <w:rPr>
          <w:rFonts w:eastAsia="Calibri"/>
          <w:sz w:val="24"/>
          <w:lang w:val="en-US"/>
        </w:rPr>
        <w:t xml:space="preserve">, (c) which budget in his department was this </w:t>
      </w:r>
      <w:proofErr w:type="spellStart"/>
      <w:r w:rsidRPr="00217EBC">
        <w:rPr>
          <w:rFonts w:eastAsia="Calibri"/>
          <w:sz w:val="24"/>
          <w:lang w:val="en-US"/>
        </w:rPr>
        <w:t>virement</w:t>
      </w:r>
      <w:proofErr w:type="spellEnd"/>
      <w:r w:rsidRPr="00217EBC">
        <w:rPr>
          <w:rFonts w:eastAsia="Calibri"/>
          <w:sz w:val="24"/>
          <w:lang w:val="en-US"/>
        </w:rPr>
        <w:t xml:space="preserve"> taken from and (d) </w:t>
      </w:r>
      <w:r w:rsidRPr="00217EBC">
        <w:rPr>
          <w:color w:val="000000"/>
          <w:sz w:val="24"/>
          <w:lang w:val="en-US" w:eastAsia="en-ZA"/>
        </w:rPr>
        <w:t>what engagements has he had with the</w:t>
      </w:r>
      <w:r w:rsidRPr="00217EBC">
        <w:rPr>
          <w:rStyle w:val="Emphasis"/>
          <w:sz w:val="24"/>
        </w:rPr>
        <w:t xml:space="preserve"> Member of the Executive Council</w:t>
      </w:r>
      <w:r w:rsidRPr="00217EBC">
        <w:rPr>
          <w:i/>
          <w:color w:val="000000"/>
          <w:sz w:val="24"/>
          <w:lang w:val="en-US" w:eastAsia="en-ZA"/>
        </w:rPr>
        <w:t xml:space="preserve"> </w:t>
      </w:r>
      <w:r w:rsidRPr="00217EBC">
        <w:rPr>
          <w:rStyle w:val="Emphasis"/>
          <w:sz w:val="24"/>
        </w:rPr>
        <w:t>for Health</w:t>
      </w:r>
      <w:r w:rsidRPr="00217EBC">
        <w:rPr>
          <w:rStyle w:val="Emphasis"/>
          <w:i/>
          <w:sz w:val="24"/>
        </w:rPr>
        <w:fldChar w:fldCharType="begin"/>
      </w:r>
      <w:r w:rsidRPr="00217EBC">
        <w:instrText xml:space="preserve"> XE "</w:instrText>
      </w:r>
      <w:r w:rsidRPr="00217EBC">
        <w:rPr>
          <w:rFonts w:eastAsia="Calibri"/>
          <w:b/>
          <w:bCs/>
          <w:sz w:val="24"/>
        </w:rPr>
        <w:instrText>Health</w:instrText>
      </w:r>
      <w:r w:rsidRPr="00217EBC">
        <w:instrText xml:space="preserve">" </w:instrText>
      </w:r>
      <w:r w:rsidRPr="00217EBC">
        <w:rPr>
          <w:rStyle w:val="Emphasis"/>
          <w:i/>
          <w:sz w:val="24"/>
        </w:rPr>
        <w:fldChar w:fldCharType="end"/>
      </w:r>
      <w:r w:rsidRPr="00217EBC">
        <w:rPr>
          <w:color w:val="000000"/>
          <w:sz w:val="24"/>
          <w:lang w:val="en-US" w:eastAsia="en-ZA"/>
        </w:rPr>
        <w:t xml:space="preserve"> to curb poor planning and </w:t>
      </w:r>
      <w:proofErr w:type="spellStart"/>
      <w:r w:rsidRPr="00217EBC">
        <w:rPr>
          <w:color w:val="000000"/>
          <w:sz w:val="24"/>
          <w:lang w:val="en-US" w:eastAsia="en-ZA"/>
        </w:rPr>
        <w:t>jeopardising</w:t>
      </w:r>
      <w:proofErr w:type="spellEnd"/>
      <w:r w:rsidRPr="00217EBC">
        <w:rPr>
          <w:color w:val="000000"/>
          <w:sz w:val="24"/>
          <w:lang w:val="en-US" w:eastAsia="en-ZA"/>
        </w:rPr>
        <w:t xml:space="preserve"> the health of Limpopo citizens</w:t>
      </w:r>
      <w:r w:rsidRPr="00217EBC">
        <w:rPr>
          <w:rFonts w:eastAsia="Calibri"/>
          <w:sz w:val="24"/>
        </w:rPr>
        <w:t>?</w:t>
      </w:r>
    </w:p>
    <w:p w:rsidR="004872D2" w:rsidRPr="004872D2" w:rsidRDefault="00AB514C" w:rsidP="00AB514C">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 xml:space="preserve"> </w:t>
      </w:r>
      <w:r w:rsidR="004872D2" w:rsidRPr="004872D2">
        <w:rPr>
          <w:rFonts w:eastAsia="Calibri"/>
          <w:b/>
          <w:noProof/>
          <w:sz w:val="12"/>
          <w:szCs w:val="12"/>
          <w:lang w:val="af-ZA"/>
        </w:rPr>
        <w:t>NW</w:t>
      </w:r>
      <w:r w:rsidR="00FB4AF1">
        <w:rPr>
          <w:rFonts w:eastAsia="Calibri"/>
          <w:b/>
          <w:noProof/>
          <w:sz w:val="12"/>
          <w:szCs w:val="12"/>
          <w:lang w:val="af-ZA"/>
        </w:rPr>
        <w:t>2</w:t>
      </w:r>
      <w:r w:rsidR="00217EBC">
        <w:rPr>
          <w:rFonts w:eastAsia="Calibri"/>
          <w:b/>
          <w:noProof/>
          <w:sz w:val="12"/>
          <w:szCs w:val="12"/>
          <w:lang w:val="af-ZA"/>
        </w:rPr>
        <w:t>868</w:t>
      </w:r>
      <w:r w:rsidR="00F6402A">
        <w:rPr>
          <w:rFonts w:eastAsia="Calibri"/>
          <w:b/>
          <w:noProof/>
          <w:sz w:val="12"/>
          <w:szCs w:val="12"/>
          <w:lang w:val="af-ZA"/>
        </w:rPr>
        <w:t>E</w:t>
      </w:r>
    </w:p>
    <w:p w:rsidR="008526C9" w:rsidRDefault="00E238C2" w:rsidP="008526C9">
      <w:pPr>
        <w:pStyle w:val="Heading6"/>
        <w:tabs>
          <w:tab w:val="clear" w:pos="660"/>
          <w:tab w:val="clear" w:pos="864"/>
          <w:tab w:val="clear" w:pos="1440"/>
          <w:tab w:val="left" w:pos="390"/>
          <w:tab w:val="right" w:pos="10204"/>
        </w:tabs>
        <w:ind w:left="0" w:firstLine="0"/>
        <w:jc w:val="left"/>
        <w:rPr>
          <w:sz w:val="24"/>
          <w:u w:val="single"/>
          <w:lang w:val="en-US"/>
        </w:rPr>
      </w:pPr>
      <w:r w:rsidRPr="0034705D">
        <w:rPr>
          <w:sz w:val="24"/>
          <w:u w:val="single"/>
          <w:lang w:val="en-US"/>
        </w:rPr>
        <w:t>REPLY:</w:t>
      </w:r>
    </w:p>
    <w:tbl>
      <w:tblPr>
        <w:tblStyle w:val="TableGrid"/>
        <w:tblW w:w="0" w:type="auto"/>
        <w:tblLook w:val="04A0" w:firstRow="1" w:lastRow="0" w:firstColumn="1" w:lastColumn="0" w:noHBand="0" w:noVBand="1"/>
      </w:tblPr>
      <w:tblGrid>
        <w:gridCol w:w="817"/>
        <w:gridCol w:w="3686"/>
        <w:gridCol w:w="3686"/>
      </w:tblGrid>
      <w:tr w:rsidR="009C604A" w:rsidTr="009C604A">
        <w:tc>
          <w:tcPr>
            <w:tcW w:w="817" w:type="dxa"/>
            <w:vMerge w:val="restart"/>
            <w:tcBorders>
              <w:top w:val="nil"/>
              <w:left w:val="nil"/>
              <w:bottom w:val="nil"/>
            </w:tcBorders>
          </w:tcPr>
          <w:p w:rsidR="009C604A" w:rsidRDefault="009C604A" w:rsidP="009D7986">
            <w:pPr>
              <w:pStyle w:val="BodyText"/>
              <w:rPr>
                <w:sz w:val="24"/>
                <w:lang w:val="en-GB"/>
              </w:rPr>
            </w:pPr>
            <w:r>
              <w:rPr>
                <w:sz w:val="24"/>
                <w:lang w:val="en-GB"/>
              </w:rPr>
              <w:t>(a)</w:t>
            </w:r>
          </w:p>
        </w:tc>
        <w:tc>
          <w:tcPr>
            <w:tcW w:w="7372" w:type="dxa"/>
            <w:gridSpan w:val="2"/>
          </w:tcPr>
          <w:p w:rsidR="009C604A" w:rsidRDefault="009C604A" w:rsidP="009D7986">
            <w:pPr>
              <w:pStyle w:val="BodyText"/>
              <w:rPr>
                <w:sz w:val="24"/>
                <w:lang w:val="en-GB"/>
              </w:rPr>
            </w:pPr>
            <w:r>
              <w:rPr>
                <w:sz w:val="24"/>
                <w:lang w:val="en-GB"/>
              </w:rPr>
              <w:t>Limpopo budget for vaccines (as allocated by Provincial Treasury)</w:t>
            </w:r>
          </w:p>
        </w:tc>
      </w:tr>
      <w:tr w:rsidR="009C604A" w:rsidTr="009D7986">
        <w:tc>
          <w:tcPr>
            <w:tcW w:w="817" w:type="dxa"/>
            <w:vMerge/>
            <w:tcBorders>
              <w:left w:val="nil"/>
              <w:bottom w:val="nil"/>
            </w:tcBorders>
          </w:tcPr>
          <w:p w:rsidR="009C604A" w:rsidRDefault="009C604A" w:rsidP="009D7986">
            <w:pPr>
              <w:pStyle w:val="BodyText"/>
              <w:rPr>
                <w:sz w:val="24"/>
                <w:lang w:val="en-GB"/>
              </w:rPr>
            </w:pPr>
          </w:p>
        </w:tc>
        <w:tc>
          <w:tcPr>
            <w:tcW w:w="3686" w:type="dxa"/>
          </w:tcPr>
          <w:p w:rsidR="009C604A" w:rsidRDefault="009C604A" w:rsidP="009D7986">
            <w:pPr>
              <w:pStyle w:val="BodyText"/>
              <w:jc w:val="center"/>
              <w:rPr>
                <w:b/>
                <w:sz w:val="24"/>
                <w:lang w:val="en-GB"/>
              </w:rPr>
            </w:pPr>
            <w:r>
              <w:rPr>
                <w:b/>
                <w:sz w:val="24"/>
                <w:lang w:val="en-GB"/>
              </w:rPr>
              <w:t>2017-18</w:t>
            </w:r>
          </w:p>
          <w:p w:rsidR="009C604A" w:rsidRPr="00FD7D13" w:rsidRDefault="009C604A" w:rsidP="009D7986">
            <w:pPr>
              <w:pStyle w:val="BodyText"/>
              <w:jc w:val="center"/>
              <w:rPr>
                <w:b/>
                <w:sz w:val="24"/>
                <w:lang w:val="en-GB"/>
              </w:rPr>
            </w:pPr>
            <w:r>
              <w:rPr>
                <w:b/>
                <w:sz w:val="24"/>
                <w:lang w:val="en-GB"/>
              </w:rPr>
              <w:t>(</w:t>
            </w:r>
            <w:proofErr w:type="spellStart"/>
            <w:r>
              <w:rPr>
                <w:b/>
                <w:sz w:val="24"/>
                <w:lang w:val="en-GB"/>
              </w:rPr>
              <w:t>i</w:t>
            </w:r>
            <w:proofErr w:type="spellEnd"/>
            <w:r>
              <w:rPr>
                <w:b/>
                <w:sz w:val="24"/>
                <w:lang w:val="en-GB"/>
              </w:rPr>
              <w:t>)</w:t>
            </w:r>
          </w:p>
        </w:tc>
        <w:tc>
          <w:tcPr>
            <w:tcW w:w="3686" w:type="dxa"/>
          </w:tcPr>
          <w:p w:rsidR="009C604A" w:rsidRDefault="009C604A" w:rsidP="009D7986">
            <w:pPr>
              <w:pStyle w:val="BodyText"/>
              <w:jc w:val="center"/>
              <w:rPr>
                <w:b/>
                <w:sz w:val="24"/>
                <w:lang w:val="en-GB"/>
              </w:rPr>
            </w:pPr>
            <w:r>
              <w:rPr>
                <w:b/>
                <w:sz w:val="24"/>
                <w:lang w:val="en-GB"/>
              </w:rPr>
              <w:t>2018-19</w:t>
            </w:r>
          </w:p>
          <w:p w:rsidR="009C604A" w:rsidRPr="00FD7D13" w:rsidRDefault="009C604A" w:rsidP="009D7986">
            <w:pPr>
              <w:pStyle w:val="BodyText"/>
              <w:jc w:val="center"/>
              <w:rPr>
                <w:b/>
                <w:sz w:val="24"/>
                <w:lang w:val="en-GB"/>
              </w:rPr>
            </w:pPr>
            <w:r>
              <w:rPr>
                <w:b/>
                <w:sz w:val="24"/>
                <w:lang w:val="en-GB"/>
              </w:rPr>
              <w:t>(ii)</w:t>
            </w:r>
          </w:p>
        </w:tc>
      </w:tr>
      <w:tr w:rsidR="009C604A" w:rsidTr="009D7986">
        <w:tc>
          <w:tcPr>
            <w:tcW w:w="817" w:type="dxa"/>
            <w:vMerge/>
            <w:tcBorders>
              <w:left w:val="nil"/>
              <w:bottom w:val="nil"/>
            </w:tcBorders>
          </w:tcPr>
          <w:p w:rsidR="009C604A" w:rsidRDefault="009C604A" w:rsidP="009D7986">
            <w:pPr>
              <w:pStyle w:val="BodyText"/>
              <w:rPr>
                <w:sz w:val="24"/>
                <w:lang w:val="en-GB"/>
              </w:rPr>
            </w:pPr>
          </w:p>
        </w:tc>
        <w:tc>
          <w:tcPr>
            <w:tcW w:w="3686" w:type="dxa"/>
          </w:tcPr>
          <w:p w:rsidR="009C604A" w:rsidRDefault="009C604A" w:rsidP="009D7986">
            <w:pPr>
              <w:pStyle w:val="BodyText"/>
              <w:ind w:right="318"/>
              <w:jc w:val="right"/>
              <w:rPr>
                <w:sz w:val="24"/>
                <w:lang w:val="en-GB"/>
              </w:rPr>
            </w:pPr>
            <w:r>
              <w:rPr>
                <w:sz w:val="24"/>
                <w:lang w:val="en-GB"/>
              </w:rPr>
              <w:t>R268,920,000</w:t>
            </w:r>
          </w:p>
        </w:tc>
        <w:tc>
          <w:tcPr>
            <w:tcW w:w="3686" w:type="dxa"/>
          </w:tcPr>
          <w:p w:rsidR="009C604A" w:rsidRDefault="009C604A" w:rsidP="009D7986">
            <w:pPr>
              <w:pStyle w:val="BodyText"/>
              <w:ind w:right="318"/>
              <w:jc w:val="right"/>
              <w:rPr>
                <w:sz w:val="24"/>
                <w:lang w:val="en-GB"/>
              </w:rPr>
            </w:pPr>
            <w:r>
              <w:rPr>
                <w:sz w:val="24"/>
                <w:lang w:val="en-GB"/>
              </w:rPr>
              <w:t>R317,781,000</w:t>
            </w:r>
          </w:p>
        </w:tc>
      </w:tr>
    </w:tbl>
    <w:p w:rsidR="009C604A" w:rsidRPr="008725E9" w:rsidRDefault="009C604A" w:rsidP="009C604A">
      <w:pPr>
        <w:pStyle w:val="BodyText"/>
        <w:spacing w:before="200" w:after="200"/>
        <w:ind w:left="567" w:hanging="567"/>
        <w:rPr>
          <w:sz w:val="24"/>
          <w:lang w:val="en-GB"/>
        </w:rPr>
      </w:pPr>
      <w:r w:rsidRPr="008725E9">
        <w:rPr>
          <w:sz w:val="24"/>
          <w:lang w:val="en-GB"/>
        </w:rPr>
        <w:t>(b)</w:t>
      </w:r>
      <w:r w:rsidRPr="008725E9">
        <w:rPr>
          <w:sz w:val="24"/>
          <w:lang w:val="en-GB"/>
        </w:rPr>
        <w:tab/>
      </w:r>
      <w:r w:rsidRPr="008725E9">
        <w:rPr>
          <w:sz w:val="24"/>
        </w:rPr>
        <w:t>The National Department of Health responded to a request for support from the Acting Head of Department of Limpopo Department of Health who asked for help as the province had run out of funds to procure vaccines.</w:t>
      </w:r>
    </w:p>
    <w:tbl>
      <w:tblPr>
        <w:tblStyle w:val="TableGrid"/>
        <w:tblW w:w="0" w:type="auto"/>
        <w:tblInd w:w="-34" w:type="dxa"/>
        <w:tblLook w:val="04A0" w:firstRow="1" w:lastRow="0" w:firstColumn="1" w:lastColumn="0" w:noHBand="0" w:noVBand="1"/>
      </w:tblPr>
      <w:tblGrid>
        <w:gridCol w:w="709"/>
        <w:gridCol w:w="567"/>
        <w:gridCol w:w="1701"/>
        <w:gridCol w:w="6911"/>
      </w:tblGrid>
      <w:tr w:rsidR="009C604A" w:rsidTr="009D7986">
        <w:tc>
          <w:tcPr>
            <w:tcW w:w="709" w:type="dxa"/>
            <w:tcBorders>
              <w:top w:val="nil"/>
              <w:left w:val="nil"/>
              <w:bottom w:val="nil"/>
              <w:right w:val="nil"/>
            </w:tcBorders>
          </w:tcPr>
          <w:p w:rsidR="009C604A" w:rsidRDefault="009C604A" w:rsidP="009D7986">
            <w:pPr>
              <w:pStyle w:val="BodyText"/>
              <w:rPr>
                <w:sz w:val="24"/>
              </w:rPr>
            </w:pPr>
            <w:r>
              <w:rPr>
                <w:sz w:val="24"/>
              </w:rPr>
              <w:t>(c)</w:t>
            </w:r>
          </w:p>
        </w:tc>
        <w:tc>
          <w:tcPr>
            <w:tcW w:w="567" w:type="dxa"/>
            <w:tcBorders>
              <w:top w:val="nil"/>
              <w:left w:val="nil"/>
              <w:bottom w:val="nil"/>
            </w:tcBorders>
          </w:tcPr>
          <w:p w:rsidR="009C604A" w:rsidRDefault="009C604A" w:rsidP="009D7986">
            <w:pPr>
              <w:pStyle w:val="BodyText"/>
              <w:ind w:right="108"/>
              <w:jc w:val="right"/>
              <w:rPr>
                <w:sz w:val="24"/>
              </w:rPr>
            </w:pPr>
          </w:p>
        </w:tc>
        <w:tc>
          <w:tcPr>
            <w:tcW w:w="1701" w:type="dxa"/>
          </w:tcPr>
          <w:p w:rsidR="009C604A" w:rsidRPr="00DF34FB" w:rsidRDefault="009C604A" w:rsidP="009D7986">
            <w:pPr>
              <w:pStyle w:val="BodyText"/>
              <w:ind w:right="108"/>
              <w:jc w:val="center"/>
              <w:rPr>
                <w:b/>
                <w:sz w:val="24"/>
              </w:rPr>
            </w:pPr>
            <w:r w:rsidRPr="00DF34FB">
              <w:rPr>
                <w:b/>
                <w:sz w:val="24"/>
              </w:rPr>
              <w:t>Amount</w:t>
            </w:r>
          </w:p>
        </w:tc>
        <w:tc>
          <w:tcPr>
            <w:tcW w:w="6911" w:type="dxa"/>
          </w:tcPr>
          <w:p w:rsidR="009C604A" w:rsidRPr="00DF34FB" w:rsidRDefault="009C604A" w:rsidP="009D7986">
            <w:pPr>
              <w:pStyle w:val="BodyText"/>
              <w:jc w:val="center"/>
              <w:rPr>
                <w:b/>
                <w:sz w:val="24"/>
              </w:rPr>
            </w:pPr>
            <w:r w:rsidRPr="00DF34FB">
              <w:rPr>
                <w:b/>
                <w:sz w:val="24"/>
              </w:rPr>
              <w:t xml:space="preserve">Budget from which funds were taken </w:t>
            </w:r>
            <w:r>
              <w:rPr>
                <w:b/>
                <w:sz w:val="24"/>
              </w:rPr>
              <w:t>and motivation</w:t>
            </w:r>
          </w:p>
        </w:tc>
      </w:tr>
      <w:tr w:rsidR="009C604A" w:rsidTr="009D7986">
        <w:trPr>
          <w:gridBefore w:val="1"/>
          <w:wBefore w:w="709" w:type="dxa"/>
        </w:trPr>
        <w:tc>
          <w:tcPr>
            <w:tcW w:w="567" w:type="dxa"/>
          </w:tcPr>
          <w:p w:rsidR="009C604A" w:rsidRDefault="009C604A" w:rsidP="009D7986">
            <w:pPr>
              <w:pStyle w:val="BodyText"/>
              <w:rPr>
                <w:sz w:val="24"/>
              </w:rPr>
            </w:pPr>
            <w:r>
              <w:rPr>
                <w:sz w:val="24"/>
              </w:rPr>
              <w:t>1.</w:t>
            </w:r>
          </w:p>
        </w:tc>
        <w:tc>
          <w:tcPr>
            <w:tcW w:w="1701" w:type="dxa"/>
          </w:tcPr>
          <w:p w:rsidR="009C604A" w:rsidRDefault="009C604A" w:rsidP="009D7986">
            <w:pPr>
              <w:pStyle w:val="BodyText"/>
              <w:ind w:right="108"/>
              <w:jc w:val="right"/>
              <w:rPr>
                <w:sz w:val="24"/>
              </w:rPr>
            </w:pPr>
            <w:r>
              <w:rPr>
                <w:sz w:val="24"/>
              </w:rPr>
              <w:t>R6,000,000</w:t>
            </w:r>
          </w:p>
        </w:tc>
        <w:tc>
          <w:tcPr>
            <w:tcW w:w="6911" w:type="dxa"/>
          </w:tcPr>
          <w:p w:rsidR="009C604A" w:rsidRPr="00DF34FB" w:rsidRDefault="009C604A" w:rsidP="009D7986">
            <w:pPr>
              <w:pStyle w:val="BodyText"/>
              <w:rPr>
                <w:sz w:val="24"/>
              </w:rPr>
            </w:pPr>
            <w:r>
              <w:rPr>
                <w:b/>
                <w:sz w:val="24"/>
              </w:rPr>
              <w:t xml:space="preserve">HIV/AIDS &amp; STI'S:  Male Condoms </w:t>
            </w:r>
            <w:r>
              <w:rPr>
                <w:sz w:val="24"/>
              </w:rPr>
              <w:t>due to supplier being unable to supply male condoms and the National Department of Health did not project at that stage a condom shortage or stock outs.</w:t>
            </w:r>
          </w:p>
        </w:tc>
      </w:tr>
      <w:tr w:rsidR="009C604A" w:rsidTr="009D7986">
        <w:trPr>
          <w:gridBefore w:val="1"/>
          <w:wBefore w:w="709" w:type="dxa"/>
        </w:trPr>
        <w:tc>
          <w:tcPr>
            <w:tcW w:w="567" w:type="dxa"/>
          </w:tcPr>
          <w:p w:rsidR="009C604A" w:rsidRDefault="009C604A" w:rsidP="009D7986">
            <w:pPr>
              <w:pStyle w:val="BodyText"/>
              <w:rPr>
                <w:sz w:val="24"/>
              </w:rPr>
            </w:pPr>
            <w:r>
              <w:rPr>
                <w:sz w:val="24"/>
              </w:rPr>
              <w:t>2.</w:t>
            </w:r>
          </w:p>
        </w:tc>
        <w:tc>
          <w:tcPr>
            <w:tcW w:w="1701" w:type="dxa"/>
          </w:tcPr>
          <w:p w:rsidR="009C604A" w:rsidRDefault="009C604A" w:rsidP="009D7986">
            <w:pPr>
              <w:pStyle w:val="BodyText"/>
              <w:ind w:right="108"/>
              <w:jc w:val="right"/>
              <w:rPr>
                <w:sz w:val="24"/>
              </w:rPr>
            </w:pPr>
            <w:r>
              <w:rPr>
                <w:sz w:val="24"/>
              </w:rPr>
              <w:t>R9,000,000</w:t>
            </w:r>
          </w:p>
        </w:tc>
        <w:tc>
          <w:tcPr>
            <w:tcW w:w="6911" w:type="dxa"/>
          </w:tcPr>
          <w:p w:rsidR="009C604A" w:rsidRPr="00D41383" w:rsidRDefault="009C604A" w:rsidP="009D7986">
            <w:pPr>
              <w:pStyle w:val="BodyText"/>
              <w:rPr>
                <w:sz w:val="24"/>
              </w:rPr>
            </w:pPr>
            <w:r>
              <w:rPr>
                <w:b/>
                <w:sz w:val="24"/>
              </w:rPr>
              <w:t xml:space="preserve">HIV/AIDS &amp; STI'S:  Consultants.  </w:t>
            </w:r>
            <w:r w:rsidRPr="000E7399">
              <w:rPr>
                <w:sz w:val="24"/>
              </w:rPr>
              <w:t>No tender for</w:t>
            </w:r>
            <w:r>
              <w:rPr>
                <w:b/>
                <w:sz w:val="24"/>
              </w:rPr>
              <w:t xml:space="preserve"> </w:t>
            </w:r>
            <w:r>
              <w:rPr>
                <w:sz w:val="24"/>
              </w:rPr>
              <w:t>Mass Media communication was in order and expenditure were done through the three quotations process.  Note:  Mass Media Communication is budgeted for under Consultants on BASS.</w:t>
            </w:r>
          </w:p>
        </w:tc>
      </w:tr>
      <w:tr w:rsidR="009C604A" w:rsidTr="009D7986">
        <w:trPr>
          <w:gridBefore w:val="1"/>
          <w:wBefore w:w="709" w:type="dxa"/>
        </w:trPr>
        <w:tc>
          <w:tcPr>
            <w:tcW w:w="567" w:type="dxa"/>
          </w:tcPr>
          <w:p w:rsidR="009C604A" w:rsidRDefault="009C604A" w:rsidP="009D7986">
            <w:pPr>
              <w:pStyle w:val="BodyText"/>
              <w:rPr>
                <w:sz w:val="24"/>
              </w:rPr>
            </w:pPr>
            <w:r>
              <w:rPr>
                <w:sz w:val="24"/>
              </w:rPr>
              <w:t>3.</w:t>
            </w:r>
          </w:p>
        </w:tc>
        <w:tc>
          <w:tcPr>
            <w:tcW w:w="1701" w:type="dxa"/>
          </w:tcPr>
          <w:p w:rsidR="009C604A" w:rsidRDefault="009C604A" w:rsidP="009D7986">
            <w:pPr>
              <w:pStyle w:val="BodyText"/>
              <w:ind w:right="108"/>
              <w:jc w:val="right"/>
              <w:rPr>
                <w:sz w:val="24"/>
              </w:rPr>
            </w:pPr>
            <w:r>
              <w:rPr>
                <w:sz w:val="24"/>
              </w:rPr>
              <w:t>R16,000,00</w:t>
            </w:r>
          </w:p>
        </w:tc>
        <w:tc>
          <w:tcPr>
            <w:tcW w:w="6911" w:type="dxa"/>
          </w:tcPr>
          <w:p w:rsidR="009C604A" w:rsidRPr="00D41383" w:rsidRDefault="009C604A" w:rsidP="009D7986">
            <w:pPr>
              <w:pStyle w:val="BodyText"/>
              <w:rPr>
                <w:sz w:val="24"/>
              </w:rPr>
            </w:pPr>
            <w:r>
              <w:rPr>
                <w:b/>
                <w:sz w:val="24"/>
              </w:rPr>
              <w:t xml:space="preserve">Chronic Diseases:  Health Promotion Levy </w:t>
            </w:r>
            <w:r>
              <w:rPr>
                <w:sz w:val="24"/>
              </w:rPr>
              <w:t>part of Mass Media Communication that could not be spent as no tender was in place and expenditure were done through the three quotation system.</w:t>
            </w:r>
          </w:p>
        </w:tc>
      </w:tr>
    </w:tbl>
    <w:p w:rsidR="009C604A" w:rsidRPr="008725E9" w:rsidRDefault="009C604A" w:rsidP="009C604A">
      <w:pPr>
        <w:pStyle w:val="ListParagraph"/>
        <w:spacing w:before="200"/>
        <w:ind w:left="567" w:hanging="567"/>
        <w:jc w:val="both"/>
        <w:rPr>
          <w:sz w:val="24"/>
        </w:rPr>
      </w:pPr>
      <w:r w:rsidRPr="008725E9">
        <w:rPr>
          <w:sz w:val="24"/>
        </w:rPr>
        <w:t>(d)</w:t>
      </w:r>
      <w:r w:rsidRPr="008725E9">
        <w:rPr>
          <w:sz w:val="24"/>
        </w:rPr>
        <w:tab/>
        <w:t>Following the Presidential Health Summit Compact (2018) it was resolved that a budget planning process for pharmaceuticals be instituted and that National Treasury earmark funds for procurement of pharmaceuticals (ring-fencing of the budget). The National Department has embarked on a process to generate a budget for pharmaceutical products for FY2020-2021 for each of the provinces based on accurate demand forecasts.  This was discussed at the National Health Council and will be submitted to National Treasury in line with budgeting processes.</w:t>
      </w:r>
    </w:p>
    <w:p w:rsidR="00CB5C4C" w:rsidRPr="008725E9" w:rsidRDefault="00CB5C4C" w:rsidP="00CB5C4C">
      <w:pPr>
        <w:pStyle w:val="ListParagraph"/>
        <w:spacing w:before="200"/>
        <w:ind w:left="567" w:hanging="567"/>
        <w:jc w:val="both"/>
        <w:rPr>
          <w:sz w:val="24"/>
        </w:rPr>
      </w:pPr>
    </w:p>
    <w:p w:rsidR="00CB5C4C" w:rsidRPr="008526C9" w:rsidRDefault="00CB5C4C" w:rsidP="005508C2">
      <w:pPr>
        <w:ind w:left="720" w:hanging="567"/>
        <w:jc w:val="both"/>
        <w:rPr>
          <w:sz w:val="24"/>
        </w:rPr>
      </w:pPr>
    </w:p>
    <w:p w:rsidR="00CB5C4C" w:rsidRPr="008526C9" w:rsidRDefault="00E238C2" w:rsidP="005508C2">
      <w:pPr>
        <w:pStyle w:val="BodyText"/>
        <w:rPr>
          <w:b/>
          <w:bCs/>
          <w:sz w:val="24"/>
          <w:lang w:val="en-GB"/>
        </w:rPr>
      </w:pPr>
      <w:r w:rsidRPr="008526C9">
        <w:rPr>
          <w:sz w:val="24"/>
          <w:lang w:val="en-GB"/>
        </w:rPr>
        <w:t>END.</w:t>
      </w:r>
      <w:bookmarkStart w:id="0" w:name="_GoBack"/>
      <w:bookmarkEnd w:id="0"/>
    </w:p>
    <w:sectPr w:rsidR="00CB5C4C" w:rsidRPr="008526C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AAB" w:rsidRDefault="007D6AAB">
      <w:r>
        <w:separator/>
      </w:r>
    </w:p>
  </w:endnote>
  <w:endnote w:type="continuationSeparator" w:id="0">
    <w:p w:rsidR="007D6AAB" w:rsidRDefault="007D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9C604A">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AAB" w:rsidRDefault="007D6AAB">
      <w:r>
        <w:separator/>
      </w:r>
    </w:p>
  </w:footnote>
  <w:footnote w:type="continuationSeparator" w:id="0">
    <w:p w:rsidR="007D6AAB" w:rsidRDefault="007D6A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D04A6"/>
    <w:multiLevelType w:val="hybridMultilevel"/>
    <w:tmpl w:val="144C1B4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4081B"/>
    <w:multiLevelType w:val="hybridMultilevel"/>
    <w:tmpl w:val="74FED7EC"/>
    <w:lvl w:ilvl="0" w:tplc="FCC47C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8654F9"/>
    <w:multiLevelType w:val="hybridMultilevel"/>
    <w:tmpl w:val="16D8C73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194"/>
    <w:multiLevelType w:val="hybridMultilevel"/>
    <w:tmpl w:val="3FD422FE"/>
    <w:lvl w:ilvl="0" w:tplc="04090001">
      <w:start w:val="1"/>
      <w:numFmt w:val="bullet"/>
      <w:lvlText w:val=""/>
      <w:lvlJc w:val="left"/>
      <w:pPr>
        <w:ind w:left="720" w:hanging="360"/>
      </w:pPr>
      <w:rPr>
        <w:rFonts w:ascii="Symbol" w:hAnsi="Symbol" w:hint="default"/>
      </w:rPr>
    </w:lvl>
    <w:lvl w:ilvl="1" w:tplc="92B497C0">
      <w:start w:val="1"/>
      <w:numFmt w:val="decimal"/>
      <w:lvlText w:val="%2."/>
      <w:lvlJc w:val="left"/>
      <w:pPr>
        <w:ind w:left="1440" w:hanging="360"/>
      </w:pPr>
    </w:lvl>
    <w:lvl w:ilvl="2" w:tplc="1C090017">
      <w:start w:val="1"/>
      <w:numFmt w:val="lowerLetter"/>
      <w:lvlText w:val="%3)"/>
      <w:lvlJc w:val="lef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57AF1F33"/>
    <w:multiLevelType w:val="hybridMultilevel"/>
    <w:tmpl w:val="09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3ED1"/>
    <w:rsid w:val="00145C76"/>
    <w:rsid w:val="00150F90"/>
    <w:rsid w:val="00157836"/>
    <w:rsid w:val="00160BDE"/>
    <w:rsid w:val="00162641"/>
    <w:rsid w:val="00163A17"/>
    <w:rsid w:val="001646AE"/>
    <w:rsid w:val="001651E2"/>
    <w:rsid w:val="001864CA"/>
    <w:rsid w:val="00186E43"/>
    <w:rsid w:val="0018733B"/>
    <w:rsid w:val="001934EC"/>
    <w:rsid w:val="001976A7"/>
    <w:rsid w:val="001A5759"/>
    <w:rsid w:val="001A5BBB"/>
    <w:rsid w:val="001A6132"/>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17EBC"/>
    <w:rsid w:val="002242A9"/>
    <w:rsid w:val="00233C3B"/>
    <w:rsid w:val="00233ED5"/>
    <w:rsid w:val="0024216E"/>
    <w:rsid w:val="002519F4"/>
    <w:rsid w:val="00256F40"/>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B606C"/>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3602C"/>
    <w:rsid w:val="0034705D"/>
    <w:rsid w:val="003548B4"/>
    <w:rsid w:val="00355BB7"/>
    <w:rsid w:val="00357A10"/>
    <w:rsid w:val="00360D5F"/>
    <w:rsid w:val="00366B08"/>
    <w:rsid w:val="00366E06"/>
    <w:rsid w:val="0036751E"/>
    <w:rsid w:val="00371538"/>
    <w:rsid w:val="003715DB"/>
    <w:rsid w:val="00382D92"/>
    <w:rsid w:val="003879CB"/>
    <w:rsid w:val="0039184B"/>
    <w:rsid w:val="00393BA7"/>
    <w:rsid w:val="003A1B0E"/>
    <w:rsid w:val="003B0600"/>
    <w:rsid w:val="003B0C88"/>
    <w:rsid w:val="003B66B2"/>
    <w:rsid w:val="003C14D9"/>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1D0E"/>
    <w:rsid w:val="004427F2"/>
    <w:rsid w:val="004456A9"/>
    <w:rsid w:val="004564E8"/>
    <w:rsid w:val="0046630A"/>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8C2"/>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1B59"/>
    <w:rsid w:val="00652778"/>
    <w:rsid w:val="00664A63"/>
    <w:rsid w:val="006664AE"/>
    <w:rsid w:val="00673272"/>
    <w:rsid w:val="00673398"/>
    <w:rsid w:val="006779D4"/>
    <w:rsid w:val="00683343"/>
    <w:rsid w:val="006930ED"/>
    <w:rsid w:val="006A34EA"/>
    <w:rsid w:val="006A5B0A"/>
    <w:rsid w:val="006B1A27"/>
    <w:rsid w:val="006B5E48"/>
    <w:rsid w:val="006B750D"/>
    <w:rsid w:val="006C3B39"/>
    <w:rsid w:val="006C3ECC"/>
    <w:rsid w:val="006C4A26"/>
    <w:rsid w:val="006C67FA"/>
    <w:rsid w:val="006D617D"/>
    <w:rsid w:val="006E2082"/>
    <w:rsid w:val="006E52CE"/>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4B97"/>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C4CF5"/>
    <w:rsid w:val="007D20BE"/>
    <w:rsid w:val="007D69C3"/>
    <w:rsid w:val="007D6AAB"/>
    <w:rsid w:val="007E2A6D"/>
    <w:rsid w:val="007E4D93"/>
    <w:rsid w:val="007E6493"/>
    <w:rsid w:val="007E6896"/>
    <w:rsid w:val="007E6A29"/>
    <w:rsid w:val="007F19E9"/>
    <w:rsid w:val="007F44EC"/>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526C9"/>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2E0B"/>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C604A"/>
    <w:rsid w:val="009D2E42"/>
    <w:rsid w:val="009D3DA5"/>
    <w:rsid w:val="009D62A1"/>
    <w:rsid w:val="009D7850"/>
    <w:rsid w:val="009E05A5"/>
    <w:rsid w:val="009E0F43"/>
    <w:rsid w:val="009E6D1C"/>
    <w:rsid w:val="009E6EF2"/>
    <w:rsid w:val="009E7C2F"/>
    <w:rsid w:val="009F075E"/>
    <w:rsid w:val="009F0BA7"/>
    <w:rsid w:val="009F299A"/>
    <w:rsid w:val="00A01223"/>
    <w:rsid w:val="00A02F20"/>
    <w:rsid w:val="00A03BE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B514C"/>
    <w:rsid w:val="00AC37C9"/>
    <w:rsid w:val="00AC48AC"/>
    <w:rsid w:val="00AC6AC3"/>
    <w:rsid w:val="00AD200E"/>
    <w:rsid w:val="00AD3D0F"/>
    <w:rsid w:val="00AD5F10"/>
    <w:rsid w:val="00AD6B02"/>
    <w:rsid w:val="00AE3C22"/>
    <w:rsid w:val="00AF43A2"/>
    <w:rsid w:val="00B0762E"/>
    <w:rsid w:val="00B2423A"/>
    <w:rsid w:val="00B2718E"/>
    <w:rsid w:val="00B30D8D"/>
    <w:rsid w:val="00B33E9A"/>
    <w:rsid w:val="00B34C0F"/>
    <w:rsid w:val="00B353AB"/>
    <w:rsid w:val="00B37F60"/>
    <w:rsid w:val="00B41548"/>
    <w:rsid w:val="00B4399F"/>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B0549"/>
    <w:rsid w:val="00BB311A"/>
    <w:rsid w:val="00BB5A2A"/>
    <w:rsid w:val="00BB727B"/>
    <w:rsid w:val="00BC04F9"/>
    <w:rsid w:val="00BC4703"/>
    <w:rsid w:val="00BC4B13"/>
    <w:rsid w:val="00BC6E9C"/>
    <w:rsid w:val="00BC7E1F"/>
    <w:rsid w:val="00BD027B"/>
    <w:rsid w:val="00BD4034"/>
    <w:rsid w:val="00BE5AF9"/>
    <w:rsid w:val="00BF35AB"/>
    <w:rsid w:val="00BF5A35"/>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5C4C"/>
    <w:rsid w:val="00CB7B23"/>
    <w:rsid w:val="00CC285B"/>
    <w:rsid w:val="00CE6B29"/>
    <w:rsid w:val="00CF0AD4"/>
    <w:rsid w:val="00CF60D1"/>
    <w:rsid w:val="00CF7E4F"/>
    <w:rsid w:val="00D00353"/>
    <w:rsid w:val="00D034F1"/>
    <w:rsid w:val="00D04106"/>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38AC"/>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D2A"/>
    <w:rsid w:val="00E65552"/>
    <w:rsid w:val="00E70BD1"/>
    <w:rsid w:val="00E82ED2"/>
    <w:rsid w:val="00E85240"/>
    <w:rsid w:val="00EA05F0"/>
    <w:rsid w:val="00EA40E2"/>
    <w:rsid w:val="00EA464E"/>
    <w:rsid w:val="00EA7CB0"/>
    <w:rsid w:val="00EB211A"/>
    <w:rsid w:val="00EB241F"/>
    <w:rsid w:val="00EB5A3C"/>
    <w:rsid w:val="00EB5ECD"/>
    <w:rsid w:val="00EB704C"/>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31B2"/>
    <w:rsid w:val="00F24479"/>
    <w:rsid w:val="00F31C6A"/>
    <w:rsid w:val="00F3238C"/>
    <w:rsid w:val="00F4489B"/>
    <w:rsid w:val="00F450DC"/>
    <w:rsid w:val="00F454C0"/>
    <w:rsid w:val="00F4587B"/>
    <w:rsid w:val="00F467D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412D"/>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5</cp:revision>
  <cp:lastPrinted>2019-11-07T11:56:00Z</cp:lastPrinted>
  <dcterms:created xsi:type="dcterms:W3CDTF">2019-11-22T18:26:00Z</dcterms:created>
  <dcterms:modified xsi:type="dcterms:W3CDTF">2019-11-28T19:33:00Z</dcterms:modified>
</cp:coreProperties>
</file>