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63616948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443ACD">
        <w:rPr>
          <w:rFonts w:ascii="Arial Narrow" w:hAnsi="Arial Narrow"/>
          <w:b/>
          <w:lang w:val="en-GB"/>
        </w:rPr>
        <w:t>1541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426AF7" w:rsidRPr="00426AF7">
        <w:rPr>
          <w:rFonts w:ascii="Arial Narrow" w:hAnsi="Arial Narrow"/>
          <w:b/>
          <w:bCs/>
        </w:rPr>
        <w:t xml:space="preserve">Mr T Z </w:t>
      </w:r>
      <w:proofErr w:type="spellStart"/>
      <w:r w:rsidR="00426AF7" w:rsidRPr="00426AF7">
        <w:rPr>
          <w:rFonts w:ascii="Arial Narrow" w:hAnsi="Arial Narrow"/>
          <w:b/>
          <w:bCs/>
        </w:rPr>
        <w:t>Hadebe</w:t>
      </w:r>
      <w:proofErr w:type="spellEnd"/>
      <w:r w:rsidR="00426AF7" w:rsidRPr="00426AF7">
        <w:rPr>
          <w:rFonts w:ascii="Arial Narrow" w:hAnsi="Arial Narrow"/>
          <w:b/>
          <w:bCs/>
        </w:rPr>
        <w:t xml:space="preserve"> </w:t>
      </w:r>
      <w:r w:rsidR="00426AF7" w:rsidRPr="00426AF7">
        <w:rPr>
          <w:rFonts w:ascii="Arial Narrow" w:hAnsi="Arial Narrow"/>
          <w:b/>
        </w:rPr>
        <w:t xml:space="preserve">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1226D3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1226D3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3762A0">
        <w:rPr>
          <w:rFonts w:ascii="Arial Narrow" w:hAnsi="Arial Narrow"/>
          <w:b/>
          <w:bCs/>
          <w:lang w:val="en-GB"/>
        </w:rPr>
        <w:t>1541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3762A0">
        <w:rPr>
          <w:rFonts w:ascii="Arial Narrow" w:hAnsi="Arial Narrow"/>
          <w:b/>
        </w:rPr>
        <w:t>1742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1134F6">
        <w:rPr>
          <w:rFonts w:ascii="Arial Narrow" w:hAnsi="Arial Narrow"/>
          <w:b/>
          <w:bCs/>
          <w:lang w:val="en-GB"/>
        </w:rPr>
        <w:t xml:space="preserve"> 20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1226D3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426AF7">
        <w:rPr>
          <w:rFonts w:ascii="Arial Narrow" w:hAnsi="Arial Narrow"/>
          <w:b/>
        </w:rPr>
        <w:t>02 June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4674A4" w:rsidRDefault="00426AF7" w:rsidP="006A5B08">
      <w:pPr>
        <w:spacing w:before="100" w:beforeAutospacing="1" w:after="100" w:afterAutospacing="1"/>
        <w:ind w:left="720" w:hanging="720"/>
        <w:jc w:val="both"/>
        <w:rPr>
          <w:rFonts w:ascii="Arial Narrow" w:hAnsi="Arial Narrow"/>
          <w:b/>
        </w:rPr>
      </w:pPr>
      <w:r w:rsidRPr="00426AF7">
        <w:rPr>
          <w:rFonts w:ascii="Arial Narrow" w:hAnsi="Arial Narrow"/>
          <w:b/>
          <w:bCs/>
        </w:rPr>
        <w:t xml:space="preserve">Mr T Z </w:t>
      </w:r>
      <w:proofErr w:type="spellStart"/>
      <w:r w:rsidRPr="00426AF7">
        <w:rPr>
          <w:rFonts w:ascii="Arial Narrow" w:hAnsi="Arial Narrow"/>
          <w:b/>
          <w:bCs/>
        </w:rPr>
        <w:t>Hadebe</w:t>
      </w:r>
      <w:proofErr w:type="spellEnd"/>
      <w:r w:rsidRPr="00426AF7">
        <w:rPr>
          <w:rFonts w:ascii="Arial Narrow" w:hAnsi="Arial Narrow"/>
          <w:b/>
          <w:bCs/>
        </w:rPr>
        <w:t xml:space="preserve"> </w:t>
      </w:r>
      <w:r w:rsidRPr="00426AF7">
        <w:rPr>
          <w:rFonts w:ascii="Arial Narrow" w:hAnsi="Arial Narrow"/>
          <w:b/>
        </w:rPr>
        <w:t xml:space="preserve">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3762A0" w:rsidRDefault="003762A0" w:rsidP="00054F3F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/>
          <w:iCs/>
        </w:rPr>
      </w:pPr>
      <w:r w:rsidRPr="003762A0">
        <w:rPr>
          <w:rFonts w:ascii="Arial Narrow" w:hAnsi="Arial Narrow"/>
          <w:iCs/>
        </w:rPr>
        <w:t xml:space="preserve">What is the total number of (a) complaints received and handled and (b) cases investigated by the </w:t>
      </w:r>
      <w:r w:rsidRPr="003762A0">
        <w:rPr>
          <w:rFonts w:ascii="Arial Narrow" w:hAnsi="Arial Narrow"/>
        </w:rPr>
        <w:t>Environmental</w:t>
      </w:r>
      <w:r w:rsidRPr="003762A0">
        <w:rPr>
          <w:rFonts w:ascii="Arial Narrow" w:hAnsi="Arial Narrow"/>
          <w:iCs/>
        </w:rPr>
        <w:t xml:space="preserve"> Management Inspectorate (EMI) Green Scorpions in the (i) 2015-16 and (ii) 2016-17 financial years;</w:t>
      </w:r>
    </w:p>
    <w:p w:rsidR="00FC2E8F" w:rsidRDefault="00FC2E8F" w:rsidP="00054F3F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/>
          <w:iCs/>
        </w:rPr>
      </w:pPr>
      <w:r w:rsidRPr="003762A0">
        <w:rPr>
          <w:rFonts w:ascii="Arial Narrow" w:hAnsi="Arial Narrow"/>
          <w:iCs/>
        </w:rPr>
        <w:tab/>
        <w:t xml:space="preserve">how many Environmental Management Inspectors were (a) trained by her department and (b) </w:t>
      </w:r>
      <w:r w:rsidRPr="003762A0">
        <w:rPr>
          <w:rFonts w:ascii="Arial Narrow" w:hAnsi="Arial Narrow"/>
        </w:rPr>
        <w:t>received</w:t>
      </w:r>
      <w:r w:rsidRPr="003762A0">
        <w:rPr>
          <w:rFonts w:ascii="Arial Narrow" w:hAnsi="Arial Narrow"/>
          <w:iCs/>
        </w:rPr>
        <w:t xml:space="preserve"> their official designation in the (i) 2015-16 and (ii) 2016-17 financial years;</w:t>
      </w:r>
    </w:p>
    <w:p w:rsidR="00FC2E8F" w:rsidRDefault="00FC2E8F" w:rsidP="00FC2E8F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/>
        </w:rPr>
      </w:pPr>
      <w:r w:rsidRPr="003762A0">
        <w:rPr>
          <w:rFonts w:ascii="Arial Narrow" w:hAnsi="Arial Narrow"/>
          <w:iCs/>
        </w:rPr>
        <w:tab/>
        <w:t xml:space="preserve">what are the (a) dates and (b) details of any EMI Green Scorpions (i) Blitzes and (ii) Operation </w:t>
      </w:r>
      <w:r w:rsidRPr="003762A0">
        <w:rPr>
          <w:rFonts w:ascii="Arial Narrow" w:hAnsi="Arial Narrow"/>
        </w:rPr>
        <w:t>Enforcement</w:t>
      </w:r>
      <w:r w:rsidRPr="003762A0">
        <w:rPr>
          <w:rFonts w:ascii="Arial Narrow" w:hAnsi="Arial Narrow"/>
          <w:iCs/>
        </w:rPr>
        <w:t xml:space="preserve"> weeks held in the (aa) 2015-16 and (bb) 2016-17 financial years</w:t>
      </w:r>
      <w:r w:rsidRPr="003762A0">
        <w:rPr>
          <w:rFonts w:ascii="Arial Narrow" w:hAnsi="Arial Narrow"/>
        </w:rPr>
        <w:t>?</w:t>
      </w:r>
      <w:r w:rsidRPr="003762A0">
        <w:rPr>
          <w:rFonts w:ascii="Arial Narrow" w:hAnsi="Arial Narrow"/>
        </w:rPr>
        <w:tab/>
      </w: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FC2E8F" w:rsidRDefault="00FC2E8F" w:rsidP="00FC2E8F">
      <w:pPr>
        <w:spacing w:before="100" w:beforeAutospacing="1" w:after="100" w:afterAutospacing="1"/>
        <w:ind w:left="1080"/>
        <w:rPr>
          <w:rFonts w:ascii="Arial Narrow" w:hAnsi="Arial Narrow"/>
          <w:iCs/>
        </w:rPr>
      </w:pPr>
    </w:p>
    <w:p w:rsidR="006207B6" w:rsidRDefault="00E248A6" w:rsidP="00AB7A40">
      <w:pPr>
        <w:spacing w:before="100" w:beforeAutospacing="1" w:after="100" w:afterAutospacing="1"/>
        <w:ind w:left="360"/>
        <w:jc w:val="both"/>
        <w:rPr>
          <w:rFonts w:ascii="Arial Narrow" w:hAnsi="Arial Narrow"/>
          <w:b/>
          <w:iCs/>
          <w:u w:val="single"/>
        </w:rPr>
      </w:pPr>
      <w:r>
        <w:rPr>
          <w:rFonts w:ascii="Arial Narrow" w:hAnsi="Arial Narrow"/>
          <w:b/>
        </w:rPr>
        <w:t>1541</w:t>
      </w:r>
      <w:r w:rsidR="006207B6" w:rsidRPr="006E42A6">
        <w:rPr>
          <w:rFonts w:ascii="Arial Narrow" w:hAnsi="Arial Narrow"/>
          <w:b/>
        </w:rPr>
        <w:t>. THE MINISTER OF ENVIRONMENTAL AFFAIRS REPLIES:</w:t>
      </w:r>
    </w:p>
    <w:p w:rsidR="00AB7A40" w:rsidRPr="007162F5" w:rsidRDefault="00AB7A40" w:rsidP="007866E3">
      <w:pPr>
        <w:spacing w:before="100" w:beforeAutospacing="1" w:after="100" w:afterAutospacing="1"/>
        <w:jc w:val="both"/>
        <w:rPr>
          <w:rFonts w:ascii="Arial Narrow" w:hAnsi="Arial Narrow"/>
          <w:b/>
          <w:iCs/>
          <w:u w:val="single"/>
        </w:rPr>
      </w:pPr>
      <w:r w:rsidRPr="007162F5">
        <w:rPr>
          <w:rFonts w:ascii="Arial Narrow" w:hAnsi="Arial Narrow"/>
          <w:b/>
          <w:iCs/>
          <w:u w:val="single"/>
        </w:rPr>
        <w:t>Complaints</w:t>
      </w:r>
    </w:p>
    <w:p w:rsidR="00AB7A40" w:rsidRPr="007162F5" w:rsidRDefault="00AB7A40" w:rsidP="00EA6150">
      <w:pPr>
        <w:spacing w:before="100" w:beforeAutospacing="1" w:after="100" w:afterAutospacing="1"/>
        <w:jc w:val="both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>The national Department is responsible for the management of the national Environmental Crimes and Incidents hotline, which provides an avenue for members of the public to report non-compliances with environmental legislation. Once a complaint is registered, it is then categorised and referred to the appropriate national, provincial or local sphere of government to undertake the necessary follow-up actions. Some complaints may be made directly to these organs of state and would therefore not be registered on the national hotline database.</w:t>
      </w:r>
    </w:p>
    <w:p w:rsidR="00AB7A40" w:rsidRPr="007162F5" w:rsidRDefault="00AB7A40" w:rsidP="007866E3">
      <w:pPr>
        <w:spacing w:before="100" w:beforeAutospacing="1" w:after="100" w:afterAutospacing="1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 xml:space="preserve">(1)(a)(i) </w:t>
      </w:r>
    </w:p>
    <w:p w:rsidR="00AB7A40" w:rsidRPr="007162F5" w:rsidRDefault="00AB7A40" w:rsidP="007866E3">
      <w:pPr>
        <w:spacing w:before="100" w:beforeAutospacing="1" w:after="100" w:afterAutospacing="1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>The total number of complaints reported to the national environmental crimes and incident hotline in 2015/16 FY was 580. 125 fell within the mandate of national DEA to respond</w:t>
      </w:r>
      <w:r w:rsidR="00986B9C">
        <w:rPr>
          <w:rFonts w:ascii="Arial Narrow" w:hAnsi="Arial Narrow"/>
          <w:iCs/>
        </w:rPr>
        <w:t xml:space="preserve"> to</w:t>
      </w:r>
      <w:r w:rsidRPr="007162F5">
        <w:rPr>
          <w:rFonts w:ascii="Arial Narrow" w:hAnsi="Arial Narrow"/>
          <w:iCs/>
        </w:rPr>
        <w:t xml:space="preserve">, while 455 were referred to other spheres of government.  </w:t>
      </w:r>
    </w:p>
    <w:p w:rsidR="00AB7A40" w:rsidRPr="007162F5" w:rsidRDefault="00AB7A40" w:rsidP="007866E3">
      <w:pPr>
        <w:spacing w:before="100" w:beforeAutospacing="1" w:after="100" w:afterAutospacing="1"/>
        <w:rPr>
          <w:rFonts w:ascii="Arial Narrow" w:hAnsi="Arial Narrow"/>
        </w:rPr>
      </w:pPr>
      <w:r w:rsidRPr="007162F5">
        <w:rPr>
          <w:rFonts w:ascii="Arial Narrow" w:hAnsi="Arial Narrow"/>
          <w:iCs/>
        </w:rPr>
        <w:t>(1)(a)(ii)</w:t>
      </w:r>
      <w:r w:rsidRPr="007162F5">
        <w:rPr>
          <w:rFonts w:ascii="Arial Narrow" w:hAnsi="Arial Narrow"/>
        </w:rPr>
        <w:t xml:space="preserve"> </w:t>
      </w:r>
    </w:p>
    <w:p w:rsidR="00AB7A40" w:rsidRPr="007162F5" w:rsidRDefault="00AB7A40" w:rsidP="007866E3">
      <w:pPr>
        <w:spacing w:before="100" w:beforeAutospacing="1" w:after="100" w:afterAutospacing="1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>In 2016/17, the environmental crime and incident hotline received a total of 842 complaints. Of the total number 227 fell within the mandate of national DEA to respond</w:t>
      </w:r>
      <w:r w:rsidR="00986B9C">
        <w:rPr>
          <w:rFonts w:ascii="Arial Narrow" w:hAnsi="Arial Narrow"/>
          <w:iCs/>
        </w:rPr>
        <w:t xml:space="preserve"> to</w:t>
      </w:r>
      <w:r w:rsidRPr="007162F5">
        <w:rPr>
          <w:rFonts w:ascii="Arial Narrow" w:hAnsi="Arial Narrow"/>
          <w:iCs/>
        </w:rPr>
        <w:t xml:space="preserve">, while 615 were referred to other spheres of government.  </w:t>
      </w:r>
    </w:p>
    <w:p w:rsidR="00AB7A40" w:rsidRPr="007162F5" w:rsidRDefault="00AB7A40" w:rsidP="007866E3">
      <w:pPr>
        <w:spacing w:before="100" w:beforeAutospacing="1" w:after="100" w:afterAutospacing="1"/>
        <w:rPr>
          <w:rFonts w:ascii="Arial Narrow" w:hAnsi="Arial Narrow"/>
          <w:b/>
          <w:iCs/>
          <w:u w:val="single"/>
        </w:rPr>
      </w:pPr>
      <w:r w:rsidRPr="007162F5">
        <w:rPr>
          <w:rFonts w:ascii="Arial Narrow" w:hAnsi="Arial Narrow"/>
          <w:b/>
          <w:iCs/>
          <w:u w:val="single"/>
        </w:rPr>
        <w:t>Cases investigated</w:t>
      </w:r>
    </w:p>
    <w:p w:rsidR="00AB7A40" w:rsidRPr="007162F5" w:rsidRDefault="00AB7A40" w:rsidP="007866E3">
      <w:pPr>
        <w:spacing w:before="100" w:beforeAutospacing="1" w:after="100" w:afterAutospacing="1"/>
        <w:rPr>
          <w:rFonts w:ascii="Arial Narrow" w:hAnsi="Arial Narrow"/>
          <w:iCs/>
          <w:highlight w:val="yellow"/>
        </w:rPr>
      </w:pPr>
      <w:r w:rsidRPr="007162F5">
        <w:rPr>
          <w:rFonts w:ascii="Arial Narrow" w:hAnsi="Arial Narrow"/>
          <w:iCs/>
        </w:rPr>
        <w:t>(1)(b)(i)</w:t>
      </w:r>
    </w:p>
    <w:p w:rsidR="00AB7A40" w:rsidRPr="007162F5" w:rsidRDefault="00AB7A40" w:rsidP="007866E3">
      <w:pPr>
        <w:spacing w:before="100" w:beforeAutospacing="1" w:after="100" w:afterAutospacing="1"/>
        <w:jc w:val="both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 xml:space="preserve">In 2015/16, </w:t>
      </w:r>
      <w:r w:rsidR="005F6F3F" w:rsidRPr="007162F5">
        <w:rPr>
          <w:rFonts w:ascii="Arial Narrow" w:hAnsi="Arial Narrow"/>
          <w:iCs/>
        </w:rPr>
        <w:t>the Inspectorate</w:t>
      </w:r>
      <w:r w:rsidR="00986B9C">
        <w:rPr>
          <w:rFonts w:ascii="Arial Narrow" w:hAnsi="Arial Narrow"/>
          <w:iCs/>
        </w:rPr>
        <w:t xml:space="preserve"> (</w:t>
      </w:r>
      <w:r w:rsidR="001B5A14">
        <w:rPr>
          <w:rFonts w:ascii="Arial Narrow" w:hAnsi="Arial Narrow"/>
          <w:iCs/>
        </w:rPr>
        <w:t>work of both national and provincial Environmental Management Inspectors)</w:t>
      </w:r>
      <w:r w:rsidRPr="007162F5">
        <w:rPr>
          <w:rFonts w:ascii="Arial Narrow" w:hAnsi="Arial Narrow"/>
          <w:iCs/>
        </w:rPr>
        <w:t xml:space="preserve"> </w:t>
      </w:r>
      <w:r w:rsidR="005F6F3F" w:rsidRPr="007162F5">
        <w:rPr>
          <w:rFonts w:ascii="Arial Narrow" w:hAnsi="Arial Narrow"/>
          <w:iCs/>
        </w:rPr>
        <w:t>registered</w:t>
      </w:r>
      <w:r w:rsidRPr="007162F5">
        <w:rPr>
          <w:rFonts w:ascii="Arial Narrow" w:hAnsi="Arial Narrow"/>
          <w:iCs/>
        </w:rPr>
        <w:t xml:space="preserve"> 1261 </w:t>
      </w:r>
      <w:r w:rsidR="001B5A14">
        <w:rPr>
          <w:rFonts w:ascii="Arial Narrow" w:hAnsi="Arial Narrow"/>
          <w:iCs/>
        </w:rPr>
        <w:t xml:space="preserve">criminal investigations. </w:t>
      </w:r>
      <w:r w:rsidR="005F6F3F" w:rsidRPr="007162F5">
        <w:rPr>
          <w:rFonts w:ascii="Arial Narrow" w:hAnsi="Arial Narrow"/>
          <w:iCs/>
        </w:rPr>
        <w:t xml:space="preserve"> </w:t>
      </w:r>
    </w:p>
    <w:p w:rsidR="00AB7A40" w:rsidRPr="007162F5" w:rsidRDefault="00AB7A40" w:rsidP="007866E3">
      <w:pPr>
        <w:spacing w:before="100" w:beforeAutospacing="1" w:after="100" w:afterAutospacing="1"/>
        <w:jc w:val="both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>(1)(b)(ii)</w:t>
      </w:r>
    </w:p>
    <w:p w:rsidR="00AB7A40" w:rsidRPr="007162F5" w:rsidRDefault="00AB7A40" w:rsidP="00EA6150">
      <w:pPr>
        <w:spacing w:before="100" w:beforeAutospacing="1" w:after="100" w:afterAutospacing="1"/>
        <w:jc w:val="both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 xml:space="preserve">In 2016/17, </w:t>
      </w:r>
      <w:r w:rsidR="005F6F3F" w:rsidRPr="007162F5">
        <w:rPr>
          <w:rFonts w:ascii="Arial Narrow" w:hAnsi="Arial Narrow"/>
          <w:iCs/>
        </w:rPr>
        <w:t>the I</w:t>
      </w:r>
      <w:r w:rsidRPr="007162F5">
        <w:rPr>
          <w:rFonts w:ascii="Arial Narrow" w:hAnsi="Arial Narrow"/>
          <w:iCs/>
        </w:rPr>
        <w:t xml:space="preserve">nspectorate </w:t>
      </w:r>
      <w:r w:rsidR="001B5A14" w:rsidRPr="001B5A14">
        <w:rPr>
          <w:rFonts w:ascii="Arial Narrow" w:hAnsi="Arial Narrow"/>
          <w:iCs/>
        </w:rPr>
        <w:t>(work of both national and provincial Environmental Management Inspectors</w:t>
      </w:r>
      <w:r w:rsidR="001B5A14">
        <w:rPr>
          <w:rFonts w:ascii="Arial Narrow" w:hAnsi="Arial Narrow"/>
          <w:iCs/>
        </w:rPr>
        <w:t>)</w:t>
      </w:r>
      <w:r w:rsidR="001B5A14" w:rsidRPr="001B5A14">
        <w:rPr>
          <w:rFonts w:ascii="Arial Narrow" w:hAnsi="Arial Narrow"/>
          <w:iCs/>
        </w:rPr>
        <w:t xml:space="preserve"> </w:t>
      </w:r>
      <w:r w:rsidR="005F6F3F" w:rsidRPr="007162F5">
        <w:rPr>
          <w:rFonts w:ascii="Arial Narrow" w:hAnsi="Arial Narrow"/>
          <w:iCs/>
        </w:rPr>
        <w:t>registered</w:t>
      </w:r>
      <w:r w:rsidRPr="007162F5">
        <w:rPr>
          <w:rFonts w:ascii="Arial Narrow" w:hAnsi="Arial Narrow"/>
          <w:iCs/>
        </w:rPr>
        <w:t xml:space="preserve"> 1319</w:t>
      </w:r>
      <w:r w:rsidR="001B5A14">
        <w:rPr>
          <w:rFonts w:ascii="Arial Narrow" w:hAnsi="Arial Narrow"/>
          <w:iCs/>
        </w:rPr>
        <w:t xml:space="preserve"> criminal investigations.</w:t>
      </w:r>
    </w:p>
    <w:p w:rsidR="00AB7A40" w:rsidRPr="00EA6150" w:rsidRDefault="00EA6150" w:rsidP="00EA6150">
      <w:pPr>
        <w:spacing w:before="100" w:beforeAutospacing="1" w:after="100" w:afterAutospacing="1"/>
        <w:rPr>
          <w:rFonts w:ascii="Arial Narrow" w:hAnsi="Arial Narrow"/>
          <w:b/>
          <w:iCs/>
          <w:u w:val="single"/>
        </w:rPr>
      </w:pPr>
      <w:r w:rsidRPr="00EA6150">
        <w:rPr>
          <w:rFonts w:ascii="Arial Narrow" w:hAnsi="Arial Narrow"/>
          <w:b/>
          <w:iCs/>
          <w:u w:val="single"/>
        </w:rPr>
        <w:t>Environmental Management Inspectors</w:t>
      </w:r>
    </w:p>
    <w:p w:rsidR="001B5A14" w:rsidRDefault="00FC2E8F" w:rsidP="003762A0">
      <w:pPr>
        <w:spacing w:before="100" w:beforeAutospacing="1" w:after="100" w:afterAutospacing="1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>(2)</w:t>
      </w:r>
      <w:r w:rsidR="001B5A14">
        <w:rPr>
          <w:rFonts w:ascii="Arial Narrow" w:hAnsi="Arial Narrow"/>
          <w:iCs/>
        </w:rPr>
        <w:t>(a)(i)</w:t>
      </w:r>
    </w:p>
    <w:p w:rsidR="001B5A14" w:rsidRPr="007162F5" w:rsidRDefault="001B5A14" w:rsidP="003762A0">
      <w:pPr>
        <w:spacing w:before="100" w:beforeAutospacing="1" w:after="100" w:afterAutospacing="1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In 2015/16 the Department trained</w:t>
      </w:r>
      <w:r w:rsidR="00FC2E8F" w:rsidRPr="007162F5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533 </w:t>
      </w:r>
      <w:r w:rsidR="00531B25">
        <w:rPr>
          <w:rFonts w:ascii="Arial Narrow" w:hAnsi="Arial Narrow"/>
          <w:iCs/>
        </w:rPr>
        <w:t xml:space="preserve">officials for the purposes of designation as </w:t>
      </w:r>
      <w:r>
        <w:rPr>
          <w:rFonts w:ascii="Arial Narrow" w:hAnsi="Arial Narrow"/>
          <w:iCs/>
        </w:rPr>
        <w:t xml:space="preserve">Environmental Management Inspectors. The Department also trained </w:t>
      </w:r>
      <w:r w:rsidR="00531B25">
        <w:rPr>
          <w:rFonts w:ascii="Arial Narrow" w:hAnsi="Arial Narrow"/>
          <w:iCs/>
        </w:rPr>
        <w:t xml:space="preserve">a further </w:t>
      </w:r>
      <w:r>
        <w:rPr>
          <w:rFonts w:ascii="Arial Narrow" w:hAnsi="Arial Narrow"/>
          <w:iCs/>
        </w:rPr>
        <w:t>680 officials</w:t>
      </w:r>
      <w:r w:rsidR="00531B25">
        <w:rPr>
          <w:rFonts w:ascii="Arial Narrow" w:hAnsi="Arial Narrow"/>
          <w:iCs/>
        </w:rPr>
        <w:t>, including external role-players, such</w:t>
      </w:r>
      <w:r w:rsidR="00EA6150">
        <w:rPr>
          <w:rFonts w:ascii="Arial Narrow" w:hAnsi="Arial Narrow"/>
          <w:iCs/>
        </w:rPr>
        <w:t xml:space="preserve"> as</w:t>
      </w:r>
      <w:r w:rsidR="00531B25">
        <w:rPr>
          <w:rFonts w:ascii="Arial Narrow" w:hAnsi="Arial Narrow"/>
          <w:iCs/>
        </w:rPr>
        <w:t xml:space="preserve"> magistrates, prosecutors and border management authorities, as well as </w:t>
      </w:r>
      <w:r w:rsidR="000D61F5">
        <w:rPr>
          <w:rFonts w:ascii="Arial Narrow" w:hAnsi="Arial Narrow"/>
          <w:iCs/>
        </w:rPr>
        <w:t>offering advanced</w:t>
      </w:r>
      <w:r w:rsidR="00531B25">
        <w:rPr>
          <w:rFonts w:ascii="Arial Narrow" w:hAnsi="Arial Narrow"/>
          <w:iCs/>
        </w:rPr>
        <w:t xml:space="preserve"> courses for </w:t>
      </w:r>
      <w:r>
        <w:rPr>
          <w:rFonts w:ascii="Arial Narrow" w:hAnsi="Arial Narrow"/>
          <w:iCs/>
        </w:rPr>
        <w:t xml:space="preserve"> EMIs</w:t>
      </w:r>
      <w:r w:rsidR="00531B25">
        <w:rPr>
          <w:rFonts w:ascii="Arial Narrow" w:hAnsi="Arial Narrow"/>
          <w:iCs/>
        </w:rPr>
        <w:t xml:space="preserve"> in</w:t>
      </w:r>
      <w:r w:rsidR="000D61F5">
        <w:rPr>
          <w:rFonts w:ascii="Arial Narrow" w:hAnsi="Arial Narrow"/>
          <w:iCs/>
        </w:rPr>
        <w:t xml:space="preserve"> specialised</w:t>
      </w:r>
      <w:r w:rsidR="00531B25">
        <w:rPr>
          <w:rFonts w:ascii="Arial Narrow" w:hAnsi="Arial Narrow"/>
          <w:iCs/>
        </w:rPr>
        <w:t xml:space="preserve"> topics such as biodiversity crime scene management and pollution and waste sampling</w:t>
      </w:r>
      <w:r>
        <w:rPr>
          <w:rFonts w:ascii="Arial Narrow" w:hAnsi="Arial Narrow"/>
          <w:iCs/>
        </w:rPr>
        <w:t>.</w:t>
      </w:r>
    </w:p>
    <w:p w:rsidR="001B5A14" w:rsidRPr="001B5A14" w:rsidRDefault="001B5A14" w:rsidP="001B5A14">
      <w:pPr>
        <w:spacing w:before="100" w:beforeAutospacing="1" w:after="100" w:afterAutospacing="1"/>
        <w:rPr>
          <w:rFonts w:ascii="Arial Narrow" w:hAnsi="Arial Narrow"/>
          <w:iCs/>
        </w:rPr>
      </w:pPr>
      <w:r w:rsidRPr="001B5A14">
        <w:rPr>
          <w:rFonts w:ascii="Arial Narrow" w:hAnsi="Arial Narrow"/>
          <w:iCs/>
        </w:rPr>
        <w:t>(2)(a)</w:t>
      </w:r>
      <w:r>
        <w:rPr>
          <w:rFonts w:ascii="Arial Narrow" w:hAnsi="Arial Narrow"/>
          <w:iCs/>
        </w:rPr>
        <w:t>(ii</w:t>
      </w:r>
      <w:r w:rsidRPr="001B5A14">
        <w:rPr>
          <w:rFonts w:ascii="Arial Narrow" w:hAnsi="Arial Narrow"/>
          <w:iCs/>
        </w:rPr>
        <w:t>)</w:t>
      </w:r>
    </w:p>
    <w:p w:rsidR="001B5A14" w:rsidRDefault="001B5A14" w:rsidP="001B5A14">
      <w:pPr>
        <w:spacing w:before="100" w:beforeAutospacing="1" w:after="100" w:afterAutospacing="1"/>
        <w:rPr>
          <w:rFonts w:ascii="Arial Narrow" w:hAnsi="Arial Narrow"/>
          <w:iCs/>
        </w:rPr>
      </w:pPr>
      <w:r w:rsidRPr="001B5A14">
        <w:rPr>
          <w:rFonts w:ascii="Arial Narrow" w:hAnsi="Arial Narrow"/>
          <w:iCs/>
        </w:rPr>
        <w:t>In 201</w:t>
      </w:r>
      <w:r>
        <w:rPr>
          <w:rFonts w:ascii="Arial Narrow" w:hAnsi="Arial Narrow"/>
          <w:iCs/>
        </w:rPr>
        <w:t>6/17</w:t>
      </w:r>
      <w:r w:rsidRPr="001B5A14">
        <w:rPr>
          <w:rFonts w:ascii="Arial Narrow" w:hAnsi="Arial Narrow"/>
          <w:iCs/>
        </w:rPr>
        <w:t xml:space="preserve"> the Department trained </w:t>
      </w:r>
      <w:r>
        <w:rPr>
          <w:rFonts w:ascii="Arial Narrow" w:hAnsi="Arial Narrow"/>
          <w:iCs/>
        </w:rPr>
        <w:t>306</w:t>
      </w:r>
      <w:r w:rsidRPr="001B5A14">
        <w:rPr>
          <w:rFonts w:ascii="Arial Narrow" w:hAnsi="Arial Narrow"/>
          <w:iCs/>
        </w:rPr>
        <w:t xml:space="preserve"> Environmental Management Inspectors in order for them to qualify for designation</w:t>
      </w:r>
      <w:r w:rsidR="000D61F5">
        <w:rPr>
          <w:rFonts w:ascii="Arial Narrow" w:hAnsi="Arial Narrow"/>
          <w:iCs/>
        </w:rPr>
        <w:t>.</w:t>
      </w:r>
      <w:r w:rsidRPr="001B5A14">
        <w:rPr>
          <w:rFonts w:ascii="Arial Narrow" w:hAnsi="Arial Narrow"/>
          <w:iCs/>
        </w:rPr>
        <w:t xml:space="preserve"> The Department also</w:t>
      </w:r>
      <w:r>
        <w:rPr>
          <w:rFonts w:ascii="Arial Narrow" w:hAnsi="Arial Narrow"/>
          <w:iCs/>
        </w:rPr>
        <w:t xml:space="preserve"> trained </w:t>
      </w:r>
      <w:r w:rsidR="000D61F5">
        <w:rPr>
          <w:rFonts w:ascii="Arial Narrow" w:hAnsi="Arial Narrow"/>
          <w:iCs/>
        </w:rPr>
        <w:t xml:space="preserve">a further </w:t>
      </w:r>
      <w:r>
        <w:rPr>
          <w:rFonts w:ascii="Arial Narrow" w:hAnsi="Arial Narrow"/>
          <w:iCs/>
        </w:rPr>
        <w:t>1230</w:t>
      </w:r>
      <w:r w:rsidRPr="001B5A14">
        <w:rPr>
          <w:rFonts w:ascii="Arial Narrow" w:hAnsi="Arial Narrow"/>
          <w:iCs/>
        </w:rPr>
        <w:t xml:space="preserve"> officials</w:t>
      </w:r>
      <w:r w:rsidR="000D61F5">
        <w:rPr>
          <w:rFonts w:ascii="Arial Narrow" w:hAnsi="Arial Narrow"/>
          <w:iCs/>
        </w:rPr>
        <w:t xml:space="preserve">, including </w:t>
      </w:r>
      <w:r w:rsidR="000D61F5" w:rsidRPr="000D61F5">
        <w:rPr>
          <w:rFonts w:ascii="Arial Narrow" w:hAnsi="Arial Narrow"/>
          <w:iCs/>
        </w:rPr>
        <w:t>magistrates, prosecutors and border management authorities</w:t>
      </w:r>
      <w:r w:rsidR="000D61F5">
        <w:rPr>
          <w:rFonts w:ascii="Arial Narrow" w:hAnsi="Arial Narrow"/>
          <w:iCs/>
        </w:rPr>
        <w:t>; as well as advanced EMI courses in biodiversity and pollution and waste investigations, legislative updates and the use of minimum force.</w:t>
      </w:r>
      <w:r w:rsidRPr="001B5A14">
        <w:rPr>
          <w:rFonts w:ascii="Arial Narrow" w:hAnsi="Arial Narrow"/>
          <w:iCs/>
        </w:rPr>
        <w:t xml:space="preserve"> </w:t>
      </w:r>
    </w:p>
    <w:p w:rsidR="00EA6150" w:rsidRDefault="00EA6150" w:rsidP="00C754F3">
      <w:pPr>
        <w:spacing w:before="100" w:beforeAutospacing="1" w:after="100" w:afterAutospacing="1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 xml:space="preserve"> </w:t>
      </w:r>
      <w:r w:rsidR="00C754F3" w:rsidRPr="007162F5">
        <w:rPr>
          <w:rFonts w:ascii="Arial Narrow" w:hAnsi="Arial Narrow"/>
          <w:iCs/>
        </w:rPr>
        <w:t xml:space="preserve">(2)(b)(i) </w:t>
      </w:r>
    </w:p>
    <w:p w:rsidR="00C754F3" w:rsidRPr="007162F5" w:rsidRDefault="00C754F3" w:rsidP="00C754F3">
      <w:pPr>
        <w:spacing w:before="100" w:beforeAutospacing="1" w:after="100" w:afterAutospacing="1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>In 2015/16, 333 EMIs were designated; of those 29 were local authority officials.</w:t>
      </w:r>
    </w:p>
    <w:p w:rsidR="00EA6150" w:rsidRDefault="00C754F3" w:rsidP="00C754F3">
      <w:pPr>
        <w:spacing w:before="100" w:beforeAutospacing="1" w:after="100" w:afterAutospacing="1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 xml:space="preserve">(2)(b)(ii) </w:t>
      </w:r>
    </w:p>
    <w:p w:rsidR="00C754F3" w:rsidRPr="007162F5" w:rsidRDefault="00C754F3" w:rsidP="00C754F3">
      <w:pPr>
        <w:spacing w:before="100" w:beforeAutospacing="1" w:after="100" w:afterAutospacing="1"/>
        <w:rPr>
          <w:rFonts w:ascii="Arial Narrow" w:hAnsi="Arial Narrow"/>
          <w:iCs/>
        </w:rPr>
      </w:pPr>
      <w:r w:rsidRPr="007162F5">
        <w:rPr>
          <w:rFonts w:ascii="Arial Narrow" w:hAnsi="Arial Narrow"/>
          <w:iCs/>
        </w:rPr>
        <w:t>In 20</w:t>
      </w:r>
      <w:r w:rsidR="003D5D83" w:rsidRPr="007162F5">
        <w:rPr>
          <w:rFonts w:ascii="Arial Narrow" w:hAnsi="Arial Narrow"/>
          <w:iCs/>
        </w:rPr>
        <w:t>16/17, 245 EMIs were designated;</w:t>
      </w:r>
      <w:r w:rsidRPr="007162F5">
        <w:rPr>
          <w:rFonts w:ascii="Arial Narrow" w:hAnsi="Arial Narrow"/>
          <w:iCs/>
        </w:rPr>
        <w:t xml:space="preserve"> of those 69 were local authority officials; as follows:</w:t>
      </w:r>
    </w:p>
    <w:p w:rsidR="00BF67B9" w:rsidRPr="00EA6150" w:rsidRDefault="007866E3" w:rsidP="00EA6150">
      <w:pPr>
        <w:spacing w:before="100" w:beforeAutospacing="1" w:after="100" w:afterAutospacing="1"/>
        <w:rPr>
          <w:rFonts w:ascii="Arial Narrow" w:hAnsi="Arial Narrow"/>
          <w:b/>
          <w:u w:val="single"/>
        </w:rPr>
      </w:pPr>
      <w:r w:rsidRPr="00EA6150">
        <w:rPr>
          <w:rFonts w:ascii="Arial Narrow" w:hAnsi="Arial Narrow"/>
          <w:b/>
          <w:u w:val="single"/>
        </w:rPr>
        <w:t>Blitzes and Operations</w:t>
      </w:r>
    </w:p>
    <w:p w:rsidR="00A8229E" w:rsidRDefault="00A8229E" w:rsidP="00EA6150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3(a)(b)(i)(ii)(</w:t>
      </w:r>
      <w:proofErr w:type="spellStart"/>
      <w:r>
        <w:rPr>
          <w:rFonts w:ascii="Arial Narrow" w:hAnsi="Arial Narrow"/>
        </w:rPr>
        <w:t>aa</w:t>
      </w:r>
      <w:proofErr w:type="spellEnd"/>
      <w:r>
        <w:rPr>
          <w:rFonts w:ascii="Arial Narrow" w:hAnsi="Arial Narrow"/>
        </w:rPr>
        <w:t xml:space="preserve">) </w:t>
      </w:r>
    </w:p>
    <w:p w:rsidR="00B65BAC" w:rsidRDefault="00EA6150" w:rsidP="00EA6150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The following blitzes / enforcement operations took place in the 2015-16 financial year: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245"/>
      </w:tblGrid>
      <w:tr w:rsidR="00EA6150" w:rsidRPr="00EA6150" w:rsidTr="007D53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Description</w:t>
            </w:r>
          </w:p>
        </w:tc>
      </w:tr>
      <w:tr w:rsidR="00EA6150" w:rsidRPr="00EA6150" w:rsidTr="00EA615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ind w:left="360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Pollution &amp;</w:t>
            </w:r>
            <w:r w:rsidR="00393014">
              <w:rPr>
                <w:rFonts w:ascii="Arial Narrow" w:eastAsia="Calibri" w:hAnsi="Arial Narrow"/>
                <w:b/>
                <w:sz w:val="22"/>
                <w:szCs w:val="22"/>
              </w:rPr>
              <w:t xml:space="preserve"> </w:t>
            </w: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Waste Operations/Blitzes</w:t>
            </w:r>
          </w:p>
        </w:tc>
      </w:tr>
      <w:tr w:rsidR="00EA6150" w:rsidRPr="00EA6150" w:rsidTr="007D53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EA6150">
              <w:rPr>
                <w:rFonts w:ascii="Arial Narrow" w:eastAsia="Calibri" w:hAnsi="Arial Narrow"/>
                <w:sz w:val="22"/>
                <w:szCs w:val="22"/>
              </w:rPr>
              <w:t>Redisa</w:t>
            </w:r>
            <w:proofErr w:type="spellEnd"/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 Tyre Operation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25/11/2015 – 27/11/2015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Joint environmental compliance monitoring inspections (Blitz) were conducted at 6 </w:t>
            </w:r>
            <w:proofErr w:type="spellStart"/>
            <w:r w:rsidRPr="00EA6150">
              <w:rPr>
                <w:rFonts w:ascii="Arial Narrow" w:eastAsia="Calibri" w:hAnsi="Arial Narrow"/>
                <w:sz w:val="22"/>
                <w:szCs w:val="22"/>
              </w:rPr>
              <w:t>Redisa</w:t>
            </w:r>
            <w:proofErr w:type="spellEnd"/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 Tyres Depots</w:t>
            </w:r>
          </w:p>
        </w:tc>
      </w:tr>
      <w:tr w:rsidR="00EA6150" w:rsidRPr="00EA6150" w:rsidTr="007D5320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Galvanisers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January 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Joint environmental compliance monitoring inspections (Blitz) were conducted at 20 facilities </w:t>
            </w:r>
          </w:p>
        </w:tc>
      </w:tr>
      <w:tr w:rsidR="00EA6150" w:rsidRPr="00EA6150" w:rsidTr="00EA615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Biodiversity Blitzes/Operations</w:t>
            </w:r>
          </w:p>
        </w:tc>
      </w:tr>
      <w:tr w:rsidR="00EA6150" w:rsidRPr="00EA6150" w:rsidTr="007D53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AIS Pet shop/ Farm Blitz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August 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To ascertain compliance with AIS regulations; and to raise  awareness with AIS regulations</w:t>
            </w:r>
          </w:p>
        </w:tc>
      </w:tr>
      <w:tr w:rsidR="00EA6150" w:rsidRPr="00EA6150" w:rsidTr="007D53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Operation Cobra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4-28 May 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Multinational enforcement o</w:t>
            </w:r>
            <w:r w:rsidRPr="00EA6150">
              <w:rPr>
                <w:rFonts w:ascii="Arial Narrow" w:eastAsia="Calibri" w:hAnsi="Arial Narrow"/>
                <w:sz w:val="22"/>
                <w:szCs w:val="22"/>
              </w:rPr>
              <w:t>peration to curb illegal wildlife trafficking</w:t>
            </w:r>
          </w:p>
        </w:tc>
      </w:tr>
      <w:tr w:rsidR="00EA6150" w:rsidRPr="00EA6150" w:rsidTr="007D53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hAnsi="Arial Narrow"/>
                <w:iCs/>
                <w:sz w:val="22"/>
                <w:szCs w:val="22"/>
              </w:rPr>
              <w:t xml:space="preserve">Illicit cross border trade in wildlife operations after training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Various over the 2015-2016 financial year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Joint multi-stakeholder operations to combat the illegal transport and trade of wildlife </w:t>
            </w:r>
          </w:p>
        </w:tc>
      </w:tr>
      <w:tr w:rsidR="00EA6150" w:rsidRPr="00EA6150" w:rsidTr="00EA6150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Marine/Coastal Blitzes/Operations</w:t>
            </w:r>
          </w:p>
        </w:tc>
      </w:tr>
      <w:tr w:rsidR="00EA6150" w:rsidRPr="00EA6150" w:rsidTr="007D53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proofErr w:type="spellStart"/>
            <w:r w:rsidRPr="00EA6150">
              <w:rPr>
                <w:rFonts w:ascii="Arial Narrow" w:eastAsia="Calibri" w:hAnsi="Arial Narrow"/>
                <w:sz w:val="22"/>
                <w:szCs w:val="22"/>
              </w:rPr>
              <w:t>Trekkoskraal</w:t>
            </w:r>
            <w:proofErr w:type="spellEnd"/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, West Coast (under Operation </w:t>
            </w:r>
            <w:proofErr w:type="spellStart"/>
            <w:r w:rsidRPr="00EA6150">
              <w:rPr>
                <w:rFonts w:ascii="Arial Narrow" w:eastAsia="Calibri" w:hAnsi="Arial Narrow"/>
                <w:sz w:val="22"/>
                <w:szCs w:val="22"/>
              </w:rPr>
              <w:t>Phakisa</w:t>
            </w:r>
            <w:proofErr w:type="spellEnd"/>
            <w:r w:rsidRPr="00EA6150">
              <w:rPr>
                <w:rFonts w:ascii="Arial Narrow" w:eastAsia="Calibri" w:hAnsi="Arial Narrow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24 March 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To combat illegal camping and driving in coastal public property</w:t>
            </w:r>
          </w:p>
        </w:tc>
      </w:tr>
    </w:tbl>
    <w:p w:rsidR="00A8229E" w:rsidRDefault="00B65BAC" w:rsidP="00EA6150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3(a)(b)(i)(ii)(bb</w:t>
      </w:r>
      <w:r w:rsidRPr="00B65BAC">
        <w:rPr>
          <w:rFonts w:ascii="Arial Narrow" w:hAnsi="Arial Narrow"/>
        </w:rPr>
        <w:t xml:space="preserve">) </w:t>
      </w:r>
    </w:p>
    <w:p w:rsidR="00B65BAC" w:rsidRDefault="00EA6150" w:rsidP="00EA6150">
      <w:pPr>
        <w:spacing w:before="100" w:beforeAutospacing="1" w:after="100" w:afterAutospacing="1"/>
        <w:rPr>
          <w:rFonts w:ascii="Arial Narrow" w:hAnsi="Arial Narrow"/>
        </w:rPr>
      </w:pPr>
      <w:r w:rsidRPr="00EA6150">
        <w:rPr>
          <w:rFonts w:ascii="Arial Narrow" w:hAnsi="Arial Narrow"/>
        </w:rPr>
        <w:t>The following blitzes / enforcement o</w:t>
      </w:r>
      <w:r>
        <w:rPr>
          <w:rFonts w:ascii="Arial Narrow" w:hAnsi="Arial Narrow"/>
        </w:rPr>
        <w:t>perations took place in the 2016-17</w:t>
      </w:r>
      <w:r w:rsidRPr="00EA6150">
        <w:rPr>
          <w:rFonts w:ascii="Arial Narrow" w:hAnsi="Arial Narrow"/>
        </w:rPr>
        <w:t xml:space="preserve"> financial year: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5245"/>
      </w:tblGrid>
      <w:tr w:rsidR="00EA615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b/>
              </w:rPr>
            </w:pPr>
            <w:r w:rsidRPr="00EA6150">
              <w:rPr>
                <w:rFonts w:ascii="Arial Narrow" w:eastAsia="Calibri" w:hAnsi="Arial Narrow"/>
                <w:b/>
              </w:rPr>
              <w:t>Description</w:t>
            </w:r>
          </w:p>
        </w:tc>
      </w:tr>
      <w:tr w:rsidR="00EA6150" w:rsidRPr="00EA6150" w:rsidTr="00EA615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Biodiversity Blitzes/Operations</w:t>
            </w:r>
          </w:p>
        </w:tc>
      </w:tr>
      <w:tr w:rsidR="00EA615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Table Mountain National Park 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23-27 May 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Table Mountain National Park operation on Alien &amp; Invasive Species, inspection of 32 properties adjacent to the Park </w:t>
            </w:r>
          </w:p>
        </w:tc>
      </w:tr>
      <w:tr w:rsidR="007D532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0" w:rsidRPr="00EA6150" w:rsidRDefault="007D532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7D5320">
              <w:rPr>
                <w:rFonts w:ascii="Arial Narrow" w:eastAsia="Calibri" w:hAnsi="Arial Narrow"/>
                <w:sz w:val="22"/>
                <w:szCs w:val="22"/>
              </w:rPr>
              <w:t xml:space="preserve">Operation </w:t>
            </w:r>
            <w:proofErr w:type="spellStart"/>
            <w:r w:rsidRPr="007D5320">
              <w:rPr>
                <w:rFonts w:ascii="Arial Narrow" w:eastAsia="Calibri" w:hAnsi="Arial Narrow"/>
                <w:sz w:val="22"/>
                <w:szCs w:val="22"/>
              </w:rPr>
              <w:t>Fezela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0" w:rsidRPr="00EA6150" w:rsidRDefault="007D532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7D5320">
              <w:rPr>
                <w:rFonts w:ascii="Arial Narrow" w:eastAsia="Calibri" w:hAnsi="Arial Narrow"/>
                <w:sz w:val="22"/>
                <w:szCs w:val="22"/>
              </w:rPr>
              <w:t>Various – based on planning  of projects within the operation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20" w:rsidRPr="00EA6150" w:rsidRDefault="007D532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7D5320">
              <w:rPr>
                <w:rFonts w:ascii="Arial Narrow" w:eastAsia="Calibri" w:hAnsi="Arial Narrow"/>
                <w:sz w:val="22"/>
                <w:szCs w:val="22"/>
              </w:rPr>
              <w:t>To combat cycad trafficking</w:t>
            </w:r>
          </w:p>
        </w:tc>
      </w:tr>
      <w:tr w:rsidR="00EA615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Operation Thunderbird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30/01/2017 – 19/02/2017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Multi-stakeholder joint INTERPOL operation to combat the illegal transport and trade of wildlife by searching aircraft, especially small aircraft, vehicles, luggage and persons</w:t>
            </w:r>
          </w:p>
        </w:tc>
      </w:tr>
      <w:tr w:rsidR="00EA615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Festive season Operations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November / December 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7D532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Participated in multi-stakeholder joint operations with the DEA focusing on illegal wildlife trade / alien and invasive species</w:t>
            </w:r>
          </w:p>
        </w:tc>
      </w:tr>
      <w:tr w:rsidR="00EA615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Joint operations at border posts,  linked to training on illicit movement of wildlife species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Numerous throughout the financial year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To ascertain compliance with TOPS/ CITES/AIS regulations</w:t>
            </w:r>
          </w:p>
        </w:tc>
      </w:tr>
      <w:tr w:rsidR="00EA6150" w:rsidRPr="00EA6150" w:rsidTr="00EA615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Marine/Coastal Blitzes/Operations</w:t>
            </w:r>
          </w:p>
        </w:tc>
      </w:tr>
      <w:tr w:rsidR="00EA615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Operation </w:t>
            </w:r>
            <w:proofErr w:type="spellStart"/>
            <w:r w:rsidRPr="00EA6150">
              <w:rPr>
                <w:rFonts w:ascii="Arial Narrow" w:eastAsia="Calibri" w:hAnsi="Arial Narrow"/>
                <w:sz w:val="22"/>
                <w:szCs w:val="22"/>
              </w:rPr>
              <w:t>Phakisa</w:t>
            </w:r>
            <w:proofErr w:type="spellEnd"/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 -Initiative 5: Co-ordinated and enhanced compliance and enforcement programme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Various dates throughout the financial year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22 x Joint Multi-stakeholder Operations under Operation </w:t>
            </w:r>
            <w:proofErr w:type="spellStart"/>
            <w:r w:rsidRPr="00EA6150">
              <w:rPr>
                <w:rFonts w:ascii="Arial Narrow" w:eastAsia="Calibri" w:hAnsi="Arial Narrow"/>
                <w:sz w:val="22"/>
                <w:szCs w:val="22"/>
              </w:rPr>
              <w:t>Phakisa</w:t>
            </w:r>
            <w:proofErr w:type="spellEnd"/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 Initiative 5 planned and implemented in 4 coastal Provinces (Northern Cape, Western Cape, Eastern Cape and KZN) focusing on a range of illegal activities</w:t>
            </w:r>
          </w:p>
        </w:tc>
      </w:tr>
      <w:tr w:rsidR="00EA6150" w:rsidRPr="00EA6150" w:rsidTr="00EA615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/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b/>
                <w:sz w:val="22"/>
                <w:szCs w:val="22"/>
              </w:rPr>
              <w:t>Pollution &amp; Waste Operations/Blitzes</w:t>
            </w:r>
          </w:p>
        </w:tc>
      </w:tr>
      <w:tr w:rsidR="00EA615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Health Care Risk Blitz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15/11/2016 – 17/11/2016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 xml:space="preserve">Joint environmental compliance monitoring inspections (Blitz) were conducted at 12 Health Care Risk Waste Treatment facilities </w:t>
            </w:r>
          </w:p>
        </w:tc>
      </w:tr>
      <w:tr w:rsidR="00EA615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Oil Recyclers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October 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Desk-top initiative aimed at increasing compliance by making use of mass circulation of warning letters (51 in total) within this industry</w:t>
            </w:r>
          </w:p>
        </w:tc>
      </w:tr>
      <w:tr w:rsidR="00EA615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St Helena Bay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Joint environmental compliance monitoring inspections (Blitz) were conducted at 4 facilities</w:t>
            </w:r>
          </w:p>
        </w:tc>
      </w:tr>
      <w:tr w:rsidR="00EA6150" w:rsidRPr="00EA6150" w:rsidTr="007D53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Timber treatment facilities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December 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50" w:rsidRPr="00EA6150" w:rsidRDefault="00EA6150" w:rsidP="00EA6150">
            <w:pPr>
              <w:spacing w:before="100" w:beforeAutospacing="1" w:after="100" w:afterAutospacing="1"/>
              <w:rPr>
                <w:rFonts w:ascii="Arial Narrow" w:eastAsia="Calibri" w:hAnsi="Arial Narrow"/>
                <w:sz w:val="22"/>
                <w:szCs w:val="22"/>
              </w:rPr>
            </w:pPr>
            <w:r w:rsidRPr="00EA6150">
              <w:rPr>
                <w:rFonts w:ascii="Arial Narrow" w:eastAsia="Calibri" w:hAnsi="Arial Narrow"/>
                <w:sz w:val="22"/>
                <w:szCs w:val="22"/>
              </w:rPr>
              <w:t>Desk top initiative aimed at increasing compliance by making use of mass circulation of warning letters (78 letters issued) within this industry.</w:t>
            </w:r>
          </w:p>
        </w:tc>
      </w:tr>
    </w:tbl>
    <w:p w:rsidR="00F12589" w:rsidRDefault="00F12589" w:rsidP="001226D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F12589" w:rsidRDefault="00F12589" w:rsidP="001226D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00535" w:rsidRPr="007162F5" w:rsidRDefault="006E42A6" w:rsidP="001226D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7162F5">
        <w:rPr>
          <w:rFonts w:ascii="Arial Narrow" w:hAnsi="Arial Narrow"/>
          <w:b/>
          <w:lang w:val="af-ZA" w:eastAsia="en-ZA"/>
        </w:rPr>
        <w:t>-</w:t>
      </w:r>
      <w:r w:rsidR="0048390A" w:rsidRPr="007162F5">
        <w:rPr>
          <w:rFonts w:ascii="Arial Narrow" w:hAnsi="Arial Narrow"/>
          <w:b/>
          <w:lang w:val="af-ZA" w:eastAsia="en-ZA"/>
        </w:rPr>
        <w:t>--ooOoo--</w:t>
      </w:r>
      <w:r w:rsidRPr="007162F5">
        <w:rPr>
          <w:rFonts w:ascii="Arial Narrow" w:hAnsi="Arial Narrow"/>
          <w:b/>
          <w:lang w:val="af-ZA" w:eastAsia="en-ZA"/>
        </w:rPr>
        <w:t>-</w:t>
      </w:r>
    </w:p>
    <w:sectPr w:rsidR="00D00535" w:rsidRPr="007162F5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9C" w:rsidRDefault="006E649C" w:rsidP="004F1BDF">
      <w:r>
        <w:separator/>
      </w:r>
    </w:p>
  </w:endnote>
  <w:endnote w:type="continuationSeparator" w:id="0">
    <w:p w:rsidR="006E649C" w:rsidRDefault="006E649C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3762A0">
      <w:rPr>
        <w:rFonts w:ascii="Arial Narrow" w:hAnsi="Arial Narrow"/>
        <w:b w:val="0"/>
        <w:sz w:val="16"/>
        <w:szCs w:val="16"/>
      </w:rPr>
      <w:t>1541</w:t>
    </w:r>
    <w:r w:rsidR="008B3BEE">
      <w:rPr>
        <w:rFonts w:ascii="Arial Narrow" w:hAnsi="Arial Narrow"/>
        <w:b w:val="0"/>
        <w:sz w:val="16"/>
        <w:szCs w:val="16"/>
      </w:rPr>
      <w:tab/>
    </w:r>
    <w:r w:rsidR="00426AF7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3762A0">
      <w:rPr>
        <w:rFonts w:ascii="Arial Narrow" w:eastAsia="Calibri" w:hAnsi="Arial Narrow"/>
        <w:b w:val="0"/>
        <w:bCs w:val="0"/>
        <w:sz w:val="16"/>
        <w:szCs w:val="16"/>
        <w:lang w:val="en-ZA"/>
      </w:rPr>
      <w:t>742</w:t>
    </w:r>
    <w:r w:rsidR="00824D30" w:rsidRPr="00B8464C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9C" w:rsidRDefault="006E649C" w:rsidP="004F1BDF">
      <w:r>
        <w:separator/>
      </w:r>
    </w:p>
  </w:footnote>
  <w:footnote w:type="continuationSeparator" w:id="0">
    <w:p w:rsidR="006E649C" w:rsidRDefault="006E649C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4A4"/>
    <w:multiLevelType w:val="hybridMultilevel"/>
    <w:tmpl w:val="DE5042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833"/>
    <w:multiLevelType w:val="hybridMultilevel"/>
    <w:tmpl w:val="B1E08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A151B"/>
    <w:multiLevelType w:val="hybridMultilevel"/>
    <w:tmpl w:val="CBA4F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88D"/>
    <w:multiLevelType w:val="hybridMultilevel"/>
    <w:tmpl w:val="55C832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396A"/>
    <w:multiLevelType w:val="hybridMultilevel"/>
    <w:tmpl w:val="932A4AF4"/>
    <w:lvl w:ilvl="0" w:tplc="63C4DF6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44DD6"/>
    <w:multiLevelType w:val="hybridMultilevel"/>
    <w:tmpl w:val="932C69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27434"/>
    <w:multiLevelType w:val="hybridMultilevel"/>
    <w:tmpl w:val="955ED7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359F1"/>
    <w:multiLevelType w:val="hybridMultilevel"/>
    <w:tmpl w:val="66E008E4"/>
    <w:lvl w:ilvl="0" w:tplc="5AD29F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D5271"/>
    <w:multiLevelType w:val="hybridMultilevel"/>
    <w:tmpl w:val="F7C4B6EA"/>
    <w:lvl w:ilvl="0" w:tplc="E030169E">
      <w:start w:val="12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99" w:hanging="360"/>
      </w:pPr>
    </w:lvl>
    <w:lvl w:ilvl="2" w:tplc="1C09001B" w:tentative="1">
      <w:start w:val="1"/>
      <w:numFmt w:val="lowerRoman"/>
      <w:lvlText w:val="%3."/>
      <w:lvlJc w:val="right"/>
      <w:pPr>
        <w:ind w:left="1919" w:hanging="180"/>
      </w:pPr>
    </w:lvl>
    <w:lvl w:ilvl="3" w:tplc="1C09000F" w:tentative="1">
      <w:start w:val="1"/>
      <w:numFmt w:val="decimal"/>
      <w:lvlText w:val="%4."/>
      <w:lvlJc w:val="left"/>
      <w:pPr>
        <w:ind w:left="2639" w:hanging="360"/>
      </w:pPr>
    </w:lvl>
    <w:lvl w:ilvl="4" w:tplc="1C090019" w:tentative="1">
      <w:start w:val="1"/>
      <w:numFmt w:val="lowerLetter"/>
      <w:lvlText w:val="%5."/>
      <w:lvlJc w:val="left"/>
      <w:pPr>
        <w:ind w:left="3359" w:hanging="360"/>
      </w:pPr>
    </w:lvl>
    <w:lvl w:ilvl="5" w:tplc="1C09001B" w:tentative="1">
      <w:start w:val="1"/>
      <w:numFmt w:val="lowerRoman"/>
      <w:lvlText w:val="%6."/>
      <w:lvlJc w:val="right"/>
      <w:pPr>
        <w:ind w:left="4079" w:hanging="180"/>
      </w:pPr>
    </w:lvl>
    <w:lvl w:ilvl="6" w:tplc="1C09000F" w:tentative="1">
      <w:start w:val="1"/>
      <w:numFmt w:val="decimal"/>
      <w:lvlText w:val="%7."/>
      <w:lvlJc w:val="left"/>
      <w:pPr>
        <w:ind w:left="4799" w:hanging="360"/>
      </w:pPr>
    </w:lvl>
    <w:lvl w:ilvl="7" w:tplc="1C090019" w:tentative="1">
      <w:start w:val="1"/>
      <w:numFmt w:val="lowerLetter"/>
      <w:lvlText w:val="%8."/>
      <w:lvlJc w:val="left"/>
      <w:pPr>
        <w:ind w:left="5519" w:hanging="360"/>
      </w:pPr>
    </w:lvl>
    <w:lvl w:ilvl="8" w:tplc="1C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66BD3A1A"/>
    <w:multiLevelType w:val="hybridMultilevel"/>
    <w:tmpl w:val="890C3B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E7E9B"/>
    <w:multiLevelType w:val="hybridMultilevel"/>
    <w:tmpl w:val="C30E71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9D45FA"/>
    <w:multiLevelType w:val="hybridMultilevel"/>
    <w:tmpl w:val="C6AC2E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47229"/>
    <w:rsid w:val="00050EE0"/>
    <w:rsid w:val="00051324"/>
    <w:rsid w:val="00054F3F"/>
    <w:rsid w:val="0005634F"/>
    <w:rsid w:val="000605D8"/>
    <w:rsid w:val="00060E68"/>
    <w:rsid w:val="000612DD"/>
    <w:rsid w:val="00061EE5"/>
    <w:rsid w:val="00062D01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C7AF5"/>
    <w:rsid w:val="000D4236"/>
    <w:rsid w:val="000D61F5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134F6"/>
    <w:rsid w:val="001209F6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B5A14"/>
    <w:rsid w:val="001C0B86"/>
    <w:rsid w:val="001C38DD"/>
    <w:rsid w:val="001D20B7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00B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57430"/>
    <w:rsid w:val="00361C68"/>
    <w:rsid w:val="003737E3"/>
    <w:rsid w:val="003762A0"/>
    <w:rsid w:val="0037704F"/>
    <w:rsid w:val="003811A3"/>
    <w:rsid w:val="00382E72"/>
    <w:rsid w:val="00393014"/>
    <w:rsid w:val="00397DE9"/>
    <w:rsid w:val="003A4B55"/>
    <w:rsid w:val="003A6077"/>
    <w:rsid w:val="003B0518"/>
    <w:rsid w:val="003B4AD4"/>
    <w:rsid w:val="003B6AF4"/>
    <w:rsid w:val="003C1B62"/>
    <w:rsid w:val="003C1DAC"/>
    <w:rsid w:val="003C5149"/>
    <w:rsid w:val="003D3E28"/>
    <w:rsid w:val="003D4060"/>
    <w:rsid w:val="003D5D83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26AF7"/>
    <w:rsid w:val="00435D92"/>
    <w:rsid w:val="00436F94"/>
    <w:rsid w:val="00443ACD"/>
    <w:rsid w:val="00451121"/>
    <w:rsid w:val="00455EF3"/>
    <w:rsid w:val="00456AF3"/>
    <w:rsid w:val="00460ABC"/>
    <w:rsid w:val="004625D3"/>
    <w:rsid w:val="00464E83"/>
    <w:rsid w:val="00474494"/>
    <w:rsid w:val="004769DE"/>
    <w:rsid w:val="004827A3"/>
    <w:rsid w:val="0048390A"/>
    <w:rsid w:val="00485891"/>
    <w:rsid w:val="00485F51"/>
    <w:rsid w:val="00486877"/>
    <w:rsid w:val="00492AF9"/>
    <w:rsid w:val="00492C3A"/>
    <w:rsid w:val="00492C7D"/>
    <w:rsid w:val="004A4020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31B25"/>
    <w:rsid w:val="00541EFC"/>
    <w:rsid w:val="00542C02"/>
    <w:rsid w:val="0054307A"/>
    <w:rsid w:val="005477CF"/>
    <w:rsid w:val="00551F2A"/>
    <w:rsid w:val="00552963"/>
    <w:rsid w:val="00554A6E"/>
    <w:rsid w:val="005606A7"/>
    <w:rsid w:val="00561A9A"/>
    <w:rsid w:val="005650A9"/>
    <w:rsid w:val="00566626"/>
    <w:rsid w:val="00567CA6"/>
    <w:rsid w:val="00571AD3"/>
    <w:rsid w:val="00574691"/>
    <w:rsid w:val="00575944"/>
    <w:rsid w:val="005779CF"/>
    <w:rsid w:val="00586C0C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6F3F"/>
    <w:rsid w:val="00600512"/>
    <w:rsid w:val="00606931"/>
    <w:rsid w:val="006112BD"/>
    <w:rsid w:val="0061208C"/>
    <w:rsid w:val="006129DC"/>
    <w:rsid w:val="006130E9"/>
    <w:rsid w:val="00613E44"/>
    <w:rsid w:val="006207B6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69A"/>
    <w:rsid w:val="006B7E27"/>
    <w:rsid w:val="006C29E7"/>
    <w:rsid w:val="006C45C8"/>
    <w:rsid w:val="006C4FC7"/>
    <w:rsid w:val="006C53BF"/>
    <w:rsid w:val="006C7F6F"/>
    <w:rsid w:val="006D194A"/>
    <w:rsid w:val="006D4150"/>
    <w:rsid w:val="006D63B3"/>
    <w:rsid w:val="006E24FC"/>
    <w:rsid w:val="006E2A9D"/>
    <w:rsid w:val="006E42A6"/>
    <w:rsid w:val="006E649C"/>
    <w:rsid w:val="006E7110"/>
    <w:rsid w:val="006F02EC"/>
    <w:rsid w:val="006F0991"/>
    <w:rsid w:val="007000CF"/>
    <w:rsid w:val="00705593"/>
    <w:rsid w:val="0071196A"/>
    <w:rsid w:val="007162F5"/>
    <w:rsid w:val="007227B8"/>
    <w:rsid w:val="00723774"/>
    <w:rsid w:val="007255F8"/>
    <w:rsid w:val="0072568C"/>
    <w:rsid w:val="00735692"/>
    <w:rsid w:val="00736336"/>
    <w:rsid w:val="00743017"/>
    <w:rsid w:val="00746C30"/>
    <w:rsid w:val="0074717D"/>
    <w:rsid w:val="0075538B"/>
    <w:rsid w:val="007553CB"/>
    <w:rsid w:val="00763FE0"/>
    <w:rsid w:val="00766F73"/>
    <w:rsid w:val="00770106"/>
    <w:rsid w:val="00770B34"/>
    <w:rsid w:val="007722CD"/>
    <w:rsid w:val="0077293A"/>
    <w:rsid w:val="00776026"/>
    <w:rsid w:val="00777B65"/>
    <w:rsid w:val="007866E3"/>
    <w:rsid w:val="00786A81"/>
    <w:rsid w:val="00791FD4"/>
    <w:rsid w:val="007A28EA"/>
    <w:rsid w:val="007B21D0"/>
    <w:rsid w:val="007B23A9"/>
    <w:rsid w:val="007B4395"/>
    <w:rsid w:val="007B4554"/>
    <w:rsid w:val="007D2B14"/>
    <w:rsid w:val="007D5320"/>
    <w:rsid w:val="007E4AD5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0ED4"/>
    <w:rsid w:val="00852532"/>
    <w:rsid w:val="00853D53"/>
    <w:rsid w:val="00854D98"/>
    <w:rsid w:val="00855745"/>
    <w:rsid w:val="00855841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5744"/>
    <w:rsid w:val="00986B9C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7626"/>
    <w:rsid w:val="00A00B0B"/>
    <w:rsid w:val="00A051E6"/>
    <w:rsid w:val="00A11B84"/>
    <w:rsid w:val="00A13048"/>
    <w:rsid w:val="00A135F6"/>
    <w:rsid w:val="00A166BE"/>
    <w:rsid w:val="00A23689"/>
    <w:rsid w:val="00A262F7"/>
    <w:rsid w:val="00A26873"/>
    <w:rsid w:val="00A30E6F"/>
    <w:rsid w:val="00A33A59"/>
    <w:rsid w:val="00A361AA"/>
    <w:rsid w:val="00A37940"/>
    <w:rsid w:val="00A4247C"/>
    <w:rsid w:val="00A460A7"/>
    <w:rsid w:val="00A46FCA"/>
    <w:rsid w:val="00A60B66"/>
    <w:rsid w:val="00A616F6"/>
    <w:rsid w:val="00A66B49"/>
    <w:rsid w:val="00A76234"/>
    <w:rsid w:val="00A76401"/>
    <w:rsid w:val="00A816C9"/>
    <w:rsid w:val="00A8229E"/>
    <w:rsid w:val="00A90E71"/>
    <w:rsid w:val="00A9242D"/>
    <w:rsid w:val="00AA0201"/>
    <w:rsid w:val="00AA2C71"/>
    <w:rsid w:val="00AA3D1A"/>
    <w:rsid w:val="00AA5E92"/>
    <w:rsid w:val="00AA7DFC"/>
    <w:rsid w:val="00AB192B"/>
    <w:rsid w:val="00AB2912"/>
    <w:rsid w:val="00AB3E62"/>
    <w:rsid w:val="00AB6858"/>
    <w:rsid w:val="00AB7707"/>
    <w:rsid w:val="00AB7A40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14D00"/>
    <w:rsid w:val="00B209AC"/>
    <w:rsid w:val="00B23B8A"/>
    <w:rsid w:val="00B37C02"/>
    <w:rsid w:val="00B46D9A"/>
    <w:rsid w:val="00B65BAC"/>
    <w:rsid w:val="00B67B53"/>
    <w:rsid w:val="00B722E6"/>
    <w:rsid w:val="00B76A17"/>
    <w:rsid w:val="00B83D12"/>
    <w:rsid w:val="00B8464C"/>
    <w:rsid w:val="00B85270"/>
    <w:rsid w:val="00B873FF"/>
    <w:rsid w:val="00B92046"/>
    <w:rsid w:val="00B92E4C"/>
    <w:rsid w:val="00B93569"/>
    <w:rsid w:val="00BA079A"/>
    <w:rsid w:val="00BA0FBC"/>
    <w:rsid w:val="00BB1B99"/>
    <w:rsid w:val="00BB2AAC"/>
    <w:rsid w:val="00BB3CD1"/>
    <w:rsid w:val="00BB6DE3"/>
    <w:rsid w:val="00BC00A6"/>
    <w:rsid w:val="00BC1DE2"/>
    <w:rsid w:val="00BC2E95"/>
    <w:rsid w:val="00BC4487"/>
    <w:rsid w:val="00BD3E8D"/>
    <w:rsid w:val="00BD4DEB"/>
    <w:rsid w:val="00BD5B83"/>
    <w:rsid w:val="00BE3A71"/>
    <w:rsid w:val="00BE42E7"/>
    <w:rsid w:val="00BF32EF"/>
    <w:rsid w:val="00BF4CCA"/>
    <w:rsid w:val="00BF5302"/>
    <w:rsid w:val="00BF67B9"/>
    <w:rsid w:val="00C03E91"/>
    <w:rsid w:val="00C06460"/>
    <w:rsid w:val="00C06FAF"/>
    <w:rsid w:val="00C17275"/>
    <w:rsid w:val="00C17D49"/>
    <w:rsid w:val="00C203D9"/>
    <w:rsid w:val="00C230E5"/>
    <w:rsid w:val="00C24C2D"/>
    <w:rsid w:val="00C25F41"/>
    <w:rsid w:val="00C34450"/>
    <w:rsid w:val="00C34987"/>
    <w:rsid w:val="00C37A66"/>
    <w:rsid w:val="00C417E5"/>
    <w:rsid w:val="00C46ECD"/>
    <w:rsid w:val="00C5118E"/>
    <w:rsid w:val="00C554E4"/>
    <w:rsid w:val="00C62259"/>
    <w:rsid w:val="00C630BC"/>
    <w:rsid w:val="00C7208F"/>
    <w:rsid w:val="00C74963"/>
    <w:rsid w:val="00C74F9C"/>
    <w:rsid w:val="00C754F3"/>
    <w:rsid w:val="00C80229"/>
    <w:rsid w:val="00C83217"/>
    <w:rsid w:val="00C85BB3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5979"/>
    <w:rsid w:val="00CD7BB9"/>
    <w:rsid w:val="00CE61DB"/>
    <w:rsid w:val="00CE6496"/>
    <w:rsid w:val="00CF0B41"/>
    <w:rsid w:val="00CF194D"/>
    <w:rsid w:val="00CF22FE"/>
    <w:rsid w:val="00CF339C"/>
    <w:rsid w:val="00CF4B6A"/>
    <w:rsid w:val="00D00535"/>
    <w:rsid w:val="00D049F5"/>
    <w:rsid w:val="00D06240"/>
    <w:rsid w:val="00D06313"/>
    <w:rsid w:val="00D06593"/>
    <w:rsid w:val="00D100D6"/>
    <w:rsid w:val="00D22535"/>
    <w:rsid w:val="00D27265"/>
    <w:rsid w:val="00D302FE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4713"/>
    <w:rsid w:val="00D95043"/>
    <w:rsid w:val="00DB1C3E"/>
    <w:rsid w:val="00DB1CA7"/>
    <w:rsid w:val="00DB2A39"/>
    <w:rsid w:val="00DB4B3B"/>
    <w:rsid w:val="00DC26B6"/>
    <w:rsid w:val="00DC66C5"/>
    <w:rsid w:val="00DC6759"/>
    <w:rsid w:val="00DC7876"/>
    <w:rsid w:val="00DD3FBD"/>
    <w:rsid w:val="00DD5303"/>
    <w:rsid w:val="00DE1D06"/>
    <w:rsid w:val="00DE5AD4"/>
    <w:rsid w:val="00DF0973"/>
    <w:rsid w:val="00DF0CC5"/>
    <w:rsid w:val="00DF7C6D"/>
    <w:rsid w:val="00E01950"/>
    <w:rsid w:val="00E0299F"/>
    <w:rsid w:val="00E051D5"/>
    <w:rsid w:val="00E0715B"/>
    <w:rsid w:val="00E074C0"/>
    <w:rsid w:val="00E1022E"/>
    <w:rsid w:val="00E124A6"/>
    <w:rsid w:val="00E13154"/>
    <w:rsid w:val="00E13DEB"/>
    <w:rsid w:val="00E14C44"/>
    <w:rsid w:val="00E16485"/>
    <w:rsid w:val="00E248A6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A6150"/>
    <w:rsid w:val="00EB204E"/>
    <w:rsid w:val="00EB3212"/>
    <w:rsid w:val="00EC424A"/>
    <w:rsid w:val="00EC5074"/>
    <w:rsid w:val="00EF0322"/>
    <w:rsid w:val="00EF3E31"/>
    <w:rsid w:val="00F0147C"/>
    <w:rsid w:val="00F12589"/>
    <w:rsid w:val="00F22276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22C2"/>
    <w:rsid w:val="00F72496"/>
    <w:rsid w:val="00F734C2"/>
    <w:rsid w:val="00F73C77"/>
    <w:rsid w:val="00F75C48"/>
    <w:rsid w:val="00F76815"/>
    <w:rsid w:val="00F819C7"/>
    <w:rsid w:val="00F8798B"/>
    <w:rsid w:val="00F91D7F"/>
    <w:rsid w:val="00F93164"/>
    <w:rsid w:val="00F93B6D"/>
    <w:rsid w:val="00F94C63"/>
    <w:rsid w:val="00F96AE7"/>
    <w:rsid w:val="00FA290C"/>
    <w:rsid w:val="00FA4E6F"/>
    <w:rsid w:val="00FA4F73"/>
    <w:rsid w:val="00FB0DC7"/>
    <w:rsid w:val="00FB3FCA"/>
    <w:rsid w:val="00FC2E8F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C2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LightList-Accent51">
    <w:name w:val="Light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customStyle="1" w:styleId="ColorfulList-Accent11">
    <w:name w:val="Colorful List - Accent 1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NoSpacing">
    <w:name w:val="No Spacing"/>
    <w:uiPriority w:val="1"/>
    <w:qFormat/>
    <w:rsid w:val="00BF67B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F72496"/>
    <w:rPr>
      <w:sz w:val="20"/>
      <w:szCs w:val="20"/>
    </w:rPr>
  </w:style>
  <w:style w:type="character" w:customStyle="1" w:styleId="FootnoteTextChar">
    <w:name w:val="Footnote Text Char"/>
    <w:link w:val="FootnoteText"/>
    <w:rsid w:val="00F72496"/>
    <w:rPr>
      <w:lang w:eastAsia="en-US"/>
    </w:rPr>
  </w:style>
  <w:style w:type="character" w:styleId="FootnoteReference">
    <w:name w:val="footnote reference"/>
    <w:rsid w:val="00F724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9603-1637-45ED-9922-CB549975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2017-03-28T08:19:00Z</cp:lastPrinted>
  <dcterms:created xsi:type="dcterms:W3CDTF">2017-08-07T11:16:00Z</dcterms:created>
  <dcterms:modified xsi:type="dcterms:W3CDTF">2017-08-07T11:16:00Z</dcterms:modified>
</cp:coreProperties>
</file>