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  <w:r w:rsidRPr="004A0F61">
        <w:rPr>
          <w:rFonts w:ascii="Arial" w:hAnsi="Arial" w:cs="Arial"/>
          <w:b/>
          <w:noProof/>
          <w:lang w:val="en-US"/>
        </w:rPr>
        <w:drawing>
          <wp:inline distT="0" distB="0" distL="0" distR="0" wp14:anchorId="783CE021" wp14:editId="526F46F3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  <w:r w:rsidRPr="004A0F61">
        <w:rPr>
          <w:rFonts w:ascii="Arial" w:hAnsi="Arial" w:cs="Arial"/>
          <w:b/>
          <w:lang w:val="en-US"/>
        </w:rPr>
        <w:t>NATIONAL ASSEMBLY</w:t>
      </w:r>
    </w:p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4A0F61">
        <w:rPr>
          <w:rFonts w:ascii="Arial" w:hAnsi="Arial" w:cs="Arial"/>
          <w:b/>
          <w:lang w:val="en-US"/>
        </w:rPr>
        <w:t>QUESTION FOR WRITTEN REPLY</w:t>
      </w:r>
    </w:p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4A0F61">
        <w:rPr>
          <w:rFonts w:ascii="Arial" w:hAnsi="Arial" w:cs="Arial"/>
          <w:b/>
          <w:lang w:val="en-US"/>
        </w:rPr>
        <w:t xml:space="preserve">QUESTION NUMBER: </w:t>
      </w:r>
      <w:r w:rsidR="004A0F61" w:rsidRPr="004A0F61">
        <w:rPr>
          <w:rFonts w:ascii="Arial" w:hAnsi="Arial" w:cs="Arial"/>
          <w:b/>
          <w:lang w:val="en-US"/>
        </w:rPr>
        <w:t>1431</w:t>
      </w:r>
      <w:r w:rsidRPr="004A0F61">
        <w:rPr>
          <w:rFonts w:ascii="Arial" w:hAnsi="Arial" w:cs="Arial"/>
          <w:b/>
          <w:lang w:val="en-US"/>
        </w:rPr>
        <w:t xml:space="preserve"> [NW</w:t>
      </w:r>
      <w:r w:rsidR="004A0F61" w:rsidRPr="004A0F61">
        <w:rPr>
          <w:rFonts w:ascii="Arial" w:hAnsi="Arial" w:cs="Arial"/>
          <w:b/>
          <w:lang w:val="en-US"/>
        </w:rPr>
        <w:t>1732</w:t>
      </w:r>
      <w:r w:rsidRPr="004A0F61">
        <w:rPr>
          <w:rFonts w:ascii="Arial" w:hAnsi="Arial" w:cs="Arial"/>
          <w:b/>
          <w:lang w:val="en-US"/>
        </w:rPr>
        <w:t>E]</w:t>
      </w:r>
    </w:p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4A0F61">
        <w:rPr>
          <w:rFonts w:ascii="Arial" w:hAnsi="Arial" w:cs="Arial"/>
          <w:b/>
          <w:lang w:val="en-US"/>
        </w:rPr>
        <w:t xml:space="preserve">DATE OF PUBLICATION: </w:t>
      </w:r>
      <w:r w:rsidR="004A0F61" w:rsidRPr="004A0F61">
        <w:rPr>
          <w:rFonts w:ascii="Arial" w:hAnsi="Arial" w:cs="Arial"/>
          <w:b/>
          <w:lang w:val="en-US"/>
        </w:rPr>
        <w:t>2 JUNE 2017</w:t>
      </w:r>
    </w:p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p w:rsidR="004A0F61" w:rsidRPr="004A0F61" w:rsidRDefault="004A0F61" w:rsidP="004A0F61">
      <w:pPr>
        <w:spacing w:before="100" w:beforeAutospacing="1" w:after="100" w:afterAutospacing="1"/>
        <w:ind w:left="816" w:hanging="816"/>
        <w:rPr>
          <w:rFonts w:ascii="Arial" w:eastAsia="Calibri" w:hAnsi="Arial" w:cs="Arial"/>
          <w:lang w:val="en-ZA"/>
        </w:rPr>
      </w:pPr>
      <w:r w:rsidRPr="004A0F61">
        <w:rPr>
          <w:rFonts w:ascii="Arial" w:eastAsia="Calibri" w:hAnsi="Arial" w:cs="Arial"/>
          <w:b/>
          <w:lang w:val="en-ZA"/>
        </w:rPr>
        <w:t>1531.</w:t>
      </w:r>
      <w:r w:rsidRPr="004A0F61">
        <w:rPr>
          <w:rFonts w:ascii="Arial" w:eastAsia="Calibri" w:hAnsi="Arial" w:cs="Arial"/>
          <w:b/>
          <w:lang w:val="en-ZA"/>
        </w:rPr>
        <w:tab/>
        <w:t xml:space="preserve">Mr D J </w:t>
      </w:r>
      <w:proofErr w:type="spellStart"/>
      <w:r w:rsidRPr="004A0F61">
        <w:rPr>
          <w:rFonts w:ascii="Arial" w:eastAsia="Calibri" w:hAnsi="Arial" w:cs="Arial"/>
          <w:b/>
          <w:lang w:val="en-ZA"/>
        </w:rPr>
        <w:t>Maynier</w:t>
      </w:r>
      <w:proofErr w:type="spellEnd"/>
      <w:r w:rsidRPr="004A0F61">
        <w:rPr>
          <w:rFonts w:ascii="Arial" w:eastAsia="Calibri" w:hAnsi="Arial" w:cs="Arial"/>
          <w:b/>
          <w:lang w:val="en-ZA"/>
        </w:rPr>
        <w:t xml:space="preserve"> (DA) to ask the Minister of Finance:</w:t>
      </w:r>
    </w:p>
    <w:p w:rsidR="004A0F61" w:rsidRPr="004A0F61" w:rsidRDefault="004A0F61" w:rsidP="004A0F61">
      <w:pPr>
        <w:spacing w:before="100" w:beforeAutospacing="1" w:after="100" w:afterAutospacing="1"/>
        <w:ind w:left="811"/>
        <w:jc w:val="both"/>
        <w:outlineLvl w:val="0"/>
        <w:rPr>
          <w:rFonts w:ascii="Arial" w:eastAsia="Calibri" w:hAnsi="Arial" w:cs="Arial"/>
          <w:lang w:val="en-ZA"/>
        </w:rPr>
      </w:pPr>
      <w:r w:rsidRPr="004A0F61">
        <w:rPr>
          <w:rFonts w:ascii="Arial" w:eastAsia="Calibri" w:hAnsi="Arial" w:cs="Arial"/>
          <w:lang w:val="en-ZA"/>
        </w:rPr>
        <w:t xml:space="preserve">Whether the Financial Intelligence Centre referred any cases to law enforcement agencies (a) in each of the past six financial years and (b) since 1 April 2017; if so, what is the total number of cases that were </w:t>
      </w:r>
      <w:r w:rsidRPr="004A0F61">
        <w:rPr>
          <w:rFonts w:ascii="Arial" w:eastAsia="Calibri" w:hAnsi="Arial" w:cs="Arial"/>
          <w:lang w:val="af-ZA"/>
        </w:rPr>
        <w:t>referred</w:t>
      </w:r>
      <w:r w:rsidRPr="004A0F61">
        <w:rPr>
          <w:rFonts w:ascii="Arial" w:eastAsia="Calibri" w:hAnsi="Arial" w:cs="Arial"/>
          <w:lang w:val="en-ZA"/>
        </w:rPr>
        <w:t xml:space="preserve"> to (i) law enforcement agencies and (ii) each law enforcement agency in each of the specified financial years?</w:t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 w:rsidRPr="004A0F61">
        <w:rPr>
          <w:rFonts w:ascii="Arial" w:eastAsia="Calibri" w:hAnsi="Arial" w:cs="Arial"/>
          <w:lang w:val="en-ZA"/>
        </w:rPr>
        <w:t>NW1732E</w:t>
      </w:r>
    </w:p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4A0F61">
        <w:rPr>
          <w:rFonts w:ascii="Arial" w:hAnsi="Arial" w:cs="Arial"/>
          <w:b/>
          <w:lang w:val="en-US"/>
        </w:rPr>
        <w:t>REPLY:</w:t>
      </w:r>
    </w:p>
    <w:p w:rsidR="00642A1D" w:rsidRDefault="00642A1D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p w:rsidR="00A30D75" w:rsidRDefault="00A30D75" w:rsidP="001E665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lang w:val="en-US"/>
        </w:rPr>
      </w:pPr>
      <w:r w:rsidRPr="00A30D75">
        <w:rPr>
          <w:rFonts w:ascii="Arial" w:hAnsi="Arial" w:cs="Arial"/>
          <w:lang w:val="en-US"/>
        </w:rPr>
        <w:t xml:space="preserve">The Financial </w:t>
      </w:r>
      <w:r w:rsidR="004A4456">
        <w:rPr>
          <w:rFonts w:ascii="Arial" w:hAnsi="Arial" w:cs="Arial"/>
          <w:lang w:val="en-US"/>
        </w:rPr>
        <w:t>I</w:t>
      </w:r>
      <w:r w:rsidRPr="00A30D75">
        <w:rPr>
          <w:rFonts w:ascii="Arial" w:hAnsi="Arial" w:cs="Arial"/>
          <w:lang w:val="en-US"/>
        </w:rPr>
        <w:t xml:space="preserve">ntelligence Centre refers information (financial intelligence) for investigation to law enforcement (SAPS), the tax authority, security services and regulators on an ongoing basis as part of the FICs regular function </w:t>
      </w:r>
      <w:r w:rsidR="00C55E19">
        <w:rPr>
          <w:rFonts w:ascii="Arial" w:hAnsi="Arial" w:cs="Arial"/>
          <w:lang w:val="en-US"/>
        </w:rPr>
        <w:t xml:space="preserve">as </w:t>
      </w:r>
      <w:r w:rsidR="001E6654">
        <w:rPr>
          <w:rFonts w:ascii="Arial" w:hAnsi="Arial" w:cs="Arial"/>
          <w:lang w:val="en-US"/>
        </w:rPr>
        <w:t>envisaged</w:t>
      </w:r>
      <w:r w:rsidRPr="00A30D75">
        <w:rPr>
          <w:rFonts w:ascii="Arial" w:hAnsi="Arial" w:cs="Arial"/>
          <w:lang w:val="en-US"/>
        </w:rPr>
        <w:t xml:space="preserve"> in section 40 of the Financial Intelligence Cent</w:t>
      </w:r>
      <w:r w:rsidR="004A4456">
        <w:rPr>
          <w:rFonts w:ascii="Arial" w:hAnsi="Arial" w:cs="Arial"/>
          <w:lang w:val="en-US"/>
        </w:rPr>
        <w:t>r</w:t>
      </w:r>
      <w:r w:rsidRPr="00A30D75">
        <w:rPr>
          <w:rFonts w:ascii="Arial" w:hAnsi="Arial" w:cs="Arial"/>
          <w:lang w:val="en-US"/>
        </w:rPr>
        <w:t>e</w:t>
      </w:r>
      <w:r w:rsidR="00C55E19">
        <w:rPr>
          <w:rFonts w:ascii="Arial" w:hAnsi="Arial" w:cs="Arial"/>
          <w:lang w:val="en-US"/>
        </w:rPr>
        <w:t xml:space="preserve"> A</w:t>
      </w:r>
      <w:r w:rsidRPr="00A30D75">
        <w:rPr>
          <w:rFonts w:ascii="Arial" w:hAnsi="Arial" w:cs="Arial"/>
          <w:lang w:val="en-US"/>
        </w:rPr>
        <w:t>ct 38 of 2001</w:t>
      </w:r>
      <w:r w:rsidR="004A4456">
        <w:rPr>
          <w:rFonts w:ascii="Arial" w:hAnsi="Arial" w:cs="Arial"/>
          <w:lang w:val="en-US"/>
        </w:rPr>
        <w:t>,</w:t>
      </w:r>
      <w:r w:rsidRPr="00A30D75">
        <w:rPr>
          <w:rFonts w:ascii="Arial" w:hAnsi="Arial" w:cs="Arial"/>
          <w:lang w:val="en-US"/>
        </w:rPr>
        <w:t xml:space="preserve"> as amended.</w:t>
      </w:r>
    </w:p>
    <w:p w:rsidR="00A30D75" w:rsidRDefault="00A30D75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A30D75" w:rsidRDefault="00A30D75" w:rsidP="001E665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FIC pro</w:t>
      </w:r>
      <w:r w:rsidR="00C55E19">
        <w:rPr>
          <w:rFonts w:ascii="Arial" w:hAnsi="Arial" w:cs="Arial"/>
          <w:lang w:val="en-US"/>
        </w:rPr>
        <w:t>vides statistical information about its referrals</w:t>
      </w:r>
      <w:r>
        <w:rPr>
          <w:rFonts w:ascii="Arial" w:hAnsi="Arial" w:cs="Arial"/>
          <w:lang w:val="en-US"/>
        </w:rPr>
        <w:t xml:space="preserve"> in </w:t>
      </w:r>
      <w:r w:rsidR="004A4456">
        <w:rPr>
          <w:rFonts w:ascii="Arial" w:hAnsi="Arial" w:cs="Arial"/>
          <w:lang w:val="en-US"/>
        </w:rPr>
        <w:t xml:space="preserve">each of </w:t>
      </w:r>
      <w:r>
        <w:rPr>
          <w:rFonts w:ascii="Arial" w:hAnsi="Arial" w:cs="Arial"/>
          <w:lang w:val="en-US"/>
        </w:rPr>
        <w:t xml:space="preserve">its </w:t>
      </w:r>
      <w:r w:rsidR="004A4456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nnual </w:t>
      </w:r>
      <w:r w:rsidR="004A4456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eport</w:t>
      </w:r>
      <w:r w:rsidR="004A4456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.</w:t>
      </w:r>
    </w:p>
    <w:p w:rsidR="00A30D75" w:rsidRDefault="00A30D75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E456E2" w:rsidRDefault="00A30D75" w:rsidP="001E665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Since the commencement of the 2011/2012 financial year</w:t>
      </w:r>
      <w:r w:rsidR="00E456E2">
        <w:rPr>
          <w:rFonts w:ascii="Arial" w:hAnsi="Arial" w:cs="Arial"/>
          <w:lang w:val="en-US"/>
        </w:rPr>
        <w:t xml:space="preserve"> until </w:t>
      </w:r>
      <w:r w:rsidR="004A4456">
        <w:rPr>
          <w:rFonts w:ascii="Arial" w:hAnsi="Arial" w:cs="Arial"/>
          <w:lang w:val="en-US"/>
        </w:rPr>
        <w:t xml:space="preserve">31 March </w:t>
      </w:r>
      <w:r w:rsidR="00E456E2">
        <w:rPr>
          <w:rFonts w:ascii="Arial" w:hAnsi="Arial" w:cs="Arial"/>
          <w:lang w:val="en-US"/>
        </w:rPr>
        <w:t>2017</w:t>
      </w:r>
      <w:r w:rsidR="00077360">
        <w:rPr>
          <w:rFonts w:ascii="Arial" w:hAnsi="Arial" w:cs="Arial"/>
          <w:lang w:val="en-US"/>
        </w:rPr>
        <w:t xml:space="preserve"> the FIC </w:t>
      </w:r>
      <w:r>
        <w:rPr>
          <w:rFonts w:ascii="Arial" w:hAnsi="Arial" w:cs="Arial"/>
          <w:lang w:val="en-US"/>
        </w:rPr>
        <w:t>referred</w:t>
      </w:r>
      <w:r w:rsidR="00E456E2">
        <w:rPr>
          <w:rFonts w:ascii="Arial" w:hAnsi="Arial" w:cs="Arial"/>
          <w:lang w:val="en-US"/>
        </w:rPr>
        <w:t xml:space="preserve"> at least </w:t>
      </w:r>
      <w:r w:rsidR="001E6654">
        <w:rPr>
          <w:rFonts w:ascii="Arial" w:hAnsi="Arial" w:cs="Arial"/>
          <w:lang w:val="en-US"/>
        </w:rPr>
        <w:t>5</w:t>
      </w:r>
      <w:r w:rsidR="004A4456">
        <w:rPr>
          <w:rFonts w:ascii="Arial" w:hAnsi="Arial" w:cs="Arial"/>
          <w:lang w:val="en-US"/>
        </w:rPr>
        <w:t>,</w:t>
      </w:r>
      <w:r w:rsidR="001E6654">
        <w:rPr>
          <w:rFonts w:ascii="Arial" w:hAnsi="Arial" w:cs="Arial"/>
          <w:lang w:val="en-US"/>
        </w:rPr>
        <w:t>230</w:t>
      </w:r>
      <w:r>
        <w:rPr>
          <w:rFonts w:ascii="Arial" w:hAnsi="Arial" w:cs="Arial"/>
          <w:lang w:val="en-US"/>
        </w:rPr>
        <w:t xml:space="preserve"> financial intelligence </w:t>
      </w:r>
      <w:r w:rsidR="00E456E2">
        <w:rPr>
          <w:rFonts w:ascii="Arial" w:hAnsi="Arial" w:cs="Arial"/>
          <w:lang w:val="en-US"/>
        </w:rPr>
        <w:t>report</w:t>
      </w:r>
      <w:r w:rsidR="001E6654">
        <w:rPr>
          <w:rFonts w:ascii="Arial" w:hAnsi="Arial" w:cs="Arial"/>
          <w:lang w:val="en-US"/>
        </w:rPr>
        <w:t>s</w:t>
      </w:r>
      <w:r w:rsidR="00E456E2">
        <w:rPr>
          <w:rFonts w:ascii="Arial" w:hAnsi="Arial" w:cs="Arial"/>
          <w:lang w:val="en-US"/>
        </w:rPr>
        <w:t xml:space="preserve"> to various </w:t>
      </w:r>
      <w:r w:rsidR="00077360">
        <w:rPr>
          <w:rFonts w:ascii="Arial" w:hAnsi="Arial" w:cs="Arial"/>
          <w:lang w:val="en-US"/>
        </w:rPr>
        <w:t>bodies</w:t>
      </w:r>
      <w:r w:rsidR="00E456E2">
        <w:rPr>
          <w:rFonts w:ascii="Arial" w:hAnsi="Arial" w:cs="Arial"/>
          <w:lang w:val="en-US"/>
        </w:rPr>
        <w:t xml:space="preserve"> as defined in section 40 (1) of the FIC Act for investigation.</w:t>
      </w:r>
    </w:p>
    <w:p w:rsidR="00E456E2" w:rsidRDefault="00E456E2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A30D75" w:rsidRDefault="00077360" w:rsidP="001E665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the</w:t>
      </w:r>
      <w:r w:rsidR="00E456E2">
        <w:rPr>
          <w:rFonts w:ascii="Arial" w:hAnsi="Arial" w:cs="Arial"/>
          <w:lang w:val="en-US"/>
        </w:rPr>
        <w:t xml:space="preserve"> </w:t>
      </w:r>
      <w:r w:rsidR="001E6654">
        <w:rPr>
          <w:rFonts w:ascii="Arial" w:hAnsi="Arial" w:cs="Arial"/>
          <w:lang w:val="en-US"/>
        </w:rPr>
        <w:t>5</w:t>
      </w:r>
      <w:r w:rsidR="004A4456">
        <w:rPr>
          <w:rFonts w:ascii="Arial" w:hAnsi="Arial" w:cs="Arial"/>
          <w:lang w:val="en-US"/>
        </w:rPr>
        <w:t>,</w:t>
      </w:r>
      <w:r w:rsidR="001E6654">
        <w:rPr>
          <w:rFonts w:ascii="Arial" w:hAnsi="Arial" w:cs="Arial"/>
          <w:lang w:val="en-US"/>
        </w:rPr>
        <w:t>230</w:t>
      </w:r>
      <w:r>
        <w:rPr>
          <w:rFonts w:ascii="Arial" w:hAnsi="Arial" w:cs="Arial"/>
          <w:lang w:val="en-US"/>
        </w:rPr>
        <w:t xml:space="preserve"> </w:t>
      </w:r>
      <w:r w:rsidR="001E6654">
        <w:rPr>
          <w:rFonts w:ascii="Arial" w:hAnsi="Arial" w:cs="Arial"/>
          <w:lang w:val="en-US"/>
        </w:rPr>
        <w:t>referrals</w:t>
      </w:r>
      <w:r>
        <w:rPr>
          <w:rFonts w:ascii="Arial" w:hAnsi="Arial" w:cs="Arial"/>
          <w:lang w:val="en-US"/>
        </w:rPr>
        <w:t xml:space="preserve"> </w:t>
      </w:r>
      <w:r w:rsidR="004A4456">
        <w:rPr>
          <w:rFonts w:ascii="Arial" w:hAnsi="Arial" w:cs="Arial"/>
          <w:lang w:val="en-US"/>
        </w:rPr>
        <w:t xml:space="preserve">stated </w:t>
      </w:r>
      <w:r>
        <w:rPr>
          <w:rFonts w:ascii="Arial" w:hAnsi="Arial" w:cs="Arial"/>
          <w:lang w:val="en-US"/>
        </w:rPr>
        <w:t>above</w:t>
      </w:r>
      <w:r w:rsidR="00E456E2">
        <w:rPr>
          <w:rFonts w:ascii="Arial" w:hAnsi="Arial" w:cs="Arial"/>
          <w:lang w:val="en-US"/>
        </w:rPr>
        <w:t xml:space="preserve">, </w:t>
      </w:r>
      <w:r w:rsidR="001E6654">
        <w:rPr>
          <w:rFonts w:ascii="Arial" w:hAnsi="Arial" w:cs="Arial"/>
          <w:lang w:val="en-US"/>
        </w:rPr>
        <w:t>733</w:t>
      </w:r>
      <w:r w:rsidR="00E456E2">
        <w:rPr>
          <w:rFonts w:ascii="Arial" w:hAnsi="Arial" w:cs="Arial"/>
          <w:lang w:val="en-US"/>
        </w:rPr>
        <w:t xml:space="preserve"> were </w:t>
      </w:r>
      <w:r>
        <w:rPr>
          <w:rFonts w:ascii="Arial" w:hAnsi="Arial" w:cs="Arial"/>
          <w:lang w:val="en-US"/>
        </w:rPr>
        <w:t>disseminated</w:t>
      </w:r>
      <w:r w:rsidR="00E456E2">
        <w:rPr>
          <w:rFonts w:ascii="Arial" w:hAnsi="Arial" w:cs="Arial"/>
          <w:lang w:val="en-US"/>
        </w:rPr>
        <w:t xml:space="preserve"> </w:t>
      </w:r>
      <w:r w:rsidR="004A4456">
        <w:rPr>
          <w:rFonts w:ascii="Arial" w:hAnsi="Arial" w:cs="Arial"/>
          <w:lang w:val="en-US"/>
        </w:rPr>
        <w:t xml:space="preserve">for investigation </w:t>
      </w:r>
      <w:r w:rsidR="00E456E2">
        <w:rPr>
          <w:rFonts w:ascii="Arial" w:hAnsi="Arial" w:cs="Arial"/>
          <w:lang w:val="en-US"/>
        </w:rPr>
        <w:t xml:space="preserve">to </w:t>
      </w:r>
      <w:r w:rsidR="004A4456">
        <w:rPr>
          <w:rFonts w:ascii="Arial" w:hAnsi="Arial" w:cs="Arial"/>
          <w:lang w:val="en-US"/>
        </w:rPr>
        <w:t xml:space="preserve">the </w:t>
      </w:r>
      <w:r w:rsidR="00E456E2">
        <w:rPr>
          <w:rFonts w:ascii="Arial" w:hAnsi="Arial" w:cs="Arial"/>
          <w:lang w:val="en-US"/>
        </w:rPr>
        <w:t xml:space="preserve">law enforcement </w:t>
      </w:r>
      <w:r w:rsidR="004A4456">
        <w:rPr>
          <w:rFonts w:ascii="Arial" w:hAnsi="Arial" w:cs="Arial"/>
          <w:lang w:val="en-US"/>
        </w:rPr>
        <w:t xml:space="preserve">authorities - </w:t>
      </w:r>
      <w:r w:rsidR="00E456E2">
        <w:rPr>
          <w:rFonts w:ascii="Arial" w:hAnsi="Arial" w:cs="Arial"/>
          <w:lang w:val="en-US"/>
        </w:rPr>
        <w:t xml:space="preserve">i.e. </w:t>
      </w:r>
      <w:r w:rsidR="004A4456">
        <w:rPr>
          <w:rFonts w:ascii="Arial" w:hAnsi="Arial" w:cs="Arial"/>
          <w:lang w:val="en-US"/>
        </w:rPr>
        <w:t>t</w:t>
      </w:r>
      <w:r w:rsidR="00E456E2">
        <w:rPr>
          <w:rFonts w:ascii="Arial" w:hAnsi="Arial" w:cs="Arial"/>
          <w:lang w:val="en-US"/>
        </w:rPr>
        <w:t>he South African Police Services (SAPS)</w:t>
      </w:r>
      <w:r w:rsidR="004A4456">
        <w:rPr>
          <w:rFonts w:ascii="Arial" w:hAnsi="Arial" w:cs="Arial"/>
          <w:lang w:val="en-US"/>
        </w:rPr>
        <w:t>,</w:t>
      </w:r>
      <w:r w:rsidR="00E456E2">
        <w:rPr>
          <w:rFonts w:ascii="Arial" w:hAnsi="Arial" w:cs="Arial"/>
          <w:lang w:val="en-US"/>
        </w:rPr>
        <w:t xml:space="preserve"> inclusive of the Directorate of Priority Crime Investigation (DPCI) and the Crime Intelligence Division (CI)</w:t>
      </w:r>
      <w:r w:rsidR="006F4F83">
        <w:rPr>
          <w:rFonts w:ascii="Arial" w:hAnsi="Arial" w:cs="Arial"/>
          <w:lang w:val="en-US"/>
        </w:rPr>
        <w:t>.</w:t>
      </w:r>
    </w:p>
    <w:p w:rsidR="00E456E2" w:rsidRDefault="00E456E2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077360" w:rsidRDefault="00077360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077360" w:rsidRDefault="00077360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077360" w:rsidRDefault="00077360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077360" w:rsidRDefault="00077360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077360" w:rsidRDefault="00077360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077360" w:rsidRDefault="00077360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077360" w:rsidRDefault="00077360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p w:rsidR="00E456E2" w:rsidRDefault="00E456E2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Year on year statistics are tabulated below:</w:t>
      </w:r>
    </w:p>
    <w:p w:rsidR="00E456E2" w:rsidRDefault="00E456E2" w:rsidP="00A30D7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10"/>
        <w:gridCol w:w="10"/>
        <w:gridCol w:w="3021"/>
      </w:tblGrid>
      <w:tr w:rsidR="00E456E2" w:rsidTr="00B919D3">
        <w:tc>
          <w:tcPr>
            <w:tcW w:w="3022" w:type="dxa"/>
          </w:tcPr>
          <w:p w:rsidR="00E456E2" w:rsidRDefault="00E456E2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</w:t>
            </w:r>
          </w:p>
        </w:tc>
        <w:tc>
          <w:tcPr>
            <w:tcW w:w="3010" w:type="dxa"/>
          </w:tcPr>
          <w:p w:rsidR="00E456E2" w:rsidRDefault="00E456E2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Total referred </w:t>
            </w:r>
          </w:p>
        </w:tc>
        <w:tc>
          <w:tcPr>
            <w:tcW w:w="3031" w:type="dxa"/>
            <w:gridSpan w:val="2"/>
          </w:tcPr>
          <w:p w:rsidR="00E456E2" w:rsidRDefault="00E456E2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law enforcement</w:t>
            </w:r>
          </w:p>
        </w:tc>
      </w:tr>
      <w:tr w:rsidR="00E456E2" w:rsidTr="00B919D3">
        <w:tc>
          <w:tcPr>
            <w:tcW w:w="3022" w:type="dxa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2011/2012</w:t>
            </w:r>
          </w:p>
        </w:tc>
        <w:tc>
          <w:tcPr>
            <w:tcW w:w="3010" w:type="dxa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761</w:t>
            </w:r>
          </w:p>
        </w:tc>
        <w:tc>
          <w:tcPr>
            <w:tcW w:w="3031" w:type="dxa"/>
            <w:gridSpan w:val="2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</w:p>
        </w:tc>
      </w:tr>
      <w:tr w:rsidR="00E456E2" w:rsidTr="00B919D3">
        <w:tc>
          <w:tcPr>
            <w:tcW w:w="3022" w:type="dxa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2012/2013</w:t>
            </w:r>
          </w:p>
        </w:tc>
        <w:tc>
          <w:tcPr>
            <w:tcW w:w="3010" w:type="dxa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883</w:t>
            </w:r>
          </w:p>
        </w:tc>
        <w:tc>
          <w:tcPr>
            <w:tcW w:w="3031" w:type="dxa"/>
            <w:gridSpan w:val="2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</w:tr>
      <w:tr w:rsidR="00E456E2" w:rsidTr="00B919D3">
        <w:tc>
          <w:tcPr>
            <w:tcW w:w="3022" w:type="dxa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2013/2014</w:t>
            </w:r>
          </w:p>
        </w:tc>
        <w:tc>
          <w:tcPr>
            <w:tcW w:w="3010" w:type="dxa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883</w:t>
            </w:r>
          </w:p>
        </w:tc>
        <w:tc>
          <w:tcPr>
            <w:tcW w:w="3031" w:type="dxa"/>
            <w:gridSpan w:val="2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</w:t>
            </w:r>
          </w:p>
        </w:tc>
      </w:tr>
      <w:tr w:rsidR="00E456E2" w:rsidTr="00B919D3">
        <w:tc>
          <w:tcPr>
            <w:tcW w:w="3022" w:type="dxa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2014/2015</w:t>
            </w:r>
          </w:p>
        </w:tc>
        <w:tc>
          <w:tcPr>
            <w:tcW w:w="3010" w:type="dxa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870</w:t>
            </w:r>
          </w:p>
        </w:tc>
        <w:tc>
          <w:tcPr>
            <w:tcW w:w="3031" w:type="dxa"/>
            <w:gridSpan w:val="2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</w:tr>
      <w:tr w:rsidR="00E456E2" w:rsidTr="00B919D3">
        <w:tc>
          <w:tcPr>
            <w:tcW w:w="3022" w:type="dxa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2015/2016</w:t>
            </w:r>
          </w:p>
        </w:tc>
        <w:tc>
          <w:tcPr>
            <w:tcW w:w="3010" w:type="dxa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511</w:t>
            </w:r>
          </w:p>
        </w:tc>
        <w:tc>
          <w:tcPr>
            <w:tcW w:w="3031" w:type="dxa"/>
            <w:gridSpan w:val="2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</w:p>
        </w:tc>
      </w:tr>
      <w:tr w:rsidR="00E456E2" w:rsidTr="00B919D3">
        <w:tc>
          <w:tcPr>
            <w:tcW w:w="3022" w:type="dxa"/>
          </w:tcPr>
          <w:p w:rsidR="00E456E2" w:rsidRDefault="00077360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2016/2017</w:t>
            </w:r>
          </w:p>
        </w:tc>
        <w:tc>
          <w:tcPr>
            <w:tcW w:w="3010" w:type="dxa"/>
          </w:tcPr>
          <w:p w:rsidR="00E456E2" w:rsidRDefault="001E6654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4A4456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322</w:t>
            </w:r>
          </w:p>
        </w:tc>
        <w:tc>
          <w:tcPr>
            <w:tcW w:w="3031" w:type="dxa"/>
            <w:gridSpan w:val="2"/>
          </w:tcPr>
          <w:p w:rsidR="00E456E2" w:rsidRDefault="001E6654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211</w:t>
            </w:r>
          </w:p>
        </w:tc>
      </w:tr>
      <w:tr w:rsidR="00B54694" w:rsidTr="00B919D3">
        <w:tc>
          <w:tcPr>
            <w:tcW w:w="3022" w:type="dxa"/>
          </w:tcPr>
          <w:p w:rsidR="00B54694" w:rsidRDefault="00B54694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2017/2018 (April, May)</w:t>
            </w:r>
          </w:p>
        </w:tc>
        <w:tc>
          <w:tcPr>
            <w:tcW w:w="3010" w:type="dxa"/>
          </w:tcPr>
          <w:p w:rsidR="00B54694" w:rsidRDefault="00B54694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3031" w:type="dxa"/>
            <w:gridSpan w:val="2"/>
          </w:tcPr>
          <w:p w:rsidR="00B54694" w:rsidRDefault="00B54694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</w:tr>
      <w:tr w:rsidR="00B919D3" w:rsidTr="000F5D38">
        <w:tc>
          <w:tcPr>
            <w:tcW w:w="3022" w:type="dxa"/>
          </w:tcPr>
          <w:p w:rsidR="00B919D3" w:rsidRPr="005762CC" w:rsidRDefault="00B919D3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5762CC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20" w:type="dxa"/>
            <w:gridSpan w:val="2"/>
          </w:tcPr>
          <w:p w:rsidR="00B919D3" w:rsidRPr="005762CC" w:rsidRDefault="00B919D3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5762CC">
              <w:rPr>
                <w:rFonts w:ascii="Arial" w:hAnsi="Arial" w:cs="Arial"/>
                <w:b/>
                <w:lang w:val="en-US"/>
              </w:rPr>
              <w:t>5,279</w:t>
            </w:r>
          </w:p>
        </w:tc>
        <w:tc>
          <w:tcPr>
            <w:tcW w:w="3021" w:type="dxa"/>
          </w:tcPr>
          <w:p w:rsidR="00B919D3" w:rsidRPr="005762CC" w:rsidRDefault="00B919D3" w:rsidP="00A30D7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5762CC">
              <w:rPr>
                <w:rFonts w:ascii="Arial" w:hAnsi="Arial" w:cs="Arial"/>
                <w:b/>
                <w:lang w:val="en-US"/>
              </w:rPr>
              <w:t>754</w:t>
            </w:r>
          </w:p>
        </w:tc>
      </w:tr>
    </w:tbl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p w:rsidR="00642A1D" w:rsidRPr="00C55E19" w:rsidRDefault="00C55E19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  <w:r w:rsidRPr="00C55E19">
        <w:rPr>
          <w:rFonts w:ascii="Arial" w:hAnsi="Arial" w:cs="Arial"/>
          <w:lang w:val="en-US"/>
        </w:rPr>
        <w:t>End.</w:t>
      </w:r>
    </w:p>
    <w:p w:rsidR="00642A1D" w:rsidRPr="004A0F61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642A1D" w:rsidRPr="004A0F61" w:rsidSect="00695A9A">
      <w:pgSz w:w="11909" w:h="16834" w:code="9"/>
      <w:pgMar w:top="89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5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51215"/>
    <w:rsid w:val="00063BEC"/>
    <w:rsid w:val="000652CF"/>
    <w:rsid w:val="00077360"/>
    <w:rsid w:val="000B0B7B"/>
    <w:rsid w:val="00104D29"/>
    <w:rsid w:val="001131D9"/>
    <w:rsid w:val="00120022"/>
    <w:rsid w:val="001433AE"/>
    <w:rsid w:val="00166953"/>
    <w:rsid w:val="00175842"/>
    <w:rsid w:val="001837AD"/>
    <w:rsid w:val="001C51A3"/>
    <w:rsid w:val="001E6654"/>
    <w:rsid w:val="001E6902"/>
    <w:rsid w:val="001F223B"/>
    <w:rsid w:val="0021081B"/>
    <w:rsid w:val="00247658"/>
    <w:rsid w:val="00252C87"/>
    <w:rsid w:val="002549F9"/>
    <w:rsid w:val="00257D88"/>
    <w:rsid w:val="002722CF"/>
    <w:rsid w:val="002F5E69"/>
    <w:rsid w:val="00303310"/>
    <w:rsid w:val="00310C5A"/>
    <w:rsid w:val="00313CBD"/>
    <w:rsid w:val="00323CC8"/>
    <w:rsid w:val="00366412"/>
    <w:rsid w:val="003B5D8E"/>
    <w:rsid w:val="003F0AC4"/>
    <w:rsid w:val="004252E7"/>
    <w:rsid w:val="00433463"/>
    <w:rsid w:val="0048061D"/>
    <w:rsid w:val="00487065"/>
    <w:rsid w:val="004A0F61"/>
    <w:rsid w:val="004A4456"/>
    <w:rsid w:val="004A5ED5"/>
    <w:rsid w:val="004B4052"/>
    <w:rsid w:val="004C5679"/>
    <w:rsid w:val="004C7422"/>
    <w:rsid w:val="00501C0E"/>
    <w:rsid w:val="005141B3"/>
    <w:rsid w:val="00524983"/>
    <w:rsid w:val="00530F50"/>
    <w:rsid w:val="005762CC"/>
    <w:rsid w:val="005A30FB"/>
    <w:rsid w:val="005D14BE"/>
    <w:rsid w:val="00603762"/>
    <w:rsid w:val="00613FC6"/>
    <w:rsid w:val="00642A1D"/>
    <w:rsid w:val="00684AAB"/>
    <w:rsid w:val="00695A9A"/>
    <w:rsid w:val="006B1504"/>
    <w:rsid w:val="006B5828"/>
    <w:rsid w:val="006F4F83"/>
    <w:rsid w:val="00702034"/>
    <w:rsid w:val="00716D12"/>
    <w:rsid w:val="00736CFE"/>
    <w:rsid w:val="0076584C"/>
    <w:rsid w:val="0079063F"/>
    <w:rsid w:val="007B66A0"/>
    <w:rsid w:val="00807F57"/>
    <w:rsid w:val="00810D64"/>
    <w:rsid w:val="00814F3C"/>
    <w:rsid w:val="00823EA9"/>
    <w:rsid w:val="0087366B"/>
    <w:rsid w:val="0087557B"/>
    <w:rsid w:val="00892134"/>
    <w:rsid w:val="008B5B10"/>
    <w:rsid w:val="008D26AB"/>
    <w:rsid w:val="008D419D"/>
    <w:rsid w:val="0091205F"/>
    <w:rsid w:val="00927B1E"/>
    <w:rsid w:val="00956BFC"/>
    <w:rsid w:val="00957F87"/>
    <w:rsid w:val="0096291A"/>
    <w:rsid w:val="009A18A7"/>
    <w:rsid w:val="009D33D8"/>
    <w:rsid w:val="009D71C6"/>
    <w:rsid w:val="00A139DE"/>
    <w:rsid w:val="00A30D75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50AE"/>
    <w:rsid w:val="00B20992"/>
    <w:rsid w:val="00B409C6"/>
    <w:rsid w:val="00B54694"/>
    <w:rsid w:val="00B75338"/>
    <w:rsid w:val="00B919D3"/>
    <w:rsid w:val="00B940DF"/>
    <w:rsid w:val="00BA1416"/>
    <w:rsid w:val="00BB1CB3"/>
    <w:rsid w:val="00BC3017"/>
    <w:rsid w:val="00BE0961"/>
    <w:rsid w:val="00BF6291"/>
    <w:rsid w:val="00C02CE0"/>
    <w:rsid w:val="00C44C35"/>
    <w:rsid w:val="00C540F1"/>
    <w:rsid w:val="00C55E19"/>
    <w:rsid w:val="00CA56BB"/>
    <w:rsid w:val="00CB3CED"/>
    <w:rsid w:val="00CD717F"/>
    <w:rsid w:val="00D0120D"/>
    <w:rsid w:val="00D12DAF"/>
    <w:rsid w:val="00D252CF"/>
    <w:rsid w:val="00D26B3A"/>
    <w:rsid w:val="00D32984"/>
    <w:rsid w:val="00D71DE6"/>
    <w:rsid w:val="00D747FF"/>
    <w:rsid w:val="00DB6B3C"/>
    <w:rsid w:val="00E21152"/>
    <w:rsid w:val="00E26C88"/>
    <w:rsid w:val="00E32136"/>
    <w:rsid w:val="00E44AF7"/>
    <w:rsid w:val="00E456E2"/>
    <w:rsid w:val="00E6523B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38AD"/>
    <w:rsid w:val="00F1697A"/>
    <w:rsid w:val="00F24B8C"/>
    <w:rsid w:val="00F24EF0"/>
    <w:rsid w:val="00F34A34"/>
    <w:rsid w:val="00F44D10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171C-106A-46B7-BC62-3B61476F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2014-07-29T06:38:00Z</cp:lastPrinted>
  <dcterms:created xsi:type="dcterms:W3CDTF">2017-06-14T10:17:00Z</dcterms:created>
  <dcterms:modified xsi:type="dcterms:W3CDTF">2017-06-14T10:17:00Z</dcterms:modified>
</cp:coreProperties>
</file>