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87" w:rsidRPr="00AA58DB" w:rsidRDefault="00734A87" w:rsidP="006F501B">
      <w:pPr>
        <w:tabs>
          <w:tab w:val="left" w:pos="142"/>
        </w:tabs>
        <w:jc w:val="center"/>
        <w:rPr>
          <w:rFonts w:eastAsia="Calibri"/>
          <w:bCs/>
          <w:sz w:val="22"/>
          <w:szCs w:val="22"/>
          <w:lang w:val="en-ZA" w:eastAsia="en-US"/>
        </w:rPr>
      </w:pPr>
      <w:bookmarkStart w:id="0" w:name="_GoBack"/>
      <w:bookmarkEnd w:id="0"/>
      <w:r w:rsidRPr="00AA58DB">
        <w:rPr>
          <w:rFonts w:eastAsia="Calibri"/>
          <w:b/>
          <w:bCs/>
          <w:sz w:val="22"/>
          <w:szCs w:val="22"/>
          <w:lang w:val="en-ZA" w:eastAsia="en-US"/>
        </w:rPr>
        <w:t>NATIONAL ASSEMBLY</w:t>
      </w:r>
    </w:p>
    <w:p w:rsidR="00734A87" w:rsidRPr="00AA58DB" w:rsidRDefault="00734A87" w:rsidP="006F501B">
      <w:pPr>
        <w:tabs>
          <w:tab w:val="left" w:pos="142"/>
        </w:tabs>
        <w:jc w:val="center"/>
        <w:rPr>
          <w:rFonts w:eastAsia="Calibri"/>
          <w:b/>
          <w:bCs/>
          <w:sz w:val="22"/>
          <w:szCs w:val="22"/>
          <w:lang w:val="en-ZA" w:eastAsia="en-US"/>
        </w:rPr>
      </w:pPr>
      <w:r w:rsidRPr="00AA58DB">
        <w:rPr>
          <w:rFonts w:eastAsia="Calibri"/>
          <w:b/>
          <w:bCs/>
          <w:sz w:val="22"/>
          <w:szCs w:val="22"/>
          <w:lang w:val="en-ZA" w:eastAsia="en-US"/>
        </w:rPr>
        <w:t>WRITTEN REPLY</w:t>
      </w:r>
    </w:p>
    <w:p w:rsidR="00734A87" w:rsidRPr="00AA58DB" w:rsidRDefault="00734A87" w:rsidP="006F501B">
      <w:pPr>
        <w:tabs>
          <w:tab w:val="left" w:pos="142"/>
        </w:tabs>
        <w:jc w:val="both"/>
        <w:rPr>
          <w:rFonts w:eastAsia="Calibri"/>
          <w:b/>
          <w:bCs/>
          <w:sz w:val="22"/>
          <w:szCs w:val="22"/>
          <w:lang w:val="en-ZA" w:eastAsia="en-US"/>
        </w:rPr>
      </w:pPr>
    </w:p>
    <w:p w:rsidR="00734A87" w:rsidRPr="006F501B" w:rsidRDefault="00734A87" w:rsidP="006F501B">
      <w:pPr>
        <w:tabs>
          <w:tab w:val="left" w:pos="142"/>
        </w:tabs>
        <w:jc w:val="both"/>
        <w:rPr>
          <w:rFonts w:eastAsia="Calibri"/>
          <w:bCs/>
          <w:lang w:val="en-ZA" w:eastAsia="en-US"/>
        </w:rPr>
      </w:pPr>
      <w:r w:rsidRPr="006F501B">
        <w:rPr>
          <w:rFonts w:eastAsia="Calibri"/>
          <w:b/>
          <w:bCs/>
          <w:lang w:val="en-ZA" w:eastAsia="en-US"/>
        </w:rPr>
        <w:t>QUESTION 1529</w:t>
      </w:r>
    </w:p>
    <w:p w:rsidR="00734A87" w:rsidRPr="006F501B" w:rsidRDefault="00734A87" w:rsidP="006F501B">
      <w:pPr>
        <w:tabs>
          <w:tab w:val="left" w:pos="142"/>
        </w:tabs>
        <w:jc w:val="both"/>
        <w:rPr>
          <w:rFonts w:eastAsia="Calibri"/>
          <w:bCs/>
          <w:lang w:val="en-ZA" w:eastAsia="en-US"/>
        </w:rPr>
      </w:pPr>
      <w:r w:rsidRPr="006F501B">
        <w:rPr>
          <w:rFonts w:eastAsia="Calibri"/>
          <w:bCs/>
          <w:lang w:val="en-ZA" w:eastAsia="en-US"/>
        </w:rPr>
        <w:t> </w:t>
      </w:r>
    </w:p>
    <w:p w:rsidR="00F16FBC" w:rsidRPr="006F501B" w:rsidRDefault="00734A87" w:rsidP="006F501B">
      <w:pPr>
        <w:tabs>
          <w:tab w:val="left" w:pos="142"/>
        </w:tabs>
        <w:jc w:val="both"/>
        <w:rPr>
          <w:rFonts w:eastAsia="Calibri"/>
          <w:b/>
          <w:bCs/>
          <w:u w:val="single"/>
          <w:lang w:val="en-ZA" w:eastAsia="en-US"/>
        </w:rPr>
      </w:pPr>
      <w:r w:rsidRPr="006F501B">
        <w:rPr>
          <w:rFonts w:eastAsia="Calibri"/>
          <w:b/>
          <w:bCs/>
          <w:u w:val="single"/>
          <w:lang w:val="en-ZA" w:eastAsia="en-US"/>
        </w:rPr>
        <w:t xml:space="preserve">INTERNAL QUESTION PAPER [No 15 - 2022 SIXTH </w:t>
      </w:r>
      <w:proofErr w:type="gramStart"/>
      <w:r w:rsidRPr="006F501B">
        <w:rPr>
          <w:rFonts w:eastAsia="Calibri"/>
          <w:b/>
          <w:bCs/>
          <w:u w:val="single"/>
          <w:lang w:val="en-ZA" w:eastAsia="en-US"/>
        </w:rPr>
        <w:t>PARLIAMENT</w:t>
      </w:r>
      <w:proofErr w:type="gramEnd"/>
      <w:r w:rsidRPr="006F501B">
        <w:rPr>
          <w:rFonts w:eastAsia="Calibri"/>
          <w:b/>
          <w:bCs/>
          <w:u w:val="single"/>
          <w:lang w:val="en-ZA" w:eastAsia="en-US"/>
        </w:rPr>
        <w:t>]</w:t>
      </w:r>
    </w:p>
    <w:p w:rsidR="00734A87" w:rsidRPr="006F501B" w:rsidRDefault="00734A87" w:rsidP="006F501B">
      <w:pPr>
        <w:tabs>
          <w:tab w:val="left" w:pos="142"/>
        </w:tabs>
        <w:jc w:val="both"/>
        <w:rPr>
          <w:rFonts w:eastAsia="Calibri"/>
          <w:b/>
          <w:bCs/>
          <w:u w:val="single"/>
          <w:lang w:val="en-ZA" w:eastAsia="en-US"/>
        </w:rPr>
      </w:pPr>
      <w:r w:rsidRPr="006F501B">
        <w:rPr>
          <w:rFonts w:eastAsia="Calibri"/>
          <w:b/>
          <w:bCs/>
          <w:u w:val="single"/>
          <w:lang w:val="en-ZA" w:eastAsia="en-US"/>
        </w:rPr>
        <w:t>DATE OF PUBLICATION: 29 APRIL 2022</w:t>
      </w:r>
    </w:p>
    <w:p w:rsidR="00734A87" w:rsidRPr="006F501B" w:rsidRDefault="00734A87" w:rsidP="006F501B">
      <w:pPr>
        <w:tabs>
          <w:tab w:val="left" w:pos="142"/>
        </w:tabs>
        <w:jc w:val="both"/>
        <w:rPr>
          <w:rFonts w:eastAsia="Calibri"/>
          <w:b/>
          <w:bCs/>
          <w:lang w:val="en-ZA" w:eastAsia="en-US"/>
        </w:rPr>
      </w:pPr>
    </w:p>
    <w:p w:rsidR="00734A87" w:rsidRPr="006F501B" w:rsidRDefault="00734A87" w:rsidP="006F501B">
      <w:pPr>
        <w:tabs>
          <w:tab w:val="left" w:pos="142"/>
        </w:tabs>
        <w:jc w:val="both"/>
        <w:rPr>
          <w:rFonts w:eastAsia="Calibri"/>
          <w:b/>
          <w:bCs/>
          <w:lang w:val="en-ZA" w:eastAsia="en-US"/>
        </w:rPr>
      </w:pPr>
      <w:r w:rsidRPr="006F501B">
        <w:rPr>
          <w:rFonts w:eastAsia="Calibri"/>
          <w:b/>
          <w:bCs/>
          <w:lang w:val="en-US" w:eastAsia="en-US"/>
        </w:rPr>
        <w:t>1529</w:t>
      </w:r>
      <w:r w:rsidRPr="006F501B">
        <w:rPr>
          <w:rFonts w:eastAsia="Calibri"/>
          <w:b/>
          <w:bCs/>
          <w:lang w:val="en-ZA" w:eastAsia="en-US"/>
        </w:rPr>
        <w:t xml:space="preserve">. Mr N S </w:t>
      </w:r>
      <w:proofErr w:type="spellStart"/>
      <w:r w:rsidRPr="006F501B">
        <w:rPr>
          <w:rFonts w:eastAsia="Calibri"/>
          <w:b/>
          <w:bCs/>
          <w:lang w:val="en-ZA" w:eastAsia="en-US"/>
        </w:rPr>
        <w:t>Matiase</w:t>
      </w:r>
      <w:proofErr w:type="spellEnd"/>
      <w:r w:rsidRPr="006F501B">
        <w:rPr>
          <w:rFonts w:eastAsia="Calibri"/>
          <w:b/>
          <w:bCs/>
          <w:lang w:val="en-ZA" w:eastAsia="en-US"/>
        </w:rPr>
        <w:t xml:space="preserve"> (EFF) to ask the Minister of Agriculture, Land Reform and Rural </w:t>
      </w:r>
      <w:r w:rsidRPr="006F501B">
        <w:rPr>
          <w:rFonts w:eastAsia="Calibri"/>
          <w:b/>
          <w:bCs/>
          <w:lang w:val="en-US" w:eastAsia="en-US"/>
        </w:rPr>
        <w:t>Development</w:t>
      </w:r>
      <w:r w:rsidR="008756FE" w:rsidRPr="006F501B">
        <w:rPr>
          <w:rFonts w:eastAsia="Calibri"/>
          <w:b/>
          <w:bCs/>
          <w:lang w:val="en-US" w:eastAsia="en-US"/>
        </w:rPr>
        <w:fldChar w:fldCharType="begin"/>
      </w:r>
      <w:r w:rsidRPr="006F501B">
        <w:rPr>
          <w:rFonts w:eastAsia="Calibri"/>
          <w:bCs/>
          <w:lang w:val="en-ZA" w:eastAsia="en-US"/>
        </w:rPr>
        <w:instrText xml:space="preserve"> XE "</w:instrText>
      </w:r>
      <w:r w:rsidRPr="006F501B">
        <w:rPr>
          <w:rFonts w:eastAsia="Calibri"/>
          <w:b/>
          <w:bCs/>
          <w:lang w:val="en-ZA" w:eastAsia="en-US"/>
        </w:rPr>
        <w:instrText>Agriculture, Land Reform and Rural Development</w:instrText>
      </w:r>
      <w:r w:rsidRPr="006F501B">
        <w:rPr>
          <w:rFonts w:eastAsia="Calibri"/>
          <w:bCs/>
          <w:lang w:val="en-ZA" w:eastAsia="en-US"/>
        </w:rPr>
        <w:instrText xml:space="preserve">" </w:instrText>
      </w:r>
      <w:r w:rsidR="008756FE" w:rsidRPr="006F501B">
        <w:rPr>
          <w:rFonts w:eastAsia="Calibri"/>
          <w:b/>
          <w:bCs/>
          <w:lang w:val="en-US" w:eastAsia="en-US"/>
        </w:rPr>
        <w:fldChar w:fldCharType="end"/>
      </w:r>
      <w:r w:rsidRPr="006F501B">
        <w:rPr>
          <w:rFonts w:eastAsia="Calibri"/>
          <w:b/>
          <w:bCs/>
          <w:lang w:val="en-ZA" w:eastAsia="en-US"/>
        </w:rPr>
        <w:t>:</w:t>
      </w:r>
    </w:p>
    <w:p w:rsidR="00734A87" w:rsidRPr="006F501B" w:rsidRDefault="00734A87" w:rsidP="006F501B">
      <w:pPr>
        <w:tabs>
          <w:tab w:val="left" w:pos="142"/>
        </w:tabs>
        <w:jc w:val="both"/>
        <w:rPr>
          <w:rFonts w:eastAsia="Calibri"/>
          <w:bCs/>
          <w:lang w:val="en-ZA" w:eastAsia="en-US"/>
        </w:rPr>
      </w:pPr>
    </w:p>
    <w:p w:rsidR="00734A87" w:rsidRPr="006F501B" w:rsidRDefault="00734A87" w:rsidP="006F501B">
      <w:pPr>
        <w:tabs>
          <w:tab w:val="left" w:pos="142"/>
        </w:tabs>
        <w:jc w:val="both"/>
        <w:rPr>
          <w:rFonts w:eastAsia="Calibri"/>
          <w:b/>
          <w:bCs/>
          <w:lang w:val="en-ZA" w:eastAsia="en-US"/>
        </w:rPr>
      </w:pPr>
      <w:r w:rsidRPr="006F501B">
        <w:rPr>
          <w:rFonts w:eastAsia="Calibri"/>
          <w:bCs/>
          <w:lang w:val="en-ZA" w:eastAsia="en-US"/>
        </w:rPr>
        <w:t>What plans have been implemented in the Poultry Sector Master Plan adopted in 2019, in order to mitigate the effects of the importation and/or dumping of chicken products from Brazil and European countries?</w:t>
      </w:r>
      <w:r w:rsidR="00AA58DB" w:rsidRPr="006F501B">
        <w:rPr>
          <w:rFonts w:eastAsia="Calibri"/>
          <w:bCs/>
          <w:lang w:val="en-ZA" w:eastAsia="en-US"/>
        </w:rPr>
        <w:t xml:space="preserve"> </w:t>
      </w:r>
      <w:r w:rsidR="00B428E9">
        <w:rPr>
          <w:rFonts w:eastAsia="Calibri"/>
          <w:bCs/>
          <w:lang w:val="en-ZA" w:eastAsia="en-US"/>
        </w:rPr>
        <w:t xml:space="preserve">                                                                                        </w:t>
      </w:r>
      <w:r w:rsidRPr="006F501B">
        <w:rPr>
          <w:rFonts w:eastAsia="Calibri"/>
          <w:b/>
          <w:bCs/>
          <w:lang w:val="en-ZA" w:eastAsia="en-US"/>
        </w:rPr>
        <w:t>NW1853E</w:t>
      </w:r>
    </w:p>
    <w:p w:rsidR="00734A87" w:rsidRPr="006F501B" w:rsidRDefault="00734A87" w:rsidP="006F501B">
      <w:pPr>
        <w:tabs>
          <w:tab w:val="left" w:pos="142"/>
        </w:tabs>
        <w:jc w:val="both"/>
        <w:rPr>
          <w:rFonts w:eastAsia="Calibri"/>
          <w:bCs/>
          <w:lang w:val="en-US" w:eastAsia="en-US"/>
        </w:rPr>
      </w:pPr>
    </w:p>
    <w:p w:rsidR="00734A87" w:rsidRPr="006F501B" w:rsidRDefault="00734A87" w:rsidP="006F501B">
      <w:pPr>
        <w:tabs>
          <w:tab w:val="left" w:pos="142"/>
        </w:tabs>
        <w:jc w:val="both"/>
        <w:rPr>
          <w:rFonts w:eastAsia="Calibri"/>
          <w:bCs/>
          <w:lang w:val="en-US" w:eastAsia="en-US"/>
        </w:rPr>
      </w:pPr>
      <w:r w:rsidRPr="006F501B">
        <w:rPr>
          <w:rFonts w:eastAsia="Calibri"/>
          <w:b/>
          <w:bCs/>
          <w:lang w:val="en-ZA" w:eastAsia="en-US"/>
        </w:rPr>
        <w:t>THE MINISTER OF AGRICULTURE, LAND REFORM AND RURAL DEVELOPMENT:</w:t>
      </w:r>
    </w:p>
    <w:p w:rsidR="00734A87" w:rsidRPr="006F501B" w:rsidRDefault="00734A87" w:rsidP="006F501B">
      <w:pPr>
        <w:tabs>
          <w:tab w:val="left" w:pos="142"/>
        </w:tabs>
        <w:jc w:val="both"/>
        <w:rPr>
          <w:rFonts w:eastAsia="Calibri"/>
          <w:b/>
          <w:bCs/>
          <w:lang w:val="en-ZA" w:eastAsia="en-US"/>
        </w:rPr>
      </w:pPr>
    </w:p>
    <w:p w:rsidR="00FE2783" w:rsidRPr="006F501B" w:rsidRDefault="00FE2783" w:rsidP="006F501B">
      <w:pPr>
        <w:tabs>
          <w:tab w:val="left" w:pos="142"/>
        </w:tabs>
        <w:jc w:val="both"/>
        <w:rPr>
          <w:rFonts w:eastAsia="Calibri"/>
          <w:bCs/>
          <w:lang w:val="en-ZA" w:eastAsia="en-US"/>
        </w:rPr>
      </w:pPr>
      <w:r w:rsidRPr="006F501B">
        <w:rPr>
          <w:rFonts w:eastAsia="Calibri"/>
          <w:bCs/>
          <w:lang w:val="en-ZA" w:eastAsia="en-US"/>
        </w:rPr>
        <w:t>The Department of Agriculture, Land Reform and Rural Development (DALRRD)</w:t>
      </w:r>
      <w:r w:rsidRPr="006F501B">
        <w:t xml:space="preserve"> </w:t>
      </w:r>
      <w:r w:rsidRPr="006F501B">
        <w:rPr>
          <w:rFonts w:eastAsia="Calibri"/>
          <w:bCs/>
          <w:lang w:val="en-ZA" w:eastAsia="en-US"/>
        </w:rPr>
        <w:t xml:space="preserve">contributes to the Poultry Master Plan mainly from the Sanitary and </w:t>
      </w:r>
      <w:proofErr w:type="spellStart"/>
      <w:r w:rsidRPr="006F501B">
        <w:rPr>
          <w:rFonts w:eastAsia="Calibri"/>
          <w:bCs/>
          <w:lang w:val="en-ZA" w:eastAsia="en-US"/>
        </w:rPr>
        <w:t>Phytosanitary</w:t>
      </w:r>
      <w:proofErr w:type="spellEnd"/>
      <w:r w:rsidRPr="006F501B">
        <w:rPr>
          <w:rFonts w:eastAsia="Calibri"/>
          <w:bCs/>
          <w:lang w:val="en-ZA" w:eastAsia="en-US"/>
        </w:rPr>
        <w:t xml:space="preserve"> point of view.  Veterinary guidelines relevant to poultry have been updated.  This is supplemented with training of developing poultry farmers to ensure their participation in the sector.  Challenges that are identified with some importing countries’ legislation are constantly being addressed to ensure compliance.</w:t>
      </w:r>
    </w:p>
    <w:p w:rsidR="00FE2783" w:rsidRPr="006F501B" w:rsidRDefault="00FE2783" w:rsidP="006F501B">
      <w:pPr>
        <w:tabs>
          <w:tab w:val="left" w:pos="142"/>
        </w:tabs>
        <w:jc w:val="both"/>
        <w:rPr>
          <w:rFonts w:eastAsia="Calibri"/>
          <w:bCs/>
          <w:lang w:val="en-ZA" w:eastAsia="en-US"/>
        </w:rPr>
      </w:pPr>
      <w:r w:rsidRPr="006F501B">
        <w:rPr>
          <w:rFonts w:eastAsia="Calibri"/>
          <w:bCs/>
          <w:lang w:val="en-ZA" w:eastAsia="en-US"/>
        </w:rPr>
        <w:t xml:space="preserve"> </w:t>
      </w:r>
    </w:p>
    <w:p w:rsidR="00FE2783" w:rsidRPr="006F501B" w:rsidRDefault="00D541D4" w:rsidP="006F501B">
      <w:pPr>
        <w:tabs>
          <w:tab w:val="left" w:pos="142"/>
        </w:tabs>
        <w:jc w:val="both"/>
        <w:rPr>
          <w:rFonts w:eastAsia="Calibri"/>
          <w:bCs/>
          <w:lang w:val="en-ZA" w:eastAsia="en-US"/>
        </w:rPr>
      </w:pPr>
      <w:r>
        <w:rPr>
          <w:rFonts w:eastAsia="Calibri"/>
          <w:bCs/>
          <w:lang w:val="en-ZA" w:eastAsia="en-US"/>
        </w:rPr>
        <w:t>DALRRD</w:t>
      </w:r>
      <w:r w:rsidR="00FE2783" w:rsidRPr="006F501B">
        <w:rPr>
          <w:rFonts w:eastAsia="Calibri"/>
          <w:bCs/>
          <w:lang w:val="en-ZA" w:eastAsia="en-US"/>
        </w:rPr>
        <w:t xml:space="preserve"> continues to encourage poultry producers to use existing compartments which are monitored on a regular basis.  An important market that has been identified includes</w:t>
      </w:r>
      <w:r w:rsidR="00FE2783" w:rsidRPr="006F501B">
        <w:rPr>
          <w:rFonts w:eastAsia="Calibri"/>
          <w:bCs/>
          <w:strike/>
          <w:lang w:val="en-ZA" w:eastAsia="en-US"/>
        </w:rPr>
        <w:t xml:space="preserve"> </w:t>
      </w:r>
      <w:r w:rsidR="00FE2783" w:rsidRPr="006F501B">
        <w:rPr>
          <w:rFonts w:eastAsia="Calibri"/>
          <w:bCs/>
          <w:lang w:val="en-ZA" w:eastAsia="en-US"/>
        </w:rPr>
        <w:t>Saudi Arabia and the questions they are asking are being addressed.  Heat treated poultry is now consistently being exported to the United Arab Emirates as a health certificate has now been agreed to.</w:t>
      </w:r>
    </w:p>
    <w:p w:rsidR="00FE2783" w:rsidRPr="006F501B" w:rsidRDefault="00FE2783" w:rsidP="006F501B">
      <w:pPr>
        <w:tabs>
          <w:tab w:val="left" w:pos="142"/>
        </w:tabs>
        <w:jc w:val="both"/>
        <w:rPr>
          <w:rFonts w:eastAsia="Calibri"/>
          <w:bCs/>
          <w:lang w:val="en-ZA" w:eastAsia="en-US"/>
        </w:rPr>
      </w:pPr>
    </w:p>
    <w:p w:rsidR="00FE2783" w:rsidRPr="006F501B" w:rsidRDefault="00FE2783" w:rsidP="006F501B">
      <w:pPr>
        <w:tabs>
          <w:tab w:val="left" w:pos="142"/>
        </w:tabs>
        <w:jc w:val="both"/>
        <w:rPr>
          <w:rFonts w:eastAsia="Calibri"/>
          <w:bCs/>
          <w:lang w:val="en-ZA" w:eastAsia="en-US"/>
        </w:rPr>
      </w:pPr>
      <w:r w:rsidRPr="006F501B">
        <w:rPr>
          <w:rFonts w:eastAsia="Calibri"/>
          <w:bCs/>
          <w:lang w:val="en-ZA" w:eastAsia="en-US"/>
        </w:rPr>
        <w:t xml:space="preserve">The poultry industry and </w:t>
      </w:r>
      <w:r w:rsidR="00640DCA" w:rsidRPr="006F501B">
        <w:rPr>
          <w:rFonts w:eastAsia="Calibri"/>
          <w:bCs/>
          <w:lang w:val="en-ZA" w:eastAsia="en-US"/>
        </w:rPr>
        <w:t>DALRRD</w:t>
      </w:r>
      <w:r w:rsidRPr="006F501B">
        <w:rPr>
          <w:rFonts w:eastAsia="Calibri"/>
          <w:bCs/>
          <w:lang w:val="en-ZA" w:eastAsia="en-US"/>
        </w:rPr>
        <w:t xml:space="preserve"> are working on an acceptable residue monitoring programme to make it possible for more markets to be opened.  Recently, the United Kingdom has provided guidelines that will be taken into consideration as negotiations begin.  The Sub-Region has managed to open its doors for South African poultry despite concerns of outbreaks of Avian Influenza in some provinces.</w:t>
      </w:r>
    </w:p>
    <w:p w:rsidR="00FE2783" w:rsidRPr="006F501B" w:rsidRDefault="00FE2783" w:rsidP="006F501B">
      <w:pPr>
        <w:tabs>
          <w:tab w:val="left" w:pos="142"/>
        </w:tabs>
        <w:jc w:val="both"/>
        <w:rPr>
          <w:rFonts w:eastAsia="Calibri"/>
          <w:bCs/>
          <w:lang w:val="en-ZA" w:eastAsia="en-US"/>
        </w:rPr>
      </w:pPr>
    </w:p>
    <w:p w:rsidR="00FE2783" w:rsidRPr="006F501B" w:rsidRDefault="00FE2783" w:rsidP="006F501B">
      <w:pPr>
        <w:tabs>
          <w:tab w:val="left" w:pos="142"/>
        </w:tabs>
        <w:jc w:val="both"/>
        <w:rPr>
          <w:rFonts w:eastAsia="Calibri"/>
          <w:bCs/>
          <w:lang w:val="en-ZA" w:eastAsia="en-US"/>
        </w:rPr>
      </w:pPr>
      <w:r w:rsidRPr="006F501B">
        <w:rPr>
          <w:rFonts w:eastAsia="Calibri"/>
          <w:bCs/>
          <w:lang w:val="en-ZA" w:eastAsia="en-US"/>
        </w:rPr>
        <w:t>There are response mechanisms in place which are triggered whenever</w:t>
      </w:r>
      <w:r w:rsidRPr="006F501B">
        <w:rPr>
          <w:rFonts w:eastAsia="Calibri"/>
          <w:bCs/>
          <w:strike/>
          <w:lang w:val="en-ZA" w:eastAsia="en-US"/>
        </w:rPr>
        <w:t>;</w:t>
      </w:r>
      <w:r w:rsidRPr="006F501B">
        <w:rPr>
          <w:rFonts w:eastAsia="Calibri"/>
          <w:bCs/>
          <w:lang w:val="en-ZA" w:eastAsia="en-US"/>
        </w:rPr>
        <w:t xml:space="preserve"> there is a case of dumping from any of the country’s trade partners.  In the year since the Poultry Master Plan, a new tariff was put on imported poultry to provide protection to local production.  Industry complaints with regard to the observed dumping of bone-in chicken meat imports in the Southern African Customs Union market received a positive response in the form of Provisional Anti-Dumping duties imposed on the products in question. Anti-Dumping duties were imposed on the following countries by the International Trade Administration Commission (ITAC) between January and June 2022:</w:t>
      </w:r>
    </w:p>
    <w:p w:rsidR="00FE2783" w:rsidRPr="00AA58DB" w:rsidRDefault="00FE2783" w:rsidP="00AA58DB">
      <w:pPr>
        <w:tabs>
          <w:tab w:val="left" w:pos="142"/>
        </w:tabs>
        <w:spacing w:line="360" w:lineRule="auto"/>
        <w:jc w:val="both"/>
        <w:rPr>
          <w:rFonts w:eastAsia="Calibri"/>
          <w:bCs/>
          <w:sz w:val="20"/>
          <w:szCs w:val="20"/>
          <w:lang w:val="en-ZA"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660"/>
        <w:gridCol w:w="3544"/>
        <w:gridCol w:w="3969"/>
      </w:tblGrid>
      <w:tr w:rsidR="00FE2783" w:rsidRPr="00AA58DB" w:rsidTr="00B33C59">
        <w:tc>
          <w:tcPr>
            <w:tcW w:w="603" w:type="dxa"/>
            <w:shd w:val="clear" w:color="auto" w:fill="BFBFBF" w:themeFill="background1" w:themeFillShade="BF"/>
          </w:tcPr>
          <w:p w:rsidR="00FE2783" w:rsidRPr="00B428E9" w:rsidRDefault="00FE2783" w:rsidP="006F501B">
            <w:pPr>
              <w:tabs>
                <w:tab w:val="left" w:pos="142"/>
              </w:tabs>
              <w:jc w:val="both"/>
              <w:rPr>
                <w:rFonts w:eastAsia="Calibri"/>
                <w:b/>
                <w:bCs/>
                <w:color w:val="000000"/>
                <w:lang w:val="en-ZA" w:eastAsia="en-US"/>
              </w:rPr>
            </w:pPr>
            <w:r w:rsidRPr="00B428E9">
              <w:rPr>
                <w:rFonts w:eastAsia="Calibri"/>
                <w:b/>
                <w:bCs/>
                <w:color w:val="000000"/>
                <w:sz w:val="22"/>
                <w:szCs w:val="22"/>
                <w:lang w:val="en-ZA" w:eastAsia="en-US"/>
              </w:rPr>
              <w:t>No.</w:t>
            </w:r>
          </w:p>
        </w:tc>
        <w:tc>
          <w:tcPr>
            <w:tcW w:w="1660" w:type="dxa"/>
            <w:shd w:val="clear" w:color="auto" w:fill="BFBFBF" w:themeFill="background1" w:themeFillShade="BF"/>
          </w:tcPr>
          <w:p w:rsidR="00FE2783" w:rsidRPr="00B428E9" w:rsidRDefault="00FE2783" w:rsidP="006F501B">
            <w:pPr>
              <w:tabs>
                <w:tab w:val="left" w:pos="142"/>
              </w:tabs>
              <w:jc w:val="both"/>
              <w:rPr>
                <w:rFonts w:eastAsia="Calibri"/>
                <w:b/>
                <w:bCs/>
                <w:color w:val="000000"/>
                <w:lang w:val="en-ZA" w:eastAsia="en-US"/>
              </w:rPr>
            </w:pPr>
            <w:r w:rsidRPr="00B428E9">
              <w:rPr>
                <w:rFonts w:eastAsia="Calibri"/>
                <w:b/>
                <w:bCs/>
                <w:color w:val="000000"/>
                <w:sz w:val="22"/>
                <w:szCs w:val="22"/>
                <w:lang w:val="en-ZA" w:eastAsia="en-US"/>
              </w:rPr>
              <w:t>Country</w:t>
            </w:r>
          </w:p>
        </w:tc>
        <w:tc>
          <w:tcPr>
            <w:tcW w:w="3544" w:type="dxa"/>
            <w:shd w:val="clear" w:color="auto" w:fill="BFBFBF" w:themeFill="background1" w:themeFillShade="BF"/>
          </w:tcPr>
          <w:p w:rsidR="00FE2783" w:rsidRPr="00B428E9" w:rsidRDefault="00FE2783" w:rsidP="006F501B">
            <w:pPr>
              <w:tabs>
                <w:tab w:val="left" w:pos="142"/>
              </w:tabs>
              <w:jc w:val="both"/>
              <w:rPr>
                <w:rFonts w:eastAsia="Calibri"/>
                <w:b/>
                <w:bCs/>
                <w:color w:val="000000"/>
                <w:lang w:val="en-ZA" w:eastAsia="en-US"/>
              </w:rPr>
            </w:pPr>
            <w:r w:rsidRPr="00B428E9">
              <w:rPr>
                <w:rFonts w:eastAsia="Calibri"/>
                <w:b/>
                <w:bCs/>
                <w:color w:val="000000"/>
                <w:sz w:val="22"/>
                <w:szCs w:val="22"/>
                <w:lang w:val="en-ZA" w:eastAsia="en-US"/>
              </w:rPr>
              <w:t>Rate of Duty Prior to January 2022</w:t>
            </w:r>
          </w:p>
        </w:tc>
        <w:tc>
          <w:tcPr>
            <w:tcW w:w="3969" w:type="dxa"/>
            <w:shd w:val="clear" w:color="auto" w:fill="BFBFBF" w:themeFill="background1" w:themeFillShade="BF"/>
          </w:tcPr>
          <w:p w:rsidR="00FE2783" w:rsidRPr="00B428E9" w:rsidRDefault="00FE2783" w:rsidP="006F501B">
            <w:pPr>
              <w:tabs>
                <w:tab w:val="left" w:pos="142"/>
              </w:tabs>
              <w:jc w:val="both"/>
              <w:rPr>
                <w:rFonts w:eastAsia="Calibri"/>
                <w:b/>
                <w:bCs/>
                <w:color w:val="000000"/>
                <w:lang w:val="en-ZA" w:eastAsia="en-US"/>
              </w:rPr>
            </w:pPr>
            <w:r w:rsidRPr="00B428E9">
              <w:rPr>
                <w:rFonts w:eastAsia="Calibri"/>
                <w:b/>
                <w:bCs/>
                <w:color w:val="000000"/>
                <w:sz w:val="22"/>
                <w:szCs w:val="22"/>
                <w:lang w:val="en-ZA" w:eastAsia="en-US"/>
              </w:rPr>
              <w:t>New Anti-Dumping Duties from January 2022 to June 2022</w:t>
            </w:r>
          </w:p>
        </w:tc>
      </w:tr>
      <w:tr w:rsidR="00FE2783" w:rsidRPr="00AA58DB" w:rsidTr="009A2748">
        <w:tc>
          <w:tcPr>
            <w:tcW w:w="603" w:type="dxa"/>
          </w:tcPr>
          <w:p w:rsidR="00FE2783" w:rsidRPr="00B428E9" w:rsidRDefault="00FE2783" w:rsidP="006F501B">
            <w:pPr>
              <w:tabs>
                <w:tab w:val="left" w:pos="142"/>
              </w:tabs>
              <w:jc w:val="both"/>
              <w:rPr>
                <w:rFonts w:eastAsia="Calibri"/>
                <w:color w:val="000000"/>
                <w:lang w:val="en-ZA" w:eastAsia="en-US"/>
              </w:rPr>
            </w:pPr>
            <w:r w:rsidRPr="00B428E9">
              <w:rPr>
                <w:rFonts w:eastAsia="Calibri"/>
                <w:color w:val="000000"/>
                <w:sz w:val="22"/>
                <w:szCs w:val="22"/>
                <w:lang w:val="en-ZA" w:eastAsia="en-US"/>
              </w:rPr>
              <w:t>1</w:t>
            </w:r>
          </w:p>
        </w:tc>
        <w:tc>
          <w:tcPr>
            <w:tcW w:w="1660" w:type="dxa"/>
            <w:shd w:val="clear" w:color="auto" w:fill="auto"/>
          </w:tcPr>
          <w:p w:rsidR="00FE2783" w:rsidRPr="00B428E9" w:rsidRDefault="00FE2783" w:rsidP="006F501B">
            <w:pPr>
              <w:tabs>
                <w:tab w:val="left" w:pos="142"/>
              </w:tabs>
              <w:jc w:val="both"/>
              <w:rPr>
                <w:rFonts w:eastAsia="Calibri"/>
                <w:bCs/>
                <w:color w:val="000000"/>
                <w:lang w:val="en-ZA" w:eastAsia="en-US"/>
              </w:rPr>
            </w:pPr>
            <w:r w:rsidRPr="00B428E9">
              <w:rPr>
                <w:rFonts w:eastAsia="Calibri"/>
                <w:bCs/>
                <w:color w:val="000000"/>
                <w:sz w:val="22"/>
                <w:szCs w:val="22"/>
                <w:lang w:val="en-ZA" w:eastAsia="en-US"/>
              </w:rPr>
              <w:t>Brazil</w:t>
            </w:r>
          </w:p>
        </w:tc>
        <w:tc>
          <w:tcPr>
            <w:tcW w:w="3544" w:type="dxa"/>
            <w:shd w:val="clear" w:color="auto" w:fill="auto"/>
          </w:tcPr>
          <w:p w:rsidR="00FE2783" w:rsidRPr="00B428E9" w:rsidRDefault="00FE2783" w:rsidP="006F501B">
            <w:pPr>
              <w:tabs>
                <w:tab w:val="left" w:pos="142"/>
              </w:tabs>
              <w:jc w:val="both"/>
              <w:rPr>
                <w:rFonts w:eastAsia="Calibri"/>
                <w:bCs/>
                <w:color w:val="000000"/>
                <w:lang w:val="en-ZA" w:eastAsia="en-US"/>
              </w:rPr>
            </w:pPr>
            <w:r w:rsidRPr="00B428E9">
              <w:rPr>
                <w:rFonts w:eastAsia="Calibri"/>
                <w:bCs/>
                <w:color w:val="000000"/>
                <w:sz w:val="22"/>
                <w:szCs w:val="22"/>
                <w:lang w:val="en-ZA" w:eastAsia="en-US"/>
              </w:rPr>
              <w:t>MFN Duty of 62%</w:t>
            </w:r>
          </w:p>
        </w:tc>
        <w:tc>
          <w:tcPr>
            <w:tcW w:w="3969" w:type="dxa"/>
            <w:shd w:val="clear" w:color="auto" w:fill="auto"/>
          </w:tcPr>
          <w:p w:rsidR="00FE2783" w:rsidRPr="00B428E9" w:rsidRDefault="00FE2783" w:rsidP="006F501B">
            <w:pPr>
              <w:tabs>
                <w:tab w:val="left" w:pos="142"/>
              </w:tabs>
              <w:jc w:val="center"/>
              <w:rPr>
                <w:rFonts w:eastAsia="Calibri"/>
                <w:bCs/>
                <w:color w:val="000000"/>
                <w:lang w:val="en-ZA" w:eastAsia="en-US"/>
              </w:rPr>
            </w:pPr>
            <w:r w:rsidRPr="00B428E9">
              <w:rPr>
                <w:rFonts w:eastAsia="Calibri"/>
                <w:bCs/>
                <w:color w:val="000000"/>
                <w:sz w:val="22"/>
                <w:szCs w:val="22"/>
                <w:lang w:val="en-ZA" w:eastAsia="en-US"/>
              </w:rPr>
              <w:t>265%</w:t>
            </w:r>
          </w:p>
        </w:tc>
      </w:tr>
      <w:tr w:rsidR="00FE2783" w:rsidRPr="00AA58DB" w:rsidTr="009A2748">
        <w:tc>
          <w:tcPr>
            <w:tcW w:w="603" w:type="dxa"/>
          </w:tcPr>
          <w:p w:rsidR="00FE2783" w:rsidRPr="00B428E9" w:rsidRDefault="00FE2783" w:rsidP="006F501B">
            <w:pPr>
              <w:tabs>
                <w:tab w:val="left" w:pos="142"/>
              </w:tabs>
              <w:jc w:val="both"/>
              <w:rPr>
                <w:rFonts w:eastAsia="Calibri"/>
                <w:lang w:val="en-ZA" w:eastAsia="en-US"/>
              </w:rPr>
            </w:pPr>
            <w:r w:rsidRPr="00B428E9">
              <w:rPr>
                <w:rFonts w:eastAsia="Calibri"/>
                <w:sz w:val="22"/>
                <w:szCs w:val="22"/>
                <w:lang w:val="en-ZA" w:eastAsia="en-US"/>
              </w:rPr>
              <w:t>2</w:t>
            </w:r>
          </w:p>
        </w:tc>
        <w:tc>
          <w:tcPr>
            <w:tcW w:w="1660" w:type="dxa"/>
            <w:shd w:val="clear" w:color="auto" w:fill="auto"/>
          </w:tcPr>
          <w:p w:rsidR="00FE2783" w:rsidRPr="00B428E9" w:rsidRDefault="00FE2783" w:rsidP="006F501B">
            <w:pPr>
              <w:tabs>
                <w:tab w:val="left" w:pos="142"/>
              </w:tabs>
              <w:jc w:val="both"/>
              <w:rPr>
                <w:rFonts w:eastAsia="Calibri"/>
                <w:bCs/>
                <w:lang w:val="en-ZA" w:eastAsia="en-US"/>
              </w:rPr>
            </w:pPr>
            <w:r w:rsidRPr="00B428E9">
              <w:rPr>
                <w:rFonts w:eastAsia="Calibri"/>
                <w:bCs/>
                <w:sz w:val="22"/>
                <w:szCs w:val="22"/>
                <w:lang w:val="en-ZA" w:eastAsia="en-US"/>
              </w:rPr>
              <w:t>Denmark</w:t>
            </w:r>
          </w:p>
        </w:tc>
        <w:tc>
          <w:tcPr>
            <w:tcW w:w="3544" w:type="dxa"/>
            <w:shd w:val="clear" w:color="auto" w:fill="auto"/>
          </w:tcPr>
          <w:p w:rsidR="00FE2783" w:rsidRPr="00B428E9" w:rsidRDefault="00FE2783" w:rsidP="006F501B">
            <w:pPr>
              <w:tabs>
                <w:tab w:val="left" w:pos="142"/>
              </w:tabs>
              <w:jc w:val="both"/>
              <w:rPr>
                <w:rFonts w:eastAsia="Calibri"/>
                <w:bCs/>
                <w:lang w:val="en-ZA" w:eastAsia="en-US"/>
              </w:rPr>
            </w:pPr>
            <w:r w:rsidRPr="00B428E9">
              <w:rPr>
                <w:rFonts w:eastAsia="Calibri"/>
                <w:bCs/>
                <w:sz w:val="22"/>
                <w:szCs w:val="22"/>
                <w:lang w:val="en-ZA" w:eastAsia="en-US"/>
              </w:rPr>
              <w:t>Duty free</w:t>
            </w:r>
          </w:p>
        </w:tc>
        <w:tc>
          <w:tcPr>
            <w:tcW w:w="3969" w:type="dxa"/>
            <w:shd w:val="clear" w:color="auto" w:fill="auto"/>
          </w:tcPr>
          <w:p w:rsidR="00FE2783" w:rsidRPr="00B428E9" w:rsidRDefault="00FE2783" w:rsidP="006F501B">
            <w:pPr>
              <w:tabs>
                <w:tab w:val="left" w:pos="142"/>
              </w:tabs>
              <w:jc w:val="center"/>
              <w:rPr>
                <w:rFonts w:eastAsia="Calibri"/>
                <w:bCs/>
                <w:lang w:val="en-ZA" w:eastAsia="en-US"/>
              </w:rPr>
            </w:pPr>
            <w:r w:rsidRPr="00B428E9">
              <w:rPr>
                <w:rFonts w:eastAsia="Calibri"/>
                <w:bCs/>
                <w:sz w:val="22"/>
                <w:szCs w:val="22"/>
                <w:lang w:val="en-ZA" w:eastAsia="en-US"/>
              </w:rPr>
              <w:t>67.4%</w:t>
            </w:r>
          </w:p>
        </w:tc>
      </w:tr>
      <w:tr w:rsidR="00FE2783" w:rsidRPr="00AA58DB" w:rsidTr="009A2748">
        <w:tc>
          <w:tcPr>
            <w:tcW w:w="603" w:type="dxa"/>
          </w:tcPr>
          <w:p w:rsidR="00FE2783" w:rsidRPr="00B428E9" w:rsidRDefault="00FE2783" w:rsidP="006F501B">
            <w:pPr>
              <w:tabs>
                <w:tab w:val="left" w:pos="142"/>
              </w:tabs>
              <w:jc w:val="both"/>
              <w:rPr>
                <w:rFonts w:eastAsia="Calibri"/>
                <w:lang w:val="en-ZA" w:eastAsia="en-US"/>
              </w:rPr>
            </w:pPr>
            <w:r w:rsidRPr="00B428E9">
              <w:rPr>
                <w:rFonts w:eastAsia="Calibri"/>
                <w:sz w:val="22"/>
                <w:szCs w:val="22"/>
                <w:lang w:val="en-ZA" w:eastAsia="en-US"/>
              </w:rPr>
              <w:t>3</w:t>
            </w:r>
          </w:p>
        </w:tc>
        <w:tc>
          <w:tcPr>
            <w:tcW w:w="1660" w:type="dxa"/>
            <w:shd w:val="clear" w:color="auto" w:fill="auto"/>
          </w:tcPr>
          <w:p w:rsidR="00FE2783" w:rsidRPr="00B428E9" w:rsidRDefault="00FE2783" w:rsidP="006F501B">
            <w:pPr>
              <w:tabs>
                <w:tab w:val="left" w:pos="142"/>
              </w:tabs>
              <w:jc w:val="both"/>
              <w:rPr>
                <w:rFonts w:eastAsia="Calibri"/>
                <w:bCs/>
                <w:lang w:val="en-ZA" w:eastAsia="en-US"/>
              </w:rPr>
            </w:pPr>
            <w:r w:rsidRPr="00B428E9">
              <w:rPr>
                <w:rFonts w:eastAsia="Calibri"/>
                <w:bCs/>
                <w:sz w:val="22"/>
                <w:szCs w:val="22"/>
                <w:lang w:val="en-ZA" w:eastAsia="en-US"/>
              </w:rPr>
              <w:t>Ireland</w:t>
            </w:r>
          </w:p>
        </w:tc>
        <w:tc>
          <w:tcPr>
            <w:tcW w:w="3544" w:type="dxa"/>
            <w:shd w:val="clear" w:color="auto" w:fill="auto"/>
          </w:tcPr>
          <w:p w:rsidR="00FE2783" w:rsidRPr="00B428E9" w:rsidRDefault="00FE2783" w:rsidP="006F501B">
            <w:pPr>
              <w:tabs>
                <w:tab w:val="left" w:pos="142"/>
              </w:tabs>
              <w:jc w:val="both"/>
              <w:rPr>
                <w:rFonts w:eastAsia="Calibri"/>
                <w:bCs/>
                <w:lang w:val="en-ZA" w:eastAsia="en-US"/>
              </w:rPr>
            </w:pPr>
            <w:r w:rsidRPr="00B428E9">
              <w:rPr>
                <w:rFonts w:eastAsia="Calibri"/>
                <w:bCs/>
                <w:sz w:val="22"/>
                <w:szCs w:val="22"/>
                <w:lang w:val="en-ZA" w:eastAsia="en-US"/>
              </w:rPr>
              <w:t>Duty free</w:t>
            </w:r>
          </w:p>
        </w:tc>
        <w:tc>
          <w:tcPr>
            <w:tcW w:w="3969" w:type="dxa"/>
            <w:shd w:val="clear" w:color="auto" w:fill="auto"/>
          </w:tcPr>
          <w:p w:rsidR="00FE2783" w:rsidRPr="00B428E9" w:rsidRDefault="00FE2783" w:rsidP="006F501B">
            <w:pPr>
              <w:tabs>
                <w:tab w:val="left" w:pos="142"/>
              </w:tabs>
              <w:jc w:val="center"/>
              <w:rPr>
                <w:rFonts w:eastAsia="Calibri"/>
                <w:bCs/>
                <w:lang w:val="en-ZA" w:eastAsia="en-US"/>
              </w:rPr>
            </w:pPr>
            <w:r w:rsidRPr="00B428E9">
              <w:rPr>
                <w:rFonts w:eastAsia="Calibri"/>
                <w:bCs/>
                <w:sz w:val="22"/>
                <w:szCs w:val="22"/>
                <w:lang w:val="en-ZA" w:eastAsia="en-US"/>
              </w:rPr>
              <w:t>158.4%</w:t>
            </w:r>
          </w:p>
        </w:tc>
      </w:tr>
      <w:tr w:rsidR="00FE2783" w:rsidRPr="00AA58DB" w:rsidTr="009A2748">
        <w:tc>
          <w:tcPr>
            <w:tcW w:w="603" w:type="dxa"/>
          </w:tcPr>
          <w:p w:rsidR="00FE2783" w:rsidRPr="00B428E9" w:rsidRDefault="00FE2783" w:rsidP="006F501B">
            <w:pPr>
              <w:tabs>
                <w:tab w:val="left" w:pos="142"/>
              </w:tabs>
              <w:jc w:val="both"/>
              <w:rPr>
                <w:rFonts w:eastAsia="Calibri"/>
                <w:lang w:val="en-ZA" w:eastAsia="en-US"/>
              </w:rPr>
            </w:pPr>
            <w:r w:rsidRPr="00B428E9">
              <w:rPr>
                <w:rFonts w:eastAsia="Calibri"/>
                <w:sz w:val="22"/>
                <w:szCs w:val="22"/>
                <w:lang w:val="en-ZA" w:eastAsia="en-US"/>
              </w:rPr>
              <w:t>4</w:t>
            </w:r>
          </w:p>
        </w:tc>
        <w:tc>
          <w:tcPr>
            <w:tcW w:w="1660" w:type="dxa"/>
            <w:shd w:val="clear" w:color="auto" w:fill="auto"/>
          </w:tcPr>
          <w:p w:rsidR="00FE2783" w:rsidRPr="00B428E9" w:rsidRDefault="00FE2783" w:rsidP="006F501B">
            <w:pPr>
              <w:tabs>
                <w:tab w:val="left" w:pos="142"/>
              </w:tabs>
              <w:jc w:val="both"/>
              <w:rPr>
                <w:rFonts w:eastAsia="Calibri"/>
                <w:bCs/>
                <w:lang w:val="en-ZA" w:eastAsia="en-US"/>
              </w:rPr>
            </w:pPr>
            <w:r w:rsidRPr="00B428E9">
              <w:rPr>
                <w:rFonts w:eastAsia="Calibri"/>
                <w:bCs/>
                <w:sz w:val="22"/>
                <w:szCs w:val="22"/>
                <w:lang w:val="en-ZA" w:eastAsia="en-US"/>
              </w:rPr>
              <w:t>Poland</w:t>
            </w:r>
          </w:p>
        </w:tc>
        <w:tc>
          <w:tcPr>
            <w:tcW w:w="3544" w:type="dxa"/>
            <w:shd w:val="clear" w:color="auto" w:fill="auto"/>
          </w:tcPr>
          <w:p w:rsidR="00FE2783" w:rsidRPr="00B428E9" w:rsidRDefault="00FE2783" w:rsidP="006F501B">
            <w:pPr>
              <w:tabs>
                <w:tab w:val="left" w:pos="142"/>
              </w:tabs>
              <w:jc w:val="both"/>
              <w:rPr>
                <w:rFonts w:eastAsia="Calibri"/>
                <w:bCs/>
                <w:lang w:val="en-ZA" w:eastAsia="en-US"/>
              </w:rPr>
            </w:pPr>
            <w:r w:rsidRPr="00B428E9">
              <w:rPr>
                <w:rFonts w:eastAsia="Calibri"/>
                <w:bCs/>
                <w:sz w:val="22"/>
                <w:szCs w:val="22"/>
                <w:lang w:val="en-ZA" w:eastAsia="en-US"/>
              </w:rPr>
              <w:t>Duty free</w:t>
            </w:r>
          </w:p>
        </w:tc>
        <w:tc>
          <w:tcPr>
            <w:tcW w:w="3969" w:type="dxa"/>
            <w:shd w:val="clear" w:color="auto" w:fill="auto"/>
          </w:tcPr>
          <w:p w:rsidR="00FE2783" w:rsidRPr="00B428E9" w:rsidRDefault="00FE2783" w:rsidP="006F501B">
            <w:pPr>
              <w:tabs>
                <w:tab w:val="left" w:pos="142"/>
              </w:tabs>
              <w:jc w:val="center"/>
              <w:rPr>
                <w:rFonts w:eastAsia="Calibri"/>
                <w:bCs/>
                <w:lang w:val="en-ZA" w:eastAsia="en-US"/>
              </w:rPr>
            </w:pPr>
            <w:r w:rsidRPr="00B428E9">
              <w:rPr>
                <w:rFonts w:eastAsia="Calibri"/>
                <w:bCs/>
                <w:sz w:val="22"/>
                <w:szCs w:val="22"/>
                <w:lang w:val="en-ZA" w:eastAsia="en-US"/>
              </w:rPr>
              <w:t>96.9%</w:t>
            </w:r>
          </w:p>
        </w:tc>
      </w:tr>
      <w:tr w:rsidR="00FE2783" w:rsidRPr="00AA58DB" w:rsidTr="009A2748">
        <w:tc>
          <w:tcPr>
            <w:tcW w:w="603" w:type="dxa"/>
          </w:tcPr>
          <w:p w:rsidR="00FE2783" w:rsidRPr="00B428E9" w:rsidRDefault="00FE2783" w:rsidP="006F501B">
            <w:pPr>
              <w:tabs>
                <w:tab w:val="left" w:pos="142"/>
              </w:tabs>
              <w:jc w:val="both"/>
              <w:rPr>
                <w:rFonts w:eastAsia="Calibri"/>
                <w:lang w:val="en-ZA" w:eastAsia="en-US"/>
              </w:rPr>
            </w:pPr>
            <w:r w:rsidRPr="00B428E9">
              <w:rPr>
                <w:rFonts w:eastAsia="Calibri"/>
                <w:sz w:val="22"/>
                <w:szCs w:val="22"/>
                <w:lang w:val="en-ZA" w:eastAsia="en-US"/>
              </w:rPr>
              <w:t>5</w:t>
            </w:r>
          </w:p>
        </w:tc>
        <w:tc>
          <w:tcPr>
            <w:tcW w:w="1660" w:type="dxa"/>
            <w:shd w:val="clear" w:color="auto" w:fill="auto"/>
          </w:tcPr>
          <w:p w:rsidR="00FE2783" w:rsidRPr="00B428E9" w:rsidRDefault="00FE2783" w:rsidP="006F501B">
            <w:pPr>
              <w:tabs>
                <w:tab w:val="left" w:pos="142"/>
              </w:tabs>
              <w:jc w:val="both"/>
              <w:rPr>
                <w:rFonts w:eastAsia="Calibri"/>
                <w:bCs/>
                <w:lang w:val="en-ZA" w:eastAsia="en-US"/>
              </w:rPr>
            </w:pPr>
            <w:r w:rsidRPr="00B428E9">
              <w:rPr>
                <w:rFonts w:eastAsia="Calibri"/>
                <w:bCs/>
                <w:sz w:val="22"/>
                <w:szCs w:val="22"/>
                <w:lang w:val="en-ZA" w:eastAsia="en-US"/>
              </w:rPr>
              <w:t>Spain</w:t>
            </w:r>
          </w:p>
        </w:tc>
        <w:tc>
          <w:tcPr>
            <w:tcW w:w="3544" w:type="dxa"/>
            <w:shd w:val="clear" w:color="auto" w:fill="auto"/>
          </w:tcPr>
          <w:p w:rsidR="00FE2783" w:rsidRPr="00B428E9" w:rsidRDefault="00FE2783" w:rsidP="006F501B">
            <w:pPr>
              <w:tabs>
                <w:tab w:val="left" w:pos="142"/>
              </w:tabs>
              <w:jc w:val="both"/>
              <w:rPr>
                <w:rFonts w:eastAsia="Calibri"/>
                <w:bCs/>
                <w:lang w:val="en-ZA" w:eastAsia="en-US"/>
              </w:rPr>
            </w:pPr>
            <w:r w:rsidRPr="00B428E9">
              <w:rPr>
                <w:rFonts w:eastAsia="Calibri"/>
                <w:bCs/>
                <w:sz w:val="22"/>
                <w:szCs w:val="22"/>
                <w:lang w:val="en-ZA" w:eastAsia="en-US"/>
              </w:rPr>
              <w:t>Duty free</w:t>
            </w:r>
          </w:p>
        </w:tc>
        <w:tc>
          <w:tcPr>
            <w:tcW w:w="3969" w:type="dxa"/>
            <w:shd w:val="clear" w:color="auto" w:fill="auto"/>
          </w:tcPr>
          <w:p w:rsidR="00FE2783" w:rsidRPr="00B428E9" w:rsidRDefault="00FE2783" w:rsidP="006F501B">
            <w:pPr>
              <w:tabs>
                <w:tab w:val="left" w:pos="142"/>
              </w:tabs>
              <w:jc w:val="center"/>
              <w:rPr>
                <w:rFonts w:eastAsia="Calibri"/>
                <w:bCs/>
                <w:lang w:val="en-ZA" w:eastAsia="en-US"/>
              </w:rPr>
            </w:pPr>
            <w:r w:rsidRPr="00B428E9">
              <w:rPr>
                <w:rFonts w:eastAsia="Calibri"/>
                <w:bCs/>
                <w:sz w:val="22"/>
                <w:szCs w:val="22"/>
                <w:lang w:val="en-ZA" w:eastAsia="en-US"/>
              </w:rPr>
              <w:t>85.8%</w:t>
            </w:r>
          </w:p>
        </w:tc>
      </w:tr>
    </w:tbl>
    <w:p w:rsidR="00FE2783" w:rsidRPr="00AA58DB" w:rsidRDefault="00FE2783" w:rsidP="00AA58DB">
      <w:pPr>
        <w:spacing w:line="360" w:lineRule="auto"/>
        <w:jc w:val="both"/>
        <w:rPr>
          <w:sz w:val="20"/>
          <w:szCs w:val="20"/>
        </w:rPr>
      </w:pPr>
    </w:p>
    <w:p w:rsidR="00FE2783" w:rsidRPr="006F501B" w:rsidRDefault="00FE2783" w:rsidP="006F501B">
      <w:pPr>
        <w:jc w:val="both"/>
      </w:pPr>
      <w:r w:rsidRPr="006F501B">
        <w:t xml:space="preserve">To support the implementation of the poultry master plan, DALRRD entered into </w:t>
      </w:r>
      <w:proofErr w:type="gramStart"/>
      <w:r w:rsidRPr="006F501B">
        <w:t>a collaboration</w:t>
      </w:r>
      <w:proofErr w:type="gramEnd"/>
      <w:r w:rsidRPr="006F501B">
        <w:t xml:space="preserve"> with the Industrial Development Corporation (IDC) to provide blended funding </w:t>
      </w:r>
      <w:r w:rsidRPr="006F501B">
        <w:lastRenderedPageBreak/>
        <w:t>to poultry producers and expand production to meet the local demand as well as for export</w:t>
      </w:r>
      <w:r w:rsidR="00D541D4">
        <w:t>s</w:t>
      </w:r>
      <w:r w:rsidRPr="006F501B">
        <w:t>. The IDC has funded 5 black commercial producers to date at a combined value of R152 million of which R77 million was the grant portion, creating 149 jobs. The five applicants were from Gauteng, Mpumalanga and KwaZulu</w:t>
      </w:r>
      <w:r w:rsidR="00640DCA" w:rsidRPr="006F501B">
        <w:t>-</w:t>
      </w:r>
      <w:r w:rsidRPr="006F501B">
        <w:t>Natal. Three of the approved transactions were poultry farm expansions with an average cycle of 430 000 chickens per cycle.</w:t>
      </w:r>
    </w:p>
    <w:p w:rsidR="00FE2783" w:rsidRPr="006F501B" w:rsidRDefault="00FE2783" w:rsidP="006F501B">
      <w:pPr>
        <w:jc w:val="both"/>
      </w:pPr>
    </w:p>
    <w:p w:rsidR="00FE2783" w:rsidRPr="006F501B" w:rsidRDefault="00FE2783" w:rsidP="006F501B">
      <w:pPr>
        <w:jc w:val="both"/>
      </w:pPr>
      <w:r w:rsidRPr="006F501B">
        <w:t>Furthermore, in the 2021/22 financial year, the DALRRD made available R130, 249 million f</w:t>
      </w:r>
      <w:r w:rsidR="00673787">
        <w:t>rom</w:t>
      </w:r>
      <w:r w:rsidRPr="006F501B">
        <w:t xml:space="preserve"> CASP and </w:t>
      </w:r>
      <w:proofErr w:type="spellStart"/>
      <w:r w:rsidRPr="006F501B">
        <w:t>Ilima</w:t>
      </w:r>
      <w:proofErr w:type="spellEnd"/>
      <w:r w:rsidRPr="006F501B">
        <w:t>/</w:t>
      </w:r>
      <w:proofErr w:type="spellStart"/>
      <w:r w:rsidRPr="006F501B">
        <w:t>Letsema</w:t>
      </w:r>
      <w:proofErr w:type="spellEnd"/>
      <w:r w:rsidRPr="006F501B">
        <w:t xml:space="preserve"> as shown in the table below. This investment was meant to support 3 857 poultry farmers with poultry structures, feed and medication, and create 2 183 </w:t>
      </w:r>
      <w:proofErr w:type="gramStart"/>
      <w:r w:rsidRPr="006F501B">
        <w:t>jobs</w:t>
      </w:r>
      <w:proofErr w:type="gramEnd"/>
      <w:r w:rsidRPr="006F501B">
        <w:t xml:space="preserve">; with an average cycle of 31 440 chickens per cycle. </w:t>
      </w:r>
      <w:proofErr w:type="gramStart"/>
      <w:r w:rsidRPr="006F501B">
        <w:t xml:space="preserve">The table </w:t>
      </w:r>
      <w:r w:rsidR="00D541D4">
        <w:t xml:space="preserve">below </w:t>
      </w:r>
      <w:r w:rsidRPr="006F501B">
        <w:t>further shows the planned outputs per province.</w:t>
      </w:r>
      <w:proofErr w:type="gramEnd"/>
      <w:r w:rsidRPr="006F501B">
        <w:t xml:space="preserve"> The </w:t>
      </w:r>
      <w:r w:rsidR="00D541D4">
        <w:t>P</w:t>
      </w:r>
      <w:r w:rsidRPr="006F501B">
        <w:t xml:space="preserve">rovincial </w:t>
      </w:r>
      <w:r w:rsidR="00D541D4">
        <w:t>D</w:t>
      </w:r>
      <w:r w:rsidRPr="006F501B">
        <w:t xml:space="preserve">epartments of </w:t>
      </w:r>
      <w:r w:rsidR="00D541D4">
        <w:t>A</w:t>
      </w:r>
      <w:r w:rsidRPr="006F501B">
        <w:t>griculture implement these programmes and the 2021/22 annual reports are being audited.</w:t>
      </w:r>
    </w:p>
    <w:p w:rsidR="00FE2783" w:rsidRPr="00AA58DB" w:rsidRDefault="00FE2783" w:rsidP="00AA58DB">
      <w:pPr>
        <w:spacing w:line="360" w:lineRule="auto"/>
        <w:rPr>
          <w:sz w:val="20"/>
          <w:szCs w:val="20"/>
        </w:rPr>
      </w:pPr>
    </w:p>
    <w:tbl>
      <w:tblPr>
        <w:tblW w:w="11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1087"/>
        <w:gridCol w:w="1407"/>
        <w:gridCol w:w="1914"/>
        <w:gridCol w:w="1701"/>
        <w:gridCol w:w="717"/>
        <w:gridCol w:w="1407"/>
        <w:gridCol w:w="738"/>
        <w:gridCol w:w="1116"/>
      </w:tblGrid>
      <w:tr w:rsidR="00AA58DB" w:rsidRPr="00AA58DB" w:rsidTr="00AA58DB">
        <w:trPr>
          <w:trHeight w:val="1641"/>
          <w:jc w:val="center"/>
        </w:trPr>
        <w:tc>
          <w:tcPr>
            <w:tcW w:w="1257"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Province</w:t>
            </w:r>
          </w:p>
        </w:tc>
        <w:tc>
          <w:tcPr>
            <w:tcW w:w="1087"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 xml:space="preserve">CASP Allocation R'000 </w:t>
            </w:r>
          </w:p>
        </w:tc>
        <w:tc>
          <w:tcPr>
            <w:tcW w:w="1407"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proofErr w:type="spellStart"/>
            <w:r w:rsidRPr="00AA58DB">
              <w:rPr>
                <w:b/>
                <w:bCs/>
                <w:color w:val="000000"/>
                <w:sz w:val="18"/>
                <w:szCs w:val="18"/>
                <w:lang w:eastAsia="en-ZA"/>
              </w:rPr>
              <w:t>Ilima</w:t>
            </w:r>
            <w:proofErr w:type="spellEnd"/>
            <w:r w:rsidRPr="00AA58DB">
              <w:rPr>
                <w:b/>
                <w:bCs/>
                <w:color w:val="000000"/>
                <w:sz w:val="18"/>
                <w:szCs w:val="18"/>
                <w:lang w:eastAsia="en-ZA"/>
              </w:rPr>
              <w:t>/</w:t>
            </w:r>
            <w:proofErr w:type="spellStart"/>
            <w:r w:rsidRPr="00AA58DB">
              <w:rPr>
                <w:b/>
                <w:bCs/>
                <w:color w:val="000000"/>
                <w:sz w:val="18"/>
                <w:szCs w:val="18"/>
                <w:lang w:eastAsia="en-ZA"/>
              </w:rPr>
              <w:t>Letsema</w:t>
            </w:r>
            <w:proofErr w:type="spellEnd"/>
            <w:r w:rsidRPr="00AA58DB">
              <w:rPr>
                <w:b/>
                <w:bCs/>
                <w:color w:val="000000"/>
                <w:sz w:val="18"/>
                <w:szCs w:val="18"/>
                <w:lang w:eastAsia="en-ZA"/>
              </w:rPr>
              <w:t xml:space="preserve"> Allocation R'000</w:t>
            </w:r>
          </w:p>
        </w:tc>
        <w:tc>
          <w:tcPr>
            <w:tcW w:w="1914"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 xml:space="preserve">Total Invested in Poultry in 2021/22 through Conditional Grants </w:t>
            </w:r>
          </w:p>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R'000</w:t>
            </w:r>
          </w:p>
        </w:tc>
        <w:tc>
          <w:tcPr>
            <w:tcW w:w="1701"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 xml:space="preserve">Planned Outputs </w:t>
            </w:r>
          </w:p>
        </w:tc>
        <w:tc>
          <w:tcPr>
            <w:tcW w:w="717"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CASP Jobs</w:t>
            </w:r>
          </w:p>
        </w:tc>
        <w:tc>
          <w:tcPr>
            <w:tcW w:w="1407"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proofErr w:type="spellStart"/>
            <w:r w:rsidRPr="00AA58DB">
              <w:rPr>
                <w:b/>
                <w:bCs/>
                <w:color w:val="000000"/>
                <w:sz w:val="18"/>
                <w:szCs w:val="18"/>
                <w:lang w:eastAsia="en-ZA"/>
              </w:rPr>
              <w:t>Ilima</w:t>
            </w:r>
            <w:proofErr w:type="spellEnd"/>
            <w:r w:rsidRPr="00AA58DB">
              <w:rPr>
                <w:b/>
                <w:bCs/>
                <w:color w:val="000000"/>
                <w:sz w:val="18"/>
                <w:szCs w:val="18"/>
                <w:lang w:eastAsia="en-ZA"/>
              </w:rPr>
              <w:t>/</w:t>
            </w:r>
            <w:proofErr w:type="spellStart"/>
            <w:r w:rsidRPr="00AA58DB">
              <w:rPr>
                <w:b/>
                <w:bCs/>
                <w:color w:val="000000"/>
                <w:sz w:val="18"/>
                <w:szCs w:val="18"/>
                <w:lang w:eastAsia="en-ZA"/>
              </w:rPr>
              <w:t>Letsema</w:t>
            </w:r>
            <w:proofErr w:type="spellEnd"/>
            <w:r w:rsidRPr="00AA58DB">
              <w:rPr>
                <w:b/>
                <w:bCs/>
                <w:color w:val="000000"/>
                <w:sz w:val="18"/>
                <w:szCs w:val="18"/>
                <w:lang w:eastAsia="en-ZA"/>
              </w:rPr>
              <w:t xml:space="preserve"> Jobs</w:t>
            </w:r>
          </w:p>
        </w:tc>
        <w:tc>
          <w:tcPr>
            <w:tcW w:w="738"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 xml:space="preserve">Total Jobs </w:t>
            </w:r>
          </w:p>
        </w:tc>
        <w:tc>
          <w:tcPr>
            <w:tcW w:w="1116" w:type="dxa"/>
            <w:shd w:val="clear" w:color="auto" w:fill="BFBFBF" w:themeFill="background1" w:themeFillShade="BF"/>
            <w:vAlign w:val="center"/>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Farmers Supported</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Eastern Cape</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4 300</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3 600</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7 900</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1 Poultry structure;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23</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23</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15</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Free State </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3 500</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1 522</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5 022</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1 Poultry structure;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4</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4</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Gauteng</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11 491</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14 500</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25 991</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3 Poultry structures;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6</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70</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76</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35</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proofErr w:type="spellStart"/>
            <w:r w:rsidRPr="00AA58DB">
              <w:rPr>
                <w:color w:val="000000"/>
                <w:sz w:val="18"/>
                <w:szCs w:val="18"/>
                <w:lang w:eastAsia="en-ZA"/>
              </w:rPr>
              <w:t>KwaZulu</w:t>
            </w:r>
            <w:proofErr w:type="spellEnd"/>
            <w:r w:rsidRPr="00AA58DB">
              <w:rPr>
                <w:color w:val="000000"/>
                <w:sz w:val="18"/>
                <w:szCs w:val="18"/>
                <w:lang w:eastAsia="en-ZA"/>
              </w:rPr>
              <w:t xml:space="preserve"> Natal</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22 682</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22 682</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3 Poultry structures;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348</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348</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386</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Limpopo</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1 544</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14 370</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15 914</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1 Poultry structures;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23</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1 589</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1 612</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1 046</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Mpumalanga</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30 150</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30 150</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4 Poultry structures;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55</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55</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9</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Northern Cape</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3 100</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3 100</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1 Poultry structure;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6</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6</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7</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North West</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10 600</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10 600</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2 Poultry structures;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22</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0</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22</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w:t>
            </w:r>
          </w:p>
        </w:tc>
      </w:tr>
      <w:tr w:rsidR="00AA58DB" w:rsidRPr="00AA58DB" w:rsidTr="00AA58DB">
        <w:trPr>
          <w:trHeight w:val="547"/>
          <w:jc w:val="center"/>
        </w:trPr>
        <w:tc>
          <w:tcPr>
            <w:tcW w:w="1257"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Western Cape </w:t>
            </w:r>
          </w:p>
        </w:tc>
        <w:tc>
          <w:tcPr>
            <w:tcW w:w="108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 </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8 890</w:t>
            </w:r>
          </w:p>
        </w:tc>
        <w:tc>
          <w:tcPr>
            <w:tcW w:w="1914"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8 890</w:t>
            </w:r>
          </w:p>
        </w:tc>
        <w:tc>
          <w:tcPr>
            <w:tcW w:w="1701" w:type="dxa"/>
            <w:shd w:val="clear" w:color="auto" w:fill="auto"/>
            <w:hideMark/>
          </w:tcPr>
          <w:p w:rsidR="00FE2783" w:rsidRPr="00AA58DB" w:rsidRDefault="00FE2783" w:rsidP="006F501B">
            <w:pPr>
              <w:rPr>
                <w:color w:val="000000"/>
                <w:sz w:val="18"/>
                <w:szCs w:val="18"/>
                <w:lang w:eastAsia="en-ZA"/>
              </w:rPr>
            </w:pPr>
            <w:r w:rsidRPr="00AA58DB">
              <w:rPr>
                <w:color w:val="000000"/>
                <w:sz w:val="18"/>
                <w:szCs w:val="18"/>
                <w:lang w:eastAsia="en-ZA"/>
              </w:rPr>
              <w:t xml:space="preserve">1 Poultry structure; production inputs </w:t>
            </w:r>
          </w:p>
        </w:tc>
        <w:tc>
          <w:tcPr>
            <w:tcW w:w="71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22</w:t>
            </w:r>
          </w:p>
        </w:tc>
        <w:tc>
          <w:tcPr>
            <w:tcW w:w="1407" w:type="dxa"/>
            <w:shd w:val="clear" w:color="auto" w:fill="auto"/>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15</w:t>
            </w:r>
          </w:p>
        </w:tc>
        <w:tc>
          <w:tcPr>
            <w:tcW w:w="738"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37</w:t>
            </w:r>
          </w:p>
        </w:tc>
        <w:tc>
          <w:tcPr>
            <w:tcW w:w="1116" w:type="dxa"/>
            <w:shd w:val="clear" w:color="auto" w:fill="auto"/>
            <w:noWrap/>
            <w:hideMark/>
          </w:tcPr>
          <w:p w:rsidR="00FE2783" w:rsidRPr="00AA58DB" w:rsidRDefault="00FE2783" w:rsidP="006F501B">
            <w:pPr>
              <w:jc w:val="center"/>
              <w:rPr>
                <w:color w:val="000000"/>
                <w:sz w:val="18"/>
                <w:szCs w:val="18"/>
                <w:lang w:eastAsia="en-ZA"/>
              </w:rPr>
            </w:pPr>
            <w:r w:rsidRPr="00AA58DB">
              <w:rPr>
                <w:color w:val="000000"/>
                <w:sz w:val="18"/>
                <w:szCs w:val="18"/>
                <w:lang w:eastAsia="en-ZA"/>
              </w:rPr>
              <w:t>54</w:t>
            </w:r>
          </w:p>
        </w:tc>
      </w:tr>
      <w:tr w:rsidR="00AA58DB" w:rsidRPr="00AA58DB" w:rsidTr="00AA58DB">
        <w:trPr>
          <w:trHeight w:val="273"/>
          <w:jc w:val="center"/>
        </w:trPr>
        <w:tc>
          <w:tcPr>
            <w:tcW w:w="1257" w:type="dxa"/>
            <w:shd w:val="clear" w:color="auto" w:fill="auto"/>
            <w:hideMark/>
          </w:tcPr>
          <w:p w:rsidR="00FE2783" w:rsidRPr="00AA58DB" w:rsidRDefault="00FE2783" w:rsidP="006F501B">
            <w:pPr>
              <w:rPr>
                <w:b/>
                <w:bCs/>
                <w:color w:val="000000"/>
                <w:sz w:val="18"/>
                <w:szCs w:val="18"/>
                <w:lang w:eastAsia="en-ZA"/>
              </w:rPr>
            </w:pPr>
            <w:r w:rsidRPr="00AA58DB">
              <w:rPr>
                <w:b/>
                <w:bCs/>
                <w:color w:val="000000"/>
                <w:sz w:val="18"/>
                <w:szCs w:val="18"/>
                <w:lang w:eastAsia="en-ZA"/>
              </w:rPr>
              <w:t>Total</w:t>
            </w:r>
          </w:p>
        </w:tc>
        <w:tc>
          <w:tcPr>
            <w:tcW w:w="1087" w:type="dxa"/>
            <w:shd w:val="clear" w:color="auto" w:fill="auto"/>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87 367</w:t>
            </w:r>
          </w:p>
        </w:tc>
        <w:tc>
          <w:tcPr>
            <w:tcW w:w="1407" w:type="dxa"/>
            <w:shd w:val="clear" w:color="auto" w:fill="auto"/>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42 882</w:t>
            </w:r>
          </w:p>
        </w:tc>
        <w:tc>
          <w:tcPr>
            <w:tcW w:w="1914" w:type="dxa"/>
            <w:shd w:val="clear" w:color="auto" w:fill="auto"/>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130 249</w:t>
            </w:r>
          </w:p>
        </w:tc>
        <w:tc>
          <w:tcPr>
            <w:tcW w:w="1701" w:type="dxa"/>
            <w:shd w:val="clear" w:color="auto" w:fill="auto"/>
            <w:hideMark/>
          </w:tcPr>
          <w:p w:rsidR="00FE2783" w:rsidRPr="00AA58DB" w:rsidRDefault="00FE2783" w:rsidP="006F501B">
            <w:pPr>
              <w:rPr>
                <w:b/>
                <w:bCs/>
                <w:color w:val="000000"/>
                <w:sz w:val="18"/>
                <w:szCs w:val="18"/>
                <w:lang w:eastAsia="en-ZA"/>
              </w:rPr>
            </w:pPr>
            <w:r w:rsidRPr="00AA58DB">
              <w:rPr>
                <w:b/>
                <w:bCs/>
                <w:color w:val="000000"/>
                <w:sz w:val="18"/>
                <w:szCs w:val="18"/>
                <w:lang w:eastAsia="en-ZA"/>
              </w:rPr>
              <w:t> </w:t>
            </w:r>
          </w:p>
        </w:tc>
        <w:tc>
          <w:tcPr>
            <w:tcW w:w="717" w:type="dxa"/>
            <w:shd w:val="clear" w:color="auto" w:fill="auto"/>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509</w:t>
            </w:r>
          </w:p>
        </w:tc>
        <w:tc>
          <w:tcPr>
            <w:tcW w:w="1407" w:type="dxa"/>
            <w:shd w:val="clear" w:color="auto" w:fill="auto"/>
            <w:hideMark/>
          </w:tcPr>
          <w:p w:rsidR="00FE2783" w:rsidRPr="00AA58DB" w:rsidRDefault="00FE2783" w:rsidP="006F501B">
            <w:pPr>
              <w:jc w:val="center"/>
              <w:rPr>
                <w:b/>
                <w:bCs/>
                <w:color w:val="000000"/>
                <w:sz w:val="18"/>
                <w:szCs w:val="18"/>
                <w:lang w:eastAsia="en-ZA"/>
              </w:rPr>
            </w:pPr>
            <w:r w:rsidRPr="00AA58DB">
              <w:rPr>
                <w:b/>
                <w:bCs/>
                <w:color w:val="000000"/>
                <w:sz w:val="18"/>
                <w:szCs w:val="18"/>
                <w:lang w:eastAsia="en-ZA"/>
              </w:rPr>
              <w:t>1 674</w:t>
            </w:r>
          </w:p>
        </w:tc>
        <w:tc>
          <w:tcPr>
            <w:tcW w:w="738" w:type="dxa"/>
            <w:shd w:val="clear" w:color="auto" w:fill="auto"/>
            <w:noWrap/>
            <w:hideMark/>
          </w:tcPr>
          <w:p w:rsidR="00FE2783" w:rsidRPr="00AA58DB" w:rsidRDefault="00FE2783" w:rsidP="006F501B">
            <w:pPr>
              <w:jc w:val="center"/>
              <w:rPr>
                <w:b/>
                <w:bCs/>
                <w:sz w:val="18"/>
                <w:szCs w:val="18"/>
                <w:lang w:eastAsia="en-ZA"/>
              </w:rPr>
            </w:pPr>
            <w:r w:rsidRPr="00AA58DB">
              <w:rPr>
                <w:b/>
                <w:bCs/>
                <w:sz w:val="18"/>
                <w:szCs w:val="18"/>
                <w:lang w:eastAsia="en-ZA"/>
              </w:rPr>
              <w:t>2 183</w:t>
            </w:r>
          </w:p>
        </w:tc>
        <w:tc>
          <w:tcPr>
            <w:tcW w:w="1116" w:type="dxa"/>
            <w:shd w:val="clear" w:color="auto" w:fill="auto"/>
            <w:noWrap/>
            <w:hideMark/>
          </w:tcPr>
          <w:p w:rsidR="00FE2783" w:rsidRPr="00AA58DB" w:rsidRDefault="00AA58DB" w:rsidP="006F501B">
            <w:pPr>
              <w:jc w:val="center"/>
              <w:rPr>
                <w:b/>
                <w:bCs/>
                <w:sz w:val="18"/>
                <w:szCs w:val="18"/>
                <w:lang w:eastAsia="en-ZA"/>
              </w:rPr>
            </w:pPr>
            <w:r w:rsidRPr="00AA58DB">
              <w:rPr>
                <w:b/>
                <w:bCs/>
                <w:sz w:val="18"/>
                <w:szCs w:val="18"/>
                <w:lang w:eastAsia="en-ZA"/>
              </w:rPr>
              <w:t>1556</w:t>
            </w:r>
          </w:p>
        </w:tc>
      </w:tr>
    </w:tbl>
    <w:p w:rsidR="00FE2783" w:rsidRPr="00AA58DB" w:rsidRDefault="00FE2783" w:rsidP="00AA58DB">
      <w:pPr>
        <w:spacing w:line="360" w:lineRule="auto"/>
        <w:rPr>
          <w:sz w:val="18"/>
          <w:szCs w:val="18"/>
        </w:rPr>
      </w:pPr>
    </w:p>
    <w:p w:rsidR="009B1AB0" w:rsidRPr="00AA58DB" w:rsidRDefault="009B1AB0" w:rsidP="00AA58DB">
      <w:pPr>
        <w:spacing w:line="360" w:lineRule="auto"/>
        <w:rPr>
          <w:sz w:val="22"/>
          <w:szCs w:val="22"/>
        </w:rPr>
      </w:pPr>
    </w:p>
    <w:sectPr w:rsidR="009B1AB0" w:rsidRPr="00AA58DB" w:rsidSect="00D541D4">
      <w:pgSz w:w="11906" w:h="16838"/>
      <w:pgMar w:top="851"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34A87"/>
    <w:rsid w:val="00024BCB"/>
    <w:rsid w:val="002B17BE"/>
    <w:rsid w:val="004418ED"/>
    <w:rsid w:val="00640DCA"/>
    <w:rsid w:val="00646488"/>
    <w:rsid w:val="00673787"/>
    <w:rsid w:val="006F501B"/>
    <w:rsid w:val="007066BA"/>
    <w:rsid w:val="00721B90"/>
    <w:rsid w:val="00734A87"/>
    <w:rsid w:val="007F2622"/>
    <w:rsid w:val="008756FE"/>
    <w:rsid w:val="009B1AB0"/>
    <w:rsid w:val="009F7316"/>
    <w:rsid w:val="00A401E1"/>
    <w:rsid w:val="00AA58DB"/>
    <w:rsid w:val="00B33C59"/>
    <w:rsid w:val="00B428E9"/>
    <w:rsid w:val="00D24636"/>
    <w:rsid w:val="00D41492"/>
    <w:rsid w:val="00D541D4"/>
    <w:rsid w:val="00DC2EFB"/>
    <w:rsid w:val="00F16FBC"/>
    <w:rsid w:val="00FE2783"/>
    <w:rsid w:val="00FE3AE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87"/>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Davies</dc:creator>
  <cp:lastModifiedBy>USER</cp:lastModifiedBy>
  <cp:revision>2</cp:revision>
  <dcterms:created xsi:type="dcterms:W3CDTF">2022-06-23T09:52:00Z</dcterms:created>
  <dcterms:modified xsi:type="dcterms:W3CDTF">2022-06-23T09:52:00Z</dcterms:modified>
</cp:coreProperties>
</file>