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F01021"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extent cx="2171700" cy="762000"/>
            <wp:effectExtent l="0" t="0" r="0" b="0"/>
            <wp:docPr id="1" name="Picture 1"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F01021" w:rsidRPr="00382865" w:rsidRDefault="00F01021" w:rsidP="005D3B6A">
      <w:pPr>
        <w:spacing w:before="180" w:after="0" w:line="240" w:lineRule="auto"/>
        <w:contextualSpacing/>
        <w:jc w:val="both"/>
        <w:rPr>
          <w:rFonts w:ascii="Arial" w:eastAsia="Times New Roman" w:hAnsi="Arial" w:cs="Arial"/>
          <w:sz w:val="28"/>
          <w:szCs w:val="28"/>
          <w:lang w:val="en-GB" w:eastAsia="en-GB"/>
        </w:rPr>
      </w:pPr>
    </w:p>
    <w:p w:rsidR="00936D98" w:rsidRPr="00382865" w:rsidRDefault="00936D98" w:rsidP="0031644A">
      <w:pPr>
        <w:spacing w:after="0" w:line="360" w:lineRule="auto"/>
        <w:ind w:left="720" w:hanging="720"/>
        <w:jc w:val="center"/>
        <w:outlineLvl w:val="0"/>
        <w:rPr>
          <w:rFonts w:ascii="Arial" w:hAnsi="Arial" w:cs="Arial"/>
          <w:b/>
          <w:sz w:val="24"/>
          <w:szCs w:val="24"/>
          <w:lang w:val="en-GB"/>
        </w:rPr>
      </w:pPr>
      <w:r w:rsidRPr="00382865">
        <w:rPr>
          <w:rFonts w:ascii="Arial" w:hAnsi="Arial" w:cs="Arial"/>
          <w:b/>
          <w:sz w:val="24"/>
          <w:szCs w:val="24"/>
          <w:lang w:val="en-GB"/>
        </w:rPr>
        <w:t>THE NATIONAL ASSEMBLY</w:t>
      </w:r>
    </w:p>
    <w:p w:rsidR="00936D98" w:rsidRPr="00382865" w:rsidRDefault="00A92308" w:rsidP="0031644A">
      <w:pPr>
        <w:spacing w:after="0" w:line="360" w:lineRule="auto"/>
        <w:ind w:left="720" w:hanging="720"/>
        <w:jc w:val="center"/>
        <w:outlineLvl w:val="0"/>
        <w:rPr>
          <w:rFonts w:ascii="Arial" w:hAnsi="Arial" w:cs="Arial"/>
          <w:b/>
          <w:sz w:val="24"/>
          <w:szCs w:val="24"/>
          <w:lang w:val="en-GB"/>
        </w:rPr>
      </w:pPr>
      <w:r>
        <w:rPr>
          <w:rFonts w:ascii="Arial" w:hAnsi="Arial" w:cs="Arial"/>
          <w:b/>
          <w:sz w:val="24"/>
          <w:szCs w:val="24"/>
          <w:lang w:val="en-GB"/>
        </w:rPr>
        <w:t>QUESTION FOR WRITTEN</w:t>
      </w:r>
      <w:r w:rsidR="00936D98" w:rsidRPr="00382865">
        <w:rPr>
          <w:rFonts w:ascii="Arial" w:hAnsi="Arial" w:cs="Arial"/>
          <w:b/>
          <w:sz w:val="24"/>
          <w:szCs w:val="24"/>
          <w:lang w:val="en-GB"/>
        </w:rPr>
        <w:t xml:space="preserve"> REPLY</w:t>
      </w:r>
    </w:p>
    <w:p w:rsidR="00294D96" w:rsidRPr="00382865" w:rsidRDefault="00294D96" w:rsidP="00B236EF">
      <w:pPr>
        <w:spacing w:after="0" w:line="360" w:lineRule="auto"/>
        <w:ind w:left="720" w:hanging="720"/>
        <w:jc w:val="both"/>
        <w:outlineLvl w:val="0"/>
        <w:rPr>
          <w:rFonts w:ascii="Arial" w:hAnsi="Arial" w:cs="Arial"/>
          <w:b/>
          <w:bCs/>
          <w:sz w:val="24"/>
          <w:szCs w:val="24"/>
          <w:lang w:val="en-GB"/>
        </w:rPr>
      </w:pPr>
    </w:p>
    <w:p w:rsidR="00A92308" w:rsidRDefault="00B236EF" w:rsidP="00A92308">
      <w:pPr>
        <w:spacing w:after="0" w:line="360" w:lineRule="auto"/>
        <w:ind w:left="720" w:hanging="720"/>
        <w:contextualSpacing/>
        <w:jc w:val="both"/>
        <w:outlineLvl w:val="0"/>
        <w:rPr>
          <w:rFonts w:ascii="Arial" w:eastAsia="Arial Unicode MS" w:hAnsi="Arial" w:cs="Arial"/>
          <w:b/>
          <w:sz w:val="24"/>
          <w:szCs w:val="24"/>
        </w:rPr>
      </w:pPr>
      <w:r w:rsidRPr="00A92308">
        <w:rPr>
          <w:rFonts w:ascii="Arial" w:hAnsi="Arial" w:cs="Arial"/>
          <w:b/>
          <w:bCs/>
          <w:sz w:val="24"/>
          <w:szCs w:val="24"/>
          <w:lang w:val="en-GB"/>
        </w:rPr>
        <w:t>QUESTION</w:t>
      </w:r>
      <w:r w:rsidR="00C85DD8" w:rsidRPr="00A92308">
        <w:rPr>
          <w:rFonts w:ascii="Arial" w:hAnsi="Arial" w:cs="Arial"/>
          <w:b/>
          <w:bCs/>
          <w:sz w:val="24"/>
          <w:szCs w:val="24"/>
          <w:lang w:val="en-GB"/>
        </w:rPr>
        <w:t xml:space="preserve"> NO</w:t>
      </w:r>
      <w:r w:rsidR="00D66290" w:rsidRPr="00A92308">
        <w:rPr>
          <w:rFonts w:ascii="Arial" w:hAnsi="Arial" w:cs="Arial"/>
          <w:b/>
          <w:bCs/>
          <w:sz w:val="24"/>
          <w:szCs w:val="24"/>
          <w:lang w:val="en-GB"/>
        </w:rPr>
        <w:t xml:space="preserve">. </w:t>
      </w:r>
      <w:r w:rsidR="00A92308" w:rsidRPr="00A92308">
        <w:rPr>
          <w:rFonts w:ascii="Arial" w:eastAsia="Arial Unicode MS" w:hAnsi="Arial" w:cs="Arial"/>
          <w:b/>
          <w:sz w:val="24"/>
          <w:szCs w:val="24"/>
        </w:rPr>
        <w:t>1527</w:t>
      </w:r>
    </w:p>
    <w:p w:rsidR="00A92308" w:rsidRPr="00A92308" w:rsidRDefault="00A92308" w:rsidP="00A92308">
      <w:pPr>
        <w:spacing w:after="0" w:line="360" w:lineRule="auto"/>
        <w:ind w:left="720" w:hanging="720"/>
        <w:contextualSpacing/>
        <w:jc w:val="both"/>
        <w:outlineLvl w:val="0"/>
        <w:rPr>
          <w:rFonts w:ascii="Arial" w:hAnsi="Arial" w:cs="Arial"/>
          <w:b/>
          <w:bCs/>
          <w:sz w:val="24"/>
          <w:szCs w:val="24"/>
          <w:lang w:val="en-GB"/>
        </w:rPr>
      </w:pPr>
    </w:p>
    <w:p w:rsidR="00A92308" w:rsidRPr="00A92308" w:rsidRDefault="00A92308" w:rsidP="00A92308">
      <w:pPr>
        <w:spacing w:after="0" w:line="360" w:lineRule="auto"/>
        <w:ind w:left="720" w:hanging="720"/>
        <w:jc w:val="both"/>
        <w:outlineLvl w:val="0"/>
        <w:rPr>
          <w:rFonts w:ascii="Arial" w:eastAsia="Arial" w:hAnsi="Arial" w:cs="Arial"/>
          <w:b/>
          <w:sz w:val="24"/>
          <w:szCs w:val="24"/>
          <w:lang w:eastAsia="en-ZA"/>
        </w:rPr>
      </w:pPr>
      <w:r w:rsidRPr="00A92308">
        <w:rPr>
          <w:rFonts w:ascii="Arial" w:hAnsi="Arial" w:cs="Arial"/>
          <w:b/>
          <w:sz w:val="24"/>
          <w:szCs w:val="24"/>
        </w:rPr>
        <w:t xml:space="preserve">Mr M J Cuthbert (DA) to ask the Minister </w:t>
      </w:r>
      <w:r w:rsidRPr="00A92308">
        <w:rPr>
          <w:rFonts w:ascii="Arial" w:hAnsi="Arial" w:cs="Arial"/>
          <w:b/>
          <w:noProof/>
          <w:sz w:val="24"/>
          <w:szCs w:val="24"/>
          <w:lang w:val="af-ZA"/>
        </w:rPr>
        <w:t>of</w:t>
      </w:r>
      <w:r w:rsidRPr="00A92308">
        <w:rPr>
          <w:rFonts w:ascii="Arial" w:hAnsi="Arial" w:cs="Arial"/>
          <w:b/>
          <w:sz w:val="24"/>
          <w:szCs w:val="24"/>
        </w:rPr>
        <w:t xml:space="preserve"> Trade, Industry and Competition</w:t>
      </w:r>
      <w:r w:rsidR="00A9104F" w:rsidRPr="00A92308">
        <w:rPr>
          <w:rFonts w:ascii="Arial" w:hAnsi="Arial" w:cs="Arial"/>
          <w:b/>
          <w:sz w:val="24"/>
          <w:szCs w:val="24"/>
        </w:rPr>
        <w:fldChar w:fldCharType="begin"/>
      </w:r>
      <w:r w:rsidRPr="00A92308">
        <w:rPr>
          <w:rFonts w:ascii="Arial" w:hAnsi="Arial" w:cs="Arial"/>
          <w:sz w:val="24"/>
          <w:szCs w:val="24"/>
        </w:rPr>
        <w:instrText xml:space="preserve"> XE "</w:instrText>
      </w:r>
      <w:r w:rsidRPr="00A92308">
        <w:rPr>
          <w:rFonts w:ascii="Arial" w:hAnsi="Arial" w:cs="Arial"/>
          <w:b/>
          <w:sz w:val="24"/>
          <w:szCs w:val="24"/>
        </w:rPr>
        <w:instrText>Trade, Industry and Competition</w:instrText>
      </w:r>
      <w:r w:rsidRPr="00A92308">
        <w:rPr>
          <w:rFonts w:ascii="Arial" w:hAnsi="Arial" w:cs="Arial"/>
          <w:sz w:val="24"/>
          <w:szCs w:val="24"/>
        </w:rPr>
        <w:instrText xml:space="preserve">" </w:instrText>
      </w:r>
      <w:r w:rsidR="00A9104F" w:rsidRPr="00A92308">
        <w:rPr>
          <w:rFonts w:ascii="Arial" w:hAnsi="Arial" w:cs="Arial"/>
          <w:b/>
          <w:sz w:val="24"/>
          <w:szCs w:val="24"/>
        </w:rPr>
        <w:fldChar w:fldCharType="end"/>
      </w:r>
      <w:r w:rsidRPr="00A92308">
        <w:rPr>
          <w:rFonts w:ascii="Arial" w:hAnsi="Arial" w:cs="Arial"/>
          <w:b/>
          <w:sz w:val="24"/>
          <w:szCs w:val="24"/>
        </w:rPr>
        <w:t>:</w:t>
      </w:r>
    </w:p>
    <w:p w:rsidR="00A92308" w:rsidRPr="00A92308" w:rsidRDefault="00A92308" w:rsidP="00A92308">
      <w:pPr>
        <w:spacing w:after="0" w:line="360" w:lineRule="auto"/>
        <w:ind w:left="567" w:hanging="567"/>
        <w:jc w:val="both"/>
        <w:outlineLvl w:val="0"/>
        <w:rPr>
          <w:rFonts w:ascii="Arial" w:hAnsi="Arial" w:cs="Arial"/>
          <w:sz w:val="24"/>
          <w:szCs w:val="24"/>
        </w:rPr>
      </w:pPr>
      <w:r w:rsidRPr="00A92308">
        <w:rPr>
          <w:rFonts w:ascii="Arial" w:hAnsi="Arial" w:cs="Arial"/>
          <w:sz w:val="24"/>
          <w:szCs w:val="24"/>
        </w:rPr>
        <w:t>(1)</w:t>
      </w:r>
      <w:r w:rsidRPr="00A92308">
        <w:rPr>
          <w:rFonts w:ascii="Arial" w:hAnsi="Arial" w:cs="Arial"/>
          <w:sz w:val="24"/>
          <w:szCs w:val="24"/>
        </w:rPr>
        <w:tab/>
        <w:t>What are the details of the events that led to Moody’s downgrading, from Ba1 to Ba 2, of the credit rating of the Industrial Development Corporation (IDC);</w:t>
      </w:r>
    </w:p>
    <w:p w:rsidR="00A92308" w:rsidRPr="00A92308" w:rsidRDefault="00A92308" w:rsidP="00A92308">
      <w:pPr>
        <w:spacing w:after="0" w:line="360" w:lineRule="auto"/>
        <w:ind w:left="567" w:hanging="567"/>
        <w:jc w:val="both"/>
        <w:outlineLvl w:val="0"/>
        <w:rPr>
          <w:rFonts w:ascii="Arial" w:hAnsi="Arial" w:cs="Arial"/>
          <w:sz w:val="24"/>
          <w:szCs w:val="24"/>
        </w:rPr>
      </w:pPr>
      <w:r w:rsidRPr="00A92308">
        <w:rPr>
          <w:rFonts w:ascii="Arial" w:hAnsi="Arial" w:cs="Arial"/>
          <w:sz w:val="24"/>
          <w:szCs w:val="24"/>
        </w:rPr>
        <w:t>(2)</w:t>
      </w:r>
      <w:r w:rsidRPr="00A92308">
        <w:rPr>
          <w:rFonts w:ascii="Arial" w:hAnsi="Arial" w:cs="Arial"/>
          <w:sz w:val="24"/>
          <w:szCs w:val="24"/>
        </w:rPr>
        <w:tab/>
        <w:t>What are the details of the action steps that his department intends to implement to restore the IDC’s credit rating by Moody’s to Ba1;</w:t>
      </w:r>
    </w:p>
    <w:p w:rsidR="00A92308" w:rsidRPr="00A92308" w:rsidRDefault="00A92308" w:rsidP="00A92308">
      <w:pPr>
        <w:spacing w:after="0" w:line="360" w:lineRule="auto"/>
        <w:ind w:left="567" w:hanging="567"/>
        <w:jc w:val="both"/>
        <w:outlineLvl w:val="0"/>
        <w:rPr>
          <w:rFonts w:ascii="Arial" w:hAnsi="Arial" w:cs="Arial"/>
          <w:sz w:val="24"/>
          <w:szCs w:val="24"/>
        </w:rPr>
      </w:pPr>
      <w:r w:rsidRPr="00A92308">
        <w:rPr>
          <w:rFonts w:ascii="Arial" w:hAnsi="Arial" w:cs="Arial"/>
          <w:sz w:val="24"/>
          <w:szCs w:val="24"/>
        </w:rPr>
        <w:t>(3)</w:t>
      </w:r>
      <w:r w:rsidRPr="00A92308">
        <w:rPr>
          <w:rFonts w:ascii="Arial" w:hAnsi="Arial" w:cs="Arial"/>
          <w:sz w:val="24"/>
          <w:szCs w:val="24"/>
        </w:rPr>
        <w:tab/>
        <w:t xml:space="preserve">What are the implications of the credit rating downgrade for COVID-19 relief funding which according to his departmentis to be disbursed by the IDC? </w:t>
      </w:r>
      <w:r>
        <w:rPr>
          <w:rFonts w:ascii="Arial" w:hAnsi="Arial" w:cs="Arial"/>
          <w:sz w:val="24"/>
          <w:szCs w:val="24"/>
        </w:rPr>
        <w:t>[</w:t>
      </w:r>
      <w:r w:rsidRPr="00A92308">
        <w:rPr>
          <w:rFonts w:ascii="Arial" w:hAnsi="Arial" w:cs="Arial"/>
          <w:sz w:val="24"/>
          <w:szCs w:val="24"/>
        </w:rPr>
        <w:t>NW1898E</w:t>
      </w:r>
      <w:r>
        <w:rPr>
          <w:rFonts w:ascii="Arial" w:hAnsi="Arial" w:cs="Arial"/>
          <w:sz w:val="24"/>
          <w:szCs w:val="24"/>
        </w:rPr>
        <w:t>]</w:t>
      </w:r>
    </w:p>
    <w:p w:rsidR="00A92308" w:rsidRDefault="00A92308" w:rsidP="00A92308">
      <w:pPr>
        <w:pStyle w:val="NormalWeb"/>
        <w:spacing w:before="0" w:beforeAutospacing="0" w:after="0" w:afterAutospacing="0" w:line="360" w:lineRule="auto"/>
        <w:jc w:val="both"/>
        <w:outlineLvl w:val="0"/>
        <w:rPr>
          <w:rFonts w:ascii="Arial" w:eastAsia="Arial Unicode MS" w:hAnsi="Arial" w:cs="Arial"/>
          <w:b/>
          <w:color w:val="000000"/>
        </w:rPr>
      </w:pPr>
    </w:p>
    <w:p w:rsidR="00A92308" w:rsidRDefault="00A92308" w:rsidP="00A92308">
      <w:pPr>
        <w:pStyle w:val="NormalWeb"/>
        <w:spacing w:before="0" w:beforeAutospacing="0" w:after="0" w:afterAutospacing="0" w:line="360" w:lineRule="auto"/>
        <w:jc w:val="both"/>
        <w:outlineLvl w:val="0"/>
        <w:rPr>
          <w:rFonts w:ascii="Arial" w:eastAsia="Arial Unicode MS" w:hAnsi="Arial" w:cs="Arial"/>
          <w:b/>
          <w:color w:val="000000"/>
        </w:rPr>
      </w:pPr>
      <w:r>
        <w:rPr>
          <w:rFonts w:ascii="Arial" w:eastAsia="Arial Unicode MS" w:hAnsi="Arial" w:cs="Arial"/>
          <w:b/>
          <w:color w:val="000000"/>
        </w:rPr>
        <w:t>RE</w:t>
      </w:r>
      <w:r w:rsidR="00F01021">
        <w:rPr>
          <w:rFonts w:ascii="Arial" w:eastAsia="Arial Unicode MS" w:hAnsi="Arial" w:cs="Arial"/>
          <w:b/>
          <w:color w:val="000000"/>
        </w:rPr>
        <w:t>PLY</w:t>
      </w:r>
    </w:p>
    <w:p w:rsidR="00F01021" w:rsidRPr="00A92308" w:rsidRDefault="00F01021" w:rsidP="00A92308">
      <w:pPr>
        <w:pStyle w:val="NormalWeb"/>
        <w:spacing w:before="0" w:beforeAutospacing="0" w:after="0" w:afterAutospacing="0" w:line="360" w:lineRule="auto"/>
        <w:jc w:val="both"/>
        <w:outlineLvl w:val="0"/>
        <w:rPr>
          <w:rFonts w:ascii="Arial" w:eastAsia="Arial Unicode MS" w:hAnsi="Arial" w:cs="Arial"/>
          <w:b/>
          <w:color w:val="000000"/>
        </w:rPr>
      </w:pPr>
    </w:p>
    <w:p w:rsidR="005E7238" w:rsidRDefault="00A92308" w:rsidP="005E7238">
      <w:pPr>
        <w:autoSpaceDN w:val="0"/>
        <w:spacing w:after="0" w:line="360" w:lineRule="auto"/>
        <w:jc w:val="both"/>
        <w:rPr>
          <w:rFonts w:ascii="Arial" w:hAnsi="Arial" w:cs="Arial"/>
          <w:sz w:val="24"/>
          <w:szCs w:val="24"/>
        </w:rPr>
      </w:pPr>
      <w:r w:rsidRPr="005E7238">
        <w:rPr>
          <w:rFonts w:ascii="Arial" w:hAnsi="Arial" w:cs="Arial"/>
          <w:sz w:val="24"/>
          <w:szCs w:val="24"/>
        </w:rPr>
        <w:t xml:space="preserve">The Moody’s downgrade of the Industrial Development Corporation (IDC) to Ba2 from Ba1 </w:t>
      </w:r>
      <w:r w:rsidR="005E7238" w:rsidRPr="005E7238">
        <w:rPr>
          <w:rFonts w:ascii="Arial" w:hAnsi="Arial" w:cs="Arial"/>
          <w:sz w:val="24"/>
          <w:szCs w:val="24"/>
        </w:rPr>
        <w:t xml:space="preserve">appear to be based principally on concerns about the </w:t>
      </w:r>
      <w:r w:rsidR="003659E4">
        <w:rPr>
          <w:rFonts w:ascii="Arial" w:hAnsi="Arial" w:cs="Arial"/>
          <w:sz w:val="24"/>
          <w:szCs w:val="24"/>
        </w:rPr>
        <w:t>preparedness</w:t>
      </w:r>
      <w:r w:rsidR="005E7238" w:rsidRPr="005E7238">
        <w:rPr>
          <w:rFonts w:ascii="Arial" w:hAnsi="Arial" w:cs="Arial"/>
          <w:sz w:val="24"/>
          <w:szCs w:val="24"/>
        </w:rPr>
        <w:t xml:space="preserve"> of Government </w:t>
      </w:r>
      <w:r w:rsidR="003659E4">
        <w:rPr>
          <w:rFonts w:ascii="Arial" w:hAnsi="Arial" w:cs="Arial"/>
          <w:sz w:val="24"/>
          <w:szCs w:val="24"/>
        </w:rPr>
        <w:t xml:space="preserve">to </w:t>
      </w:r>
      <w:r w:rsidR="005E7238" w:rsidRPr="005E7238">
        <w:rPr>
          <w:rFonts w:ascii="Arial" w:hAnsi="Arial" w:cs="Arial"/>
          <w:sz w:val="24"/>
          <w:szCs w:val="24"/>
        </w:rPr>
        <w:t xml:space="preserve">support public entities, </w:t>
      </w:r>
      <w:r w:rsidR="003659E4">
        <w:rPr>
          <w:rFonts w:ascii="Arial" w:hAnsi="Arial" w:cs="Arial"/>
          <w:sz w:val="24"/>
          <w:szCs w:val="24"/>
        </w:rPr>
        <w:t xml:space="preserve">and the timeliness of any decision to offer such support. This </w:t>
      </w:r>
      <w:r w:rsidR="005E7238" w:rsidRPr="005E7238">
        <w:rPr>
          <w:rFonts w:ascii="Arial" w:hAnsi="Arial" w:cs="Arial"/>
          <w:sz w:val="24"/>
          <w:szCs w:val="24"/>
        </w:rPr>
        <w:t>follow</w:t>
      </w:r>
      <w:r w:rsidR="003659E4">
        <w:rPr>
          <w:rFonts w:ascii="Arial" w:hAnsi="Arial" w:cs="Arial"/>
          <w:sz w:val="24"/>
          <w:szCs w:val="24"/>
        </w:rPr>
        <w:t>s</w:t>
      </w:r>
      <w:r w:rsidR="005E7238" w:rsidRPr="005E7238">
        <w:rPr>
          <w:rFonts w:ascii="Arial" w:hAnsi="Arial" w:cs="Arial"/>
          <w:sz w:val="24"/>
          <w:szCs w:val="24"/>
        </w:rPr>
        <w:t xml:space="preserve"> challenges with timely provision of funding for the Land and Agricultural Development Bank to make payments of maturing credit facilities</w:t>
      </w:r>
      <w:r w:rsidR="005E7238">
        <w:rPr>
          <w:rFonts w:ascii="Arial" w:hAnsi="Arial" w:cs="Arial"/>
          <w:sz w:val="24"/>
          <w:szCs w:val="24"/>
        </w:rPr>
        <w:t xml:space="preserve"> and payments relating to SAA. </w:t>
      </w:r>
    </w:p>
    <w:p w:rsidR="005E7238" w:rsidRDefault="005E7238" w:rsidP="005E7238">
      <w:pPr>
        <w:autoSpaceDN w:val="0"/>
        <w:spacing w:after="0" w:line="360" w:lineRule="auto"/>
        <w:ind w:left="720"/>
        <w:jc w:val="both"/>
        <w:rPr>
          <w:rFonts w:ascii="Arial" w:hAnsi="Arial" w:cs="Arial"/>
          <w:sz w:val="24"/>
          <w:szCs w:val="24"/>
        </w:rPr>
      </w:pPr>
    </w:p>
    <w:p w:rsidR="005E7238" w:rsidRPr="005E7238" w:rsidRDefault="005E7238" w:rsidP="00EA50B4">
      <w:pPr>
        <w:widowControl w:val="0"/>
        <w:autoSpaceDE w:val="0"/>
        <w:autoSpaceDN w:val="0"/>
        <w:spacing w:after="0" w:line="360" w:lineRule="auto"/>
        <w:ind w:right="414"/>
        <w:jc w:val="both"/>
        <w:rPr>
          <w:rFonts w:ascii="Arial" w:hAnsi="Arial" w:cs="Arial"/>
          <w:sz w:val="24"/>
          <w:szCs w:val="24"/>
        </w:rPr>
      </w:pPr>
      <w:r w:rsidRPr="005E7238">
        <w:rPr>
          <w:rFonts w:ascii="Arial" w:hAnsi="Arial" w:cs="Arial"/>
          <w:sz w:val="24"/>
          <w:szCs w:val="24"/>
        </w:rPr>
        <w:t>Moody’s recognised that the IDC “</w:t>
      </w:r>
      <w:r w:rsidR="00EA50B4" w:rsidRPr="00EA50B4">
        <w:rPr>
          <w:rFonts w:ascii="Arial" w:hAnsi="Arial" w:cs="Arial"/>
          <w:sz w:val="24"/>
          <w:szCs w:val="24"/>
        </w:rPr>
        <w:t>is still one of the stronger credits in the country, primarily reflecting the company's high capital buffers</w:t>
      </w:r>
      <w:r w:rsidRPr="005E7238">
        <w:rPr>
          <w:rFonts w:ascii="Arial" w:hAnsi="Arial" w:cs="Arial"/>
          <w:sz w:val="24"/>
          <w:szCs w:val="24"/>
        </w:rPr>
        <w:t>.</w:t>
      </w:r>
      <w:r w:rsidR="00EA50B4">
        <w:rPr>
          <w:rFonts w:ascii="Arial" w:hAnsi="Arial" w:cs="Arial"/>
          <w:sz w:val="24"/>
          <w:szCs w:val="24"/>
        </w:rPr>
        <w:t>”Moody’s further highlighted that the “</w:t>
      </w:r>
      <w:r w:rsidR="00EA50B4" w:rsidRPr="00EA50B4">
        <w:rPr>
          <w:rFonts w:ascii="Arial" w:hAnsi="Arial" w:cs="Arial"/>
          <w:sz w:val="24"/>
          <w:szCs w:val="24"/>
        </w:rPr>
        <w:t>IDC has strong capitalisatio</w:t>
      </w:r>
      <w:r w:rsidR="00EA50B4">
        <w:rPr>
          <w:rFonts w:ascii="Arial" w:hAnsi="Arial" w:cs="Arial"/>
          <w:sz w:val="24"/>
          <w:szCs w:val="24"/>
        </w:rPr>
        <w:t>n,</w:t>
      </w:r>
      <w:r w:rsidR="00EA50B4" w:rsidRPr="00EA50B4">
        <w:rPr>
          <w:rFonts w:ascii="Arial" w:hAnsi="Arial" w:cs="Arial"/>
          <w:sz w:val="24"/>
          <w:szCs w:val="24"/>
        </w:rPr>
        <w:t xml:space="preserve"> with an equity-to-total assets ratio of 66% as of March 2019, which provides significant buffers to absorbunexpected losses and grow the business further.</w:t>
      </w:r>
      <w:r w:rsidR="00EA50B4">
        <w:rPr>
          <w:rFonts w:ascii="Arial" w:hAnsi="Arial" w:cs="Arial"/>
          <w:sz w:val="24"/>
          <w:szCs w:val="24"/>
        </w:rPr>
        <w:t>”</w:t>
      </w:r>
    </w:p>
    <w:p w:rsidR="005E7238" w:rsidRDefault="005E7238" w:rsidP="005E7238">
      <w:pPr>
        <w:pStyle w:val="ListParagraph"/>
        <w:widowControl w:val="0"/>
        <w:autoSpaceDE w:val="0"/>
        <w:autoSpaceDN w:val="0"/>
        <w:spacing w:after="0" w:line="360" w:lineRule="auto"/>
        <w:ind w:left="360" w:right="414"/>
        <w:jc w:val="both"/>
        <w:rPr>
          <w:rFonts w:ascii="Arial" w:hAnsi="Arial" w:cs="Arial"/>
          <w:sz w:val="24"/>
          <w:szCs w:val="24"/>
        </w:rPr>
      </w:pPr>
    </w:p>
    <w:p w:rsidR="005E7238" w:rsidRPr="005E7238" w:rsidRDefault="005E7238" w:rsidP="005E7238">
      <w:pPr>
        <w:widowControl w:val="0"/>
        <w:autoSpaceDE w:val="0"/>
        <w:autoSpaceDN w:val="0"/>
        <w:spacing w:after="0" w:line="360" w:lineRule="auto"/>
        <w:ind w:right="414"/>
        <w:jc w:val="both"/>
        <w:rPr>
          <w:rFonts w:ascii="Arial" w:hAnsi="Arial" w:cs="Arial"/>
          <w:sz w:val="24"/>
          <w:szCs w:val="24"/>
        </w:rPr>
      </w:pPr>
      <w:r w:rsidRPr="005E7238">
        <w:rPr>
          <w:rFonts w:ascii="Arial" w:hAnsi="Arial" w:cs="Arial"/>
          <w:sz w:val="24"/>
          <w:szCs w:val="24"/>
        </w:rPr>
        <w:t xml:space="preserve">Moody’s assessment of the assumption of government support has been reduced from high to strong, </w:t>
      </w:r>
      <w:r w:rsidR="00EA50B4">
        <w:rPr>
          <w:rFonts w:ascii="Arial" w:hAnsi="Arial" w:cs="Arial"/>
          <w:sz w:val="24"/>
          <w:szCs w:val="24"/>
        </w:rPr>
        <w:t xml:space="preserve">and as a result the rating for the IDC </w:t>
      </w:r>
      <w:r w:rsidR="003659E4">
        <w:rPr>
          <w:rFonts w:ascii="Arial" w:hAnsi="Arial" w:cs="Arial"/>
          <w:sz w:val="24"/>
          <w:szCs w:val="24"/>
        </w:rPr>
        <w:t xml:space="preserve">to be </w:t>
      </w:r>
      <w:r w:rsidR="003659E4">
        <w:rPr>
          <w:rFonts w:ascii="Arial" w:hAnsi="Arial" w:cs="Arial"/>
          <w:sz w:val="24"/>
          <w:szCs w:val="24"/>
        </w:rPr>
        <w:lastRenderedPageBreak/>
        <w:t xml:space="preserve">downgraded. </w:t>
      </w:r>
      <w:r w:rsidRPr="005E7238">
        <w:rPr>
          <w:rFonts w:ascii="Arial" w:hAnsi="Arial" w:cs="Arial"/>
          <w:sz w:val="24"/>
          <w:szCs w:val="24"/>
        </w:rPr>
        <w:t>A similar rerating of the D</w:t>
      </w:r>
      <w:r w:rsidR="00747665">
        <w:rPr>
          <w:rFonts w:ascii="Arial" w:hAnsi="Arial" w:cs="Arial"/>
          <w:sz w:val="24"/>
          <w:szCs w:val="24"/>
        </w:rPr>
        <w:t xml:space="preserve">evelopment </w:t>
      </w:r>
      <w:r w:rsidRPr="005E7238">
        <w:rPr>
          <w:rFonts w:ascii="Arial" w:hAnsi="Arial" w:cs="Arial"/>
          <w:sz w:val="24"/>
          <w:szCs w:val="24"/>
        </w:rPr>
        <w:t>B</w:t>
      </w:r>
      <w:r w:rsidR="00747665">
        <w:rPr>
          <w:rFonts w:ascii="Arial" w:hAnsi="Arial" w:cs="Arial"/>
          <w:sz w:val="24"/>
          <w:szCs w:val="24"/>
        </w:rPr>
        <w:t xml:space="preserve">ank of </w:t>
      </w:r>
      <w:r w:rsidRPr="005E7238">
        <w:rPr>
          <w:rFonts w:ascii="Arial" w:hAnsi="Arial" w:cs="Arial"/>
          <w:sz w:val="24"/>
          <w:szCs w:val="24"/>
        </w:rPr>
        <w:t>S</w:t>
      </w:r>
      <w:r w:rsidR="00747665">
        <w:rPr>
          <w:rFonts w:ascii="Arial" w:hAnsi="Arial" w:cs="Arial"/>
          <w:sz w:val="24"/>
          <w:szCs w:val="24"/>
        </w:rPr>
        <w:t>outh</w:t>
      </w:r>
      <w:r w:rsidR="00BD2787">
        <w:rPr>
          <w:rFonts w:ascii="Arial" w:hAnsi="Arial" w:cs="Arial"/>
          <w:sz w:val="24"/>
          <w:szCs w:val="24"/>
        </w:rPr>
        <w:t>ern</w:t>
      </w:r>
      <w:r w:rsidRPr="005E7238">
        <w:rPr>
          <w:rFonts w:ascii="Arial" w:hAnsi="Arial" w:cs="Arial"/>
          <w:sz w:val="24"/>
          <w:szCs w:val="24"/>
        </w:rPr>
        <w:t>A</w:t>
      </w:r>
      <w:r w:rsidR="00747665">
        <w:rPr>
          <w:rFonts w:ascii="Arial" w:hAnsi="Arial" w:cs="Arial"/>
          <w:sz w:val="24"/>
          <w:szCs w:val="24"/>
        </w:rPr>
        <w:t>frica</w:t>
      </w:r>
      <w:r w:rsidRPr="005E7238">
        <w:rPr>
          <w:rFonts w:ascii="Arial" w:hAnsi="Arial" w:cs="Arial"/>
          <w:sz w:val="24"/>
          <w:szCs w:val="24"/>
        </w:rPr>
        <w:t xml:space="preserve"> has been effected</w:t>
      </w:r>
      <w:r w:rsidR="003659E4">
        <w:rPr>
          <w:rFonts w:ascii="Arial" w:hAnsi="Arial" w:cs="Arial"/>
          <w:sz w:val="24"/>
          <w:szCs w:val="24"/>
        </w:rPr>
        <w:t>, for similar reasons</w:t>
      </w:r>
      <w:r w:rsidRPr="005E7238">
        <w:rPr>
          <w:rFonts w:ascii="Arial" w:hAnsi="Arial" w:cs="Arial"/>
          <w:sz w:val="24"/>
          <w:szCs w:val="24"/>
        </w:rPr>
        <w:t xml:space="preserve">. </w:t>
      </w:r>
    </w:p>
    <w:p w:rsidR="00A92308" w:rsidRPr="00A92308" w:rsidRDefault="00A92308" w:rsidP="00A92308">
      <w:pPr>
        <w:pStyle w:val="ListParagraph"/>
        <w:spacing w:after="0" w:line="360" w:lineRule="auto"/>
        <w:ind w:left="1266"/>
        <w:jc w:val="both"/>
        <w:rPr>
          <w:rFonts w:ascii="Arial" w:hAnsi="Arial" w:cs="Arial"/>
          <w:sz w:val="24"/>
          <w:szCs w:val="24"/>
        </w:rPr>
      </w:pPr>
    </w:p>
    <w:p w:rsidR="00A92308" w:rsidRPr="00A92308" w:rsidRDefault="005E7238" w:rsidP="005E7238">
      <w:pPr>
        <w:autoSpaceDN w:val="0"/>
        <w:spacing w:after="0" w:line="360" w:lineRule="auto"/>
        <w:jc w:val="both"/>
        <w:rPr>
          <w:rFonts w:ascii="Arial" w:hAnsi="Arial" w:cs="Arial"/>
          <w:sz w:val="24"/>
          <w:szCs w:val="24"/>
        </w:rPr>
      </w:pPr>
      <w:r>
        <w:rPr>
          <w:rFonts w:ascii="Arial" w:hAnsi="Arial" w:cs="Arial"/>
          <w:sz w:val="24"/>
          <w:szCs w:val="24"/>
        </w:rPr>
        <w:t xml:space="preserve">As the principal factors relate to Moody’s assumptions on the sovereign, the IDC Board and Management will reinforce the point about the IDC’s capital buffers in engagement with Moody’s. </w:t>
      </w:r>
    </w:p>
    <w:p w:rsidR="00A92308" w:rsidRPr="00A92308" w:rsidRDefault="00A92308" w:rsidP="00A92308">
      <w:pPr>
        <w:pStyle w:val="ListParagraph"/>
        <w:spacing w:after="0" w:line="360" w:lineRule="auto"/>
        <w:ind w:left="360"/>
        <w:jc w:val="both"/>
        <w:rPr>
          <w:rFonts w:ascii="Arial" w:hAnsi="Arial" w:cs="Arial"/>
          <w:sz w:val="24"/>
          <w:szCs w:val="24"/>
        </w:rPr>
      </w:pPr>
    </w:p>
    <w:p w:rsidR="00A92308" w:rsidRPr="005E7238" w:rsidRDefault="00A92308" w:rsidP="005E7238">
      <w:pPr>
        <w:autoSpaceDN w:val="0"/>
        <w:spacing w:after="0" w:line="360" w:lineRule="auto"/>
        <w:ind w:right="27"/>
        <w:jc w:val="both"/>
        <w:rPr>
          <w:rFonts w:ascii="Arial" w:hAnsi="Arial" w:cs="Arial"/>
          <w:sz w:val="24"/>
          <w:szCs w:val="24"/>
        </w:rPr>
      </w:pPr>
      <w:r w:rsidRPr="005E7238">
        <w:rPr>
          <w:rFonts w:ascii="Arial" w:hAnsi="Arial" w:cs="Arial"/>
          <w:sz w:val="24"/>
          <w:szCs w:val="24"/>
        </w:rPr>
        <w:t xml:space="preserve">The IDC’s commitment to the COVID-19 relief funding remains i.e. the COVID-19 relief funding has not been affected by the credit downgradebecause IDC is managing prudently within its Liquidity Framework. The IDC continues to receive funding applications in this regard and perform the necessary credit assessments. </w:t>
      </w:r>
    </w:p>
    <w:p w:rsidR="00BB36A7" w:rsidRPr="00A92308" w:rsidRDefault="00BB36A7" w:rsidP="00A92308">
      <w:pPr>
        <w:spacing w:after="0" w:line="360" w:lineRule="auto"/>
        <w:contextualSpacing/>
        <w:jc w:val="both"/>
        <w:rPr>
          <w:rFonts w:ascii="Arial" w:hAnsi="Arial" w:cs="Arial"/>
          <w:bCs/>
          <w:sz w:val="24"/>
          <w:szCs w:val="24"/>
          <w:lang w:val="en-GB"/>
        </w:rPr>
      </w:pPr>
    </w:p>
    <w:p w:rsidR="008714F1" w:rsidRDefault="008714F1" w:rsidP="00C66346">
      <w:pPr>
        <w:spacing w:after="0" w:line="360" w:lineRule="auto"/>
        <w:contextualSpacing/>
        <w:jc w:val="both"/>
        <w:rPr>
          <w:rFonts w:ascii="Arial" w:hAnsi="Arial" w:cs="Arial"/>
          <w:b/>
          <w:bCs/>
          <w:sz w:val="24"/>
          <w:szCs w:val="24"/>
          <w:lang w:val="en-GB"/>
        </w:rPr>
      </w:pPr>
    </w:p>
    <w:p w:rsidR="008714F1" w:rsidRPr="008714F1" w:rsidRDefault="008714F1" w:rsidP="00C66346">
      <w:pPr>
        <w:spacing w:after="0" w:line="360" w:lineRule="auto"/>
        <w:contextualSpacing/>
        <w:jc w:val="both"/>
        <w:rPr>
          <w:rFonts w:ascii="Arial" w:eastAsia="Calibri" w:hAnsi="Arial" w:cs="Arial"/>
          <w:b/>
          <w:color w:val="0070C0"/>
          <w:sz w:val="24"/>
          <w:szCs w:val="24"/>
          <w:lang w:val="en-GB"/>
        </w:rPr>
      </w:pPr>
      <w:bookmarkStart w:id="0" w:name="_GoBack"/>
      <w:bookmarkEnd w:id="0"/>
    </w:p>
    <w:p w:rsidR="00EA5109" w:rsidRPr="00382865" w:rsidRDefault="008462F7" w:rsidP="008462F7">
      <w:pPr>
        <w:spacing w:after="0" w:line="360" w:lineRule="auto"/>
        <w:ind w:left="720" w:hanging="720"/>
        <w:jc w:val="center"/>
        <w:outlineLvl w:val="0"/>
        <w:rPr>
          <w:rFonts w:ascii="Arial" w:eastAsia="Calibri" w:hAnsi="Arial" w:cs="Arial"/>
          <w:b/>
          <w:bCs/>
          <w:sz w:val="24"/>
          <w:szCs w:val="24"/>
          <w:lang w:val="en-GB"/>
        </w:rPr>
      </w:pPr>
      <w:r>
        <w:rPr>
          <w:rFonts w:ascii="Arial" w:eastAsia="Calibri" w:hAnsi="Arial" w:cs="Arial"/>
          <w:b/>
          <w:sz w:val="24"/>
          <w:szCs w:val="24"/>
          <w:lang w:val="en-GB"/>
        </w:rPr>
        <w:t>-</w:t>
      </w:r>
      <w:r>
        <w:rPr>
          <w:rFonts w:ascii="Arial" w:eastAsia="Calibri" w:hAnsi="Arial" w:cs="Arial"/>
          <w:b/>
          <w:bCs/>
          <w:sz w:val="24"/>
          <w:szCs w:val="24"/>
          <w:lang w:val="en-GB"/>
        </w:rPr>
        <w:t>END-</w:t>
      </w:r>
    </w:p>
    <w:sectPr w:rsidR="00EA5109" w:rsidRPr="00382865" w:rsidSect="00F01021">
      <w:headerReference w:type="default" r:id="rId9"/>
      <w:footerReference w:type="default" r:id="rId10"/>
      <w:pgSz w:w="11906" w:h="16838"/>
      <w:pgMar w:top="426" w:right="1440"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BC8" w:rsidRDefault="005A5BC8" w:rsidP="006D054B">
      <w:pPr>
        <w:spacing w:after="0" w:line="240" w:lineRule="auto"/>
      </w:pPr>
      <w:r>
        <w:separator/>
      </w:r>
    </w:p>
  </w:endnote>
  <w:endnote w:type="continuationSeparator" w:id="1">
    <w:p w:rsidR="005A5BC8" w:rsidRDefault="005A5BC8"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swiss"/>
    <w:pitch w:val="variable"/>
    <w:sig w:usb0="E1000AEF" w:usb1="5000A1FF" w:usb2="00000000" w:usb3="00000000" w:csb0="000001B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A9104F">
        <w:pPr>
          <w:pStyle w:val="Footer"/>
          <w:jc w:val="center"/>
        </w:pPr>
        <w:r>
          <w:fldChar w:fldCharType="begin"/>
        </w:r>
        <w:r w:rsidR="00C90387">
          <w:instrText xml:space="preserve"> PAGE   \* MERGEFORMAT </w:instrText>
        </w:r>
        <w:r>
          <w:fldChar w:fldCharType="separate"/>
        </w:r>
        <w:r w:rsidR="000F3DD1">
          <w:rPr>
            <w:noProof/>
          </w:rPr>
          <w:t>1</w:t>
        </w:r>
        <w:r>
          <w:rPr>
            <w:noProof/>
          </w:rPr>
          <w:fldChar w:fldCharType="end"/>
        </w:r>
      </w:p>
    </w:sdtContent>
  </w:sdt>
  <w:p w:rsidR="00C90387" w:rsidRDefault="00B70823" w:rsidP="00C90387">
    <w:pPr>
      <w:pStyle w:val="Footer"/>
      <w:jc w:val="center"/>
    </w:pPr>
    <w:r>
      <w:t>Parliamentary Question</w:t>
    </w:r>
    <w:r w:rsidR="000641C2">
      <w:t>: NA PQ 1527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BC8" w:rsidRDefault="005A5BC8" w:rsidP="006D054B">
      <w:pPr>
        <w:spacing w:after="0" w:line="240" w:lineRule="auto"/>
      </w:pPr>
      <w:r>
        <w:separator/>
      </w:r>
    </w:p>
  </w:footnote>
  <w:footnote w:type="continuationSeparator" w:id="1">
    <w:p w:rsidR="005A5BC8" w:rsidRDefault="005A5BC8"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7">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7B6800"/>
    <w:multiLevelType w:val="hybridMultilevel"/>
    <w:tmpl w:val="8B0A940A"/>
    <w:lvl w:ilvl="0" w:tplc="1C090001">
      <w:start w:val="1"/>
      <w:numFmt w:val="bullet"/>
      <w:lvlText w:val=""/>
      <w:lvlJc w:val="left"/>
      <w:pPr>
        <w:ind w:left="360" w:hanging="360"/>
      </w:pPr>
      <w:rPr>
        <w:rFonts w:ascii="Symbol" w:hAnsi="Symbol" w:hint="default"/>
        <w:b w:val="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0">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B592A67"/>
    <w:multiLevelType w:val="hybridMultilevel"/>
    <w:tmpl w:val="1EC48E9A"/>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3">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D56222"/>
    <w:multiLevelType w:val="hybridMultilevel"/>
    <w:tmpl w:val="2FF413BC"/>
    <w:lvl w:ilvl="0" w:tplc="26607A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6"/>
  </w:num>
  <w:num w:numId="2">
    <w:abstractNumId w:val="26"/>
  </w:num>
  <w:num w:numId="3">
    <w:abstractNumId w:val="17"/>
  </w:num>
  <w:num w:numId="4">
    <w:abstractNumId w:val="6"/>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7"/>
  </w:num>
  <w:num w:numId="7">
    <w:abstractNumId w:val="4"/>
  </w:num>
  <w:num w:numId="8">
    <w:abstractNumId w:val="21"/>
  </w:num>
  <w:num w:numId="9">
    <w:abstractNumId w:val="16"/>
  </w:num>
  <w:num w:numId="10">
    <w:abstractNumId w:val="0"/>
  </w:num>
  <w:num w:numId="11">
    <w:abstractNumId w:val="13"/>
  </w:num>
  <w:num w:numId="12">
    <w:abstractNumId w:val="18"/>
  </w:num>
  <w:num w:numId="13">
    <w:abstractNumId w:val="25"/>
  </w:num>
  <w:num w:numId="14">
    <w:abstractNumId w:val="11"/>
  </w:num>
  <w:num w:numId="15">
    <w:abstractNumId w:val="2"/>
  </w:num>
  <w:num w:numId="16">
    <w:abstractNumId w:val="12"/>
  </w:num>
  <w:num w:numId="17">
    <w:abstractNumId w:val="20"/>
  </w:num>
  <w:num w:numId="18">
    <w:abstractNumId w:val="15"/>
  </w:num>
  <w:num w:numId="19">
    <w:abstractNumId w:val="19"/>
  </w:num>
  <w:num w:numId="20">
    <w:abstractNumId w:val="1"/>
  </w:num>
  <w:num w:numId="21">
    <w:abstractNumId w:val="23"/>
  </w:num>
  <w:num w:numId="22">
    <w:abstractNumId w:val="10"/>
  </w:num>
  <w:num w:numId="23">
    <w:abstractNumId w:val="14"/>
  </w:num>
  <w:num w:numId="24">
    <w:abstractNumId w:val="7"/>
  </w:num>
  <w:num w:numId="25">
    <w:abstractNumId w:val="8"/>
  </w:num>
  <w:num w:numId="26">
    <w:abstractNumId w:val="3"/>
  </w:num>
  <w:num w:numId="27">
    <w:abstractNumId w:val="2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916351"/>
    <w:rsid w:val="00006948"/>
    <w:rsid w:val="000077EE"/>
    <w:rsid w:val="0003191E"/>
    <w:rsid w:val="00031D1F"/>
    <w:rsid w:val="00041805"/>
    <w:rsid w:val="00046D78"/>
    <w:rsid w:val="000641C2"/>
    <w:rsid w:val="0006536D"/>
    <w:rsid w:val="00071E10"/>
    <w:rsid w:val="000A1339"/>
    <w:rsid w:val="000B0517"/>
    <w:rsid w:val="000B2DB1"/>
    <w:rsid w:val="000C4638"/>
    <w:rsid w:val="000D3BB4"/>
    <w:rsid w:val="000D4BD5"/>
    <w:rsid w:val="000D608B"/>
    <w:rsid w:val="000F3DD1"/>
    <w:rsid w:val="0011266D"/>
    <w:rsid w:val="00130895"/>
    <w:rsid w:val="00155D91"/>
    <w:rsid w:val="0016019E"/>
    <w:rsid w:val="001602E3"/>
    <w:rsid w:val="00172E12"/>
    <w:rsid w:val="00176749"/>
    <w:rsid w:val="00182352"/>
    <w:rsid w:val="00184B5B"/>
    <w:rsid w:val="001877AA"/>
    <w:rsid w:val="0019258D"/>
    <w:rsid w:val="00197D18"/>
    <w:rsid w:val="001A33E4"/>
    <w:rsid w:val="001C2546"/>
    <w:rsid w:val="00212F7F"/>
    <w:rsid w:val="002150F1"/>
    <w:rsid w:val="00226F0C"/>
    <w:rsid w:val="002329A1"/>
    <w:rsid w:val="0023521C"/>
    <w:rsid w:val="0024155F"/>
    <w:rsid w:val="00242E7F"/>
    <w:rsid w:val="002447C0"/>
    <w:rsid w:val="002459C4"/>
    <w:rsid w:val="00251810"/>
    <w:rsid w:val="002534B7"/>
    <w:rsid w:val="0028153A"/>
    <w:rsid w:val="002855D7"/>
    <w:rsid w:val="0028785A"/>
    <w:rsid w:val="0029231C"/>
    <w:rsid w:val="00294D96"/>
    <w:rsid w:val="002A1D56"/>
    <w:rsid w:val="002A46DB"/>
    <w:rsid w:val="002A5258"/>
    <w:rsid w:val="002B0ED2"/>
    <w:rsid w:val="002B671E"/>
    <w:rsid w:val="002C1B9E"/>
    <w:rsid w:val="002D0830"/>
    <w:rsid w:val="002D69F4"/>
    <w:rsid w:val="00301F58"/>
    <w:rsid w:val="00314B9A"/>
    <w:rsid w:val="0031644A"/>
    <w:rsid w:val="00332C21"/>
    <w:rsid w:val="00351BDA"/>
    <w:rsid w:val="003632E6"/>
    <w:rsid w:val="003659E4"/>
    <w:rsid w:val="00382865"/>
    <w:rsid w:val="00383F6C"/>
    <w:rsid w:val="00385BF1"/>
    <w:rsid w:val="00393085"/>
    <w:rsid w:val="003A3726"/>
    <w:rsid w:val="003B2450"/>
    <w:rsid w:val="003C5DAD"/>
    <w:rsid w:val="003D6475"/>
    <w:rsid w:val="00402C36"/>
    <w:rsid w:val="00405055"/>
    <w:rsid w:val="00414059"/>
    <w:rsid w:val="00414E30"/>
    <w:rsid w:val="00431C51"/>
    <w:rsid w:val="00437E8B"/>
    <w:rsid w:val="004469F4"/>
    <w:rsid w:val="00484CF4"/>
    <w:rsid w:val="00493614"/>
    <w:rsid w:val="004B2BE0"/>
    <w:rsid w:val="004C432F"/>
    <w:rsid w:val="004D0F02"/>
    <w:rsid w:val="004E2E71"/>
    <w:rsid w:val="004F429F"/>
    <w:rsid w:val="004F6E62"/>
    <w:rsid w:val="0051724E"/>
    <w:rsid w:val="00522CB2"/>
    <w:rsid w:val="00526B52"/>
    <w:rsid w:val="00532838"/>
    <w:rsid w:val="005401FB"/>
    <w:rsid w:val="00546254"/>
    <w:rsid w:val="0054791A"/>
    <w:rsid w:val="005624DD"/>
    <w:rsid w:val="00564DB2"/>
    <w:rsid w:val="00567F57"/>
    <w:rsid w:val="00575A3A"/>
    <w:rsid w:val="005829C2"/>
    <w:rsid w:val="00596ABB"/>
    <w:rsid w:val="00597203"/>
    <w:rsid w:val="005A5BC8"/>
    <w:rsid w:val="005A5FEE"/>
    <w:rsid w:val="005B0888"/>
    <w:rsid w:val="005C3727"/>
    <w:rsid w:val="005D3B6A"/>
    <w:rsid w:val="005E30FD"/>
    <w:rsid w:val="005E7238"/>
    <w:rsid w:val="00622A03"/>
    <w:rsid w:val="00640078"/>
    <w:rsid w:val="006420D0"/>
    <w:rsid w:val="006445D1"/>
    <w:rsid w:val="00645F45"/>
    <w:rsid w:val="00651387"/>
    <w:rsid w:val="00675324"/>
    <w:rsid w:val="006847A1"/>
    <w:rsid w:val="0069232D"/>
    <w:rsid w:val="006932B2"/>
    <w:rsid w:val="00694349"/>
    <w:rsid w:val="006B0FE2"/>
    <w:rsid w:val="006B1132"/>
    <w:rsid w:val="006C6F31"/>
    <w:rsid w:val="006D054B"/>
    <w:rsid w:val="006E5CFB"/>
    <w:rsid w:val="00707C88"/>
    <w:rsid w:val="0072078E"/>
    <w:rsid w:val="007346E2"/>
    <w:rsid w:val="00747665"/>
    <w:rsid w:val="007477F1"/>
    <w:rsid w:val="00761225"/>
    <w:rsid w:val="0078637F"/>
    <w:rsid w:val="00792751"/>
    <w:rsid w:val="007B14C3"/>
    <w:rsid w:val="007B412F"/>
    <w:rsid w:val="007B7DA8"/>
    <w:rsid w:val="007C0316"/>
    <w:rsid w:val="007D1596"/>
    <w:rsid w:val="007D1D58"/>
    <w:rsid w:val="007D2A4F"/>
    <w:rsid w:val="007D68A6"/>
    <w:rsid w:val="00803209"/>
    <w:rsid w:val="00833E81"/>
    <w:rsid w:val="00841350"/>
    <w:rsid w:val="008462F7"/>
    <w:rsid w:val="00846449"/>
    <w:rsid w:val="008528EA"/>
    <w:rsid w:val="00853BDC"/>
    <w:rsid w:val="00855ABA"/>
    <w:rsid w:val="008634FA"/>
    <w:rsid w:val="008714F1"/>
    <w:rsid w:val="00892467"/>
    <w:rsid w:val="00894F69"/>
    <w:rsid w:val="008A796E"/>
    <w:rsid w:val="008D06C0"/>
    <w:rsid w:val="008D1039"/>
    <w:rsid w:val="00911828"/>
    <w:rsid w:val="00916351"/>
    <w:rsid w:val="0093226B"/>
    <w:rsid w:val="00936D98"/>
    <w:rsid w:val="009433BE"/>
    <w:rsid w:val="0094388C"/>
    <w:rsid w:val="00962A53"/>
    <w:rsid w:val="009644E4"/>
    <w:rsid w:val="00970287"/>
    <w:rsid w:val="0099215A"/>
    <w:rsid w:val="009A0FF0"/>
    <w:rsid w:val="009C3E7C"/>
    <w:rsid w:val="009D6756"/>
    <w:rsid w:val="009D6C77"/>
    <w:rsid w:val="009F3102"/>
    <w:rsid w:val="009F4DA1"/>
    <w:rsid w:val="00A01A30"/>
    <w:rsid w:val="00A1169C"/>
    <w:rsid w:val="00A140D0"/>
    <w:rsid w:val="00A1795F"/>
    <w:rsid w:val="00A21156"/>
    <w:rsid w:val="00A46E81"/>
    <w:rsid w:val="00A557B1"/>
    <w:rsid w:val="00A73654"/>
    <w:rsid w:val="00A81AFD"/>
    <w:rsid w:val="00A8329E"/>
    <w:rsid w:val="00A84F6F"/>
    <w:rsid w:val="00A9104F"/>
    <w:rsid w:val="00A922E1"/>
    <w:rsid w:val="00A92308"/>
    <w:rsid w:val="00AB1371"/>
    <w:rsid w:val="00AB27A3"/>
    <w:rsid w:val="00AB6763"/>
    <w:rsid w:val="00AD1369"/>
    <w:rsid w:val="00AD5AE5"/>
    <w:rsid w:val="00AD7FCF"/>
    <w:rsid w:val="00AE418E"/>
    <w:rsid w:val="00AE6F53"/>
    <w:rsid w:val="00AF23A5"/>
    <w:rsid w:val="00AF736F"/>
    <w:rsid w:val="00B04589"/>
    <w:rsid w:val="00B2231A"/>
    <w:rsid w:val="00B236EF"/>
    <w:rsid w:val="00B263F6"/>
    <w:rsid w:val="00B328B6"/>
    <w:rsid w:val="00B43F0E"/>
    <w:rsid w:val="00B536E7"/>
    <w:rsid w:val="00B54A00"/>
    <w:rsid w:val="00B55633"/>
    <w:rsid w:val="00B55CFF"/>
    <w:rsid w:val="00B61B07"/>
    <w:rsid w:val="00B66060"/>
    <w:rsid w:val="00B66578"/>
    <w:rsid w:val="00B676BD"/>
    <w:rsid w:val="00B70823"/>
    <w:rsid w:val="00B77AE5"/>
    <w:rsid w:val="00B9157F"/>
    <w:rsid w:val="00BA3106"/>
    <w:rsid w:val="00BA3DD8"/>
    <w:rsid w:val="00BB36A7"/>
    <w:rsid w:val="00BB497F"/>
    <w:rsid w:val="00BB62D5"/>
    <w:rsid w:val="00BC607B"/>
    <w:rsid w:val="00BD2787"/>
    <w:rsid w:val="00BD79B2"/>
    <w:rsid w:val="00BE27AE"/>
    <w:rsid w:val="00C02FFC"/>
    <w:rsid w:val="00C0398D"/>
    <w:rsid w:val="00C05717"/>
    <w:rsid w:val="00C07922"/>
    <w:rsid w:val="00C1754E"/>
    <w:rsid w:val="00C23C1E"/>
    <w:rsid w:val="00C26949"/>
    <w:rsid w:val="00C4613A"/>
    <w:rsid w:val="00C55176"/>
    <w:rsid w:val="00C56886"/>
    <w:rsid w:val="00C60F52"/>
    <w:rsid w:val="00C638A7"/>
    <w:rsid w:val="00C66346"/>
    <w:rsid w:val="00C71BF9"/>
    <w:rsid w:val="00C7608B"/>
    <w:rsid w:val="00C84F4F"/>
    <w:rsid w:val="00C84F7E"/>
    <w:rsid w:val="00C8544C"/>
    <w:rsid w:val="00C85DD8"/>
    <w:rsid w:val="00C90387"/>
    <w:rsid w:val="00C9270E"/>
    <w:rsid w:val="00CA33C9"/>
    <w:rsid w:val="00CC0725"/>
    <w:rsid w:val="00CC7044"/>
    <w:rsid w:val="00CD17CD"/>
    <w:rsid w:val="00D0517B"/>
    <w:rsid w:val="00D33196"/>
    <w:rsid w:val="00D3539F"/>
    <w:rsid w:val="00D37942"/>
    <w:rsid w:val="00D410C1"/>
    <w:rsid w:val="00D462DD"/>
    <w:rsid w:val="00D478E4"/>
    <w:rsid w:val="00D52868"/>
    <w:rsid w:val="00D66290"/>
    <w:rsid w:val="00D722D0"/>
    <w:rsid w:val="00D75E12"/>
    <w:rsid w:val="00D81223"/>
    <w:rsid w:val="00D906CA"/>
    <w:rsid w:val="00D93BDC"/>
    <w:rsid w:val="00D95D80"/>
    <w:rsid w:val="00D97348"/>
    <w:rsid w:val="00DD063F"/>
    <w:rsid w:val="00DE45A5"/>
    <w:rsid w:val="00DE4BB9"/>
    <w:rsid w:val="00E1367D"/>
    <w:rsid w:val="00E44BAD"/>
    <w:rsid w:val="00E5135B"/>
    <w:rsid w:val="00E554C9"/>
    <w:rsid w:val="00E6096E"/>
    <w:rsid w:val="00E6175B"/>
    <w:rsid w:val="00E846E6"/>
    <w:rsid w:val="00E900D5"/>
    <w:rsid w:val="00EA2BA8"/>
    <w:rsid w:val="00EA50B4"/>
    <w:rsid w:val="00EA5109"/>
    <w:rsid w:val="00EA6E2E"/>
    <w:rsid w:val="00EB70F6"/>
    <w:rsid w:val="00EE05BB"/>
    <w:rsid w:val="00EE6E0C"/>
    <w:rsid w:val="00EF6351"/>
    <w:rsid w:val="00F01021"/>
    <w:rsid w:val="00F04A3B"/>
    <w:rsid w:val="00F065DF"/>
    <w:rsid w:val="00F15796"/>
    <w:rsid w:val="00F32232"/>
    <w:rsid w:val="00F51CB8"/>
    <w:rsid w:val="00F671DD"/>
    <w:rsid w:val="00F716B6"/>
    <w:rsid w:val="00F8074E"/>
    <w:rsid w:val="00F9020F"/>
    <w:rsid w:val="00FB765E"/>
    <w:rsid w:val="00FC3609"/>
    <w:rsid w:val="00FC502E"/>
    <w:rsid w:val="00FD0332"/>
    <w:rsid w:val="00FD33FF"/>
    <w:rsid w:val="00FD745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476533969">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08195432">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4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0BCD4-31FB-45BD-BB45-C66D2B0D5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2020-03-20T10:31:00Z</cp:lastPrinted>
  <dcterms:created xsi:type="dcterms:W3CDTF">2020-08-21T13:58:00Z</dcterms:created>
  <dcterms:modified xsi:type="dcterms:W3CDTF">2020-08-21T13:58:00Z</dcterms:modified>
</cp:coreProperties>
</file>