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98" w:rsidRDefault="00337898" w:rsidP="00337898">
      <w:pPr>
        <w:tabs>
          <w:tab w:val="left" w:pos="576"/>
          <w:tab w:val="left" w:pos="1296"/>
          <w:tab w:val="left" w:pos="6336"/>
        </w:tabs>
        <w:spacing w:after="0" w:line="360" w:lineRule="auto"/>
        <w:jc w:val="center"/>
        <w:rPr>
          <w:rFonts w:cs="Arial"/>
          <w:b/>
          <w:sz w:val="24"/>
          <w:szCs w:val="24"/>
        </w:rPr>
      </w:pPr>
      <w:r w:rsidRPr="00DA6A33">
        <w:rPr>
          <w:rFonts w:cs="Arial"/>
          <w:b/>
          <w:sz w:val="24"/>
          <w:szCs w:val="24"/>
        </w:rPr>
        <w:t>NATIONAL ASSEMBLY</w:t>
      </w:r>
    </w:p>
    <w:p w:rsidR="00337898" w:rsidRDefault="00337898" w:rsidP="00337898">
      <w:pPr>
        <w:tabs>
          <w:tab w:val="left" w:pos="6336"/>
        </w:tabs>
        <w:spacing w:after="0" w:line="480" w:lineRule="auto"/>
        <w:ind w:left="70"/>
        <w:rPr>
          <w:rFonts w:eastAsia="Calibri" w:cs="Arial"/>
          <w:b/>
          <w:sz w:val="24"/>
          <w:szCs w:val="24"/>
          <w:u w:val="single"/>
        </w:rPr>
      </w:pPr>
    </w:p>
    <w:p w:rsidR="00337898" w:rsidRPr="007031CC" w:rsidRDefault="00337898" w:rsidP="00337898">
      <w:pPr>
        <w:tabs>
          <w:tab w:val="left" w:pos="6336"/>
        </w:tabs>
        <w:spacing w:after="0" w:line="480" w:lineRule="auto"/>
        <w:ind w:left="70"/>
        <w:rPr>
          <w:rFonts w:eastAsia="Calibri" w:cs="Arial"/>
          <w:b/>
          <w:sz w:val="24"/>
          <w:szCs w:val="24"/>
          <w:u w:val="single"/>
        </w:rPr>
      </w:pPr>
      <w:r w:rsidRPr="007031CC">
        <w:rPr>
          <w:rFonts w:eastAsia="Calibri" w:cs="Arial"/>
          <w:b/>
          <w:sz w:val="24"/>
          <w:szCs w:val="24"/>
          <w:u w:val="single"/>
        </w:rPr>
        <w:t xml:space="preserve">QUESTION NO: </w:t>
      </w:r>
      <w:r>
        <w:rPr>
          <w:rFonts w:eastAsia="Calibri" w:cs="Arial"/>
          <w:b/>
          <w:sz w:val="24"/>
          <w:szCs w:val="24"/>
          <w:u w:val="single"/>
        </w:rPr>
        <w:t>1519</w:t>
      </w:r>
      <w:r w:rsidRPr="007031CC">
        <w:rPr>
          <w:rFonts w:eastAsia="Calibri" w:cs="Arial"/>
          <w:b/>
          <w:sz w:val="24"/>
          <w:szCs w:val="24"/>
          <w:u w:val="single"/>
        </w:rPr>
        <w:t>-</w:t>
      </w:r>
      <w:r>
        <w:rPr>
          <w:rFonts w:eastAsia="Calibri" w:cs="Arial"/>
          <w:b/>
          <w:sz w:val="24"/>
          <w:szCs w:val="24"/>
          <w:u w:val="single"/>
        </w:rPr>
        <w:t>2017</w:t>
      </w:r>
    </w:p>
    <w:p w:rsidR="00337898" w:rsidRPr="00742CFF" w:rsidRDefault="00337898" w:rsidP="00337898">
      <w:pPr>
        <w:tabs>
          <w:tab w:val="left" w:pos="6336"/>
        </w:tabs>
        <w:spacing w:after="0" w:line="480" w:lineRule="auto"/>
        <w:ind w:left="70"/>
        <w:rPr>
          <w:rFonts w:cs="Arial"/>
          <w:b/>
          <w:sz w:val="24"/>
          <w:szCs w:val="24"/>
          <w:u w:val="single"/>
        </w:rPr>
      </w:pPr>
      <w:r w:rsidRPr="007031CC">
        <w:rPr>
          <w:rFonts w:cs="Arial"/>
          <w:b/>
          <w:sz w:val="24"/>
          <w:szCs w:val="24"/>
          <w:u w:val="single"/>
        </w:rPr>
        <w:t>FOR WRITTEN REPLY</w:t>
      </w:r>
    </w:p>
    <w:p w:rsidR="00337898" w:rsidRPr="00742CFF" w:rsidRDefault="00337898" w:rsidP="00337898">
      <w:pPr>
        <w:spacing w:after="0" w:line="360" w:lineRule="auto"/>
        <w:ind w:left="70"/>
        <w:rPr>
          <w:rFonts w:eastAsia="Calibri" w:cs="Arial"/>
          <w:b/>
          <w:sz w:val="24"/>
          <w:szCs w:val="24"/>
        </w:rPr>
      </w:pPr>
      <w:r w:rsidRPr="00106441">
        <w:rPr>
          <w:rFonts w:eastAsia="Calibri" w:cs="Arial"/>
          <w:b/>
          <w:sz w:val="24"/>
          <w:szCs w:val="24"/>
        </w:rPr>
        <w:t xml:space="preserve">DATE OF PUBLICATION IN </w:t>
      </w:r>
      <w:r>
        <w:rPr>
          <w:rFonts w:eastAsia="Calibri" w:cs="Arial"/>
          <w:b/>
          <w:sz w:val="24"/>
          <w:szCs w:val="24"/>
        </w:rPr>
        <w:t xml:space="preserve">THE </w:t>
      </w:r>
      <w:r w:rsidRPr="00106441">
        <w:rPr>
          <w:rFonts w:eastAsia="Calibri" w:cs="Arial"/>
          <w:b/>
          <w:sz w:val="24"/>
          <w:szCs w:val="24"/>
        </w:rPr>
        <w:t xml:space="preserve">INTERNAL QUESTION PAPER: </w:t>
      </w:r>
      <w:r>
        <w:rPr>
          <w:rFonts w:eastAsia="Calibri" w:cs="Arial"/>
          <w:b/>
          <w:sz w:val="24"/>
          <w:szCs w:val="24"/>
        </w:rPr>
        <w:t xml:space="preserve">02 JUNE 2017 </w:t>
      </w:r>
      <w:r w:rsidRPr="00857ACB">
        <w:rPr>
          <w:rFonts w:eastAsia="Calibri" w:cs="Arial"/>
          <w:b/>
          <w:sz w:val="24"/>
          <w:szCs w:val="24"/>
        </w:rPr>
        <w:t>(INTERNAL QUESTION PAPER NO</w:t>
      </w:r>
      <w:r>
        <w:rPr>
          <w:rFonts w:eastAsia="Calibri" w:cs="Arial"/>
          <w:b/>
          <w:sz w:val="24"/>
          <w:szCs w:val="24"/>
        </w:rPr>
        <w:t>. 20-2017)</w:t>
      </w:r>
    </w:p>
    <w:p w:rsidR="00337898" w:rsidRPr="00742CFF" w:rsidRDefault="00337898" w:rsidP="00337898">
      <w:pPr>
        <w:pStyle w:val="DACBODYTEXT"/>
        <w:spacing w:after="0"/>
        <w:ind w:left="0"/>
        <w:jc w:val="both"/>
        <w:rPr>
          <w:rFonts w:cs="Arial"/>
          <w:sz w:val="32"/>
          <w:szCs w:val="32"/>
        </w:rPr>
      </w:pPr>
      <w:r w:rsidRPr="00742CFF">
        <w:rPr>
          <w:rFonts w:eastAsia="Calibri" w:cs="Arial"/>
          <w:sz w:val="32"/>
          <w:szCs w:val="32"/>
        </w:rPr>
        <w:t xml:space="preserve">“Dr G </w:t>
      </w:r>
      <w:proofErr w:type="gramStart"/>
      <w:r w:rsidRPr="00742CFF">
        <w:rPr>
          <w:rFonts w:eastAsia="Calibri" w:cs="Arial"/>
          <w:sz w:val="32"/>
          <w:szCs w:val="32"/>
        </w:rPr>
        <w:t>A</w:t>
      </w:r>
      <w:proofErr w:type="gramEnd"/>
      <w:r w:rsidRPr="00742CFF">
        <w:rPr>
          <w:rFonts w:eastAsia="Calibri" w:cs="Arial"/>
          <w:sz w:val="32"/>
          <w:szCs w:val="32"/>
        </w:rPr>
        <w:t xml:space="preserve"> </w:t>
      </w:r>
      <w:proofErr w:type="spellStart"/>
      <w:r w:rsidRPr="00742CFF">
        <w:rPr>
          <w:rFonts w:eastAsia="Calibri" w:cs="Arial"/>
          <w:sz w:val="32"/>
          <w:szCs w:val="32"/>
        </w:rPr>
        <w:t>Grootboom</w:t>
      </w:r>
      <w:proofErr w:type="spellEnd"/>
      <w:r w:rsidRPr="00742CFF">
        <w:rPr>
          <w:rFonts w:eastAsia="Calibri" w:cs="Arial"/>
          <w:sz w:val="32"/>
          <w:szCs w:val="32"/>
        </w:rPr>
        <w:t xml:space="preserve"> (DA)</w:t>
      </w:r>
      <w:r w:rsidRPr="00742CFF">
        <w:rPr>
          <w:rFonts w:cs="Arial"/>
          <w:sz w:val="32"/>
          <w:szCs w:val="32"/>
        </w:rPr>
        <w:t xml:space="preserve"> to ask the Minister of Arts and Culture: </w:t>
      </w:r>
    </w:p>
    <w:p w:rsidR="00337898" w:rsidRPr="00742CFF" w:rsidRDefault="00337898" w:rsidP="00337898">
      <w:pPr>
        <w:pStyle w:val="ListParagraph"/>
        <w:numPr>
          <w:ilvl w:val="0"/>
          <w:numId w:val="1"/>
        </w:numPr>
        <w:spacing w:after="0"/>
        <w:ind w:hanging="720"/>
        <w:contextualSpacing w:val="0"/>
        <w:jc w:val="both"/>
        <w:rPr>
          <w:rFonts w:cs="Arial"/>
          <w:sz w:val="32"/>
          <w:szCs w:val="32"/>
        </w:rPr>
      </w:pPr>
      <w:r w:rsidRPr="00742CFF">
        <w:rPr>
          <w:rFonts w:cs="Arial"/>
          <w:sz w:val="32"/>
          <w:szCs w:val="32"/>
        </w:rPr>
        <w:t xml:space="preserve">What (a) motivated his department to continue with the embattled </w:t>
      </w:r>
      <w:proofErr w:type="spellStart"/>
      <w:r w:rsidRPr="00742CFF">
        <w:rPr>
          <w:rFonts w:cs="Arial"/>
          <w:sz w:val="32"/>
          <w:szCs w:val="32"/>
        </w:rPr>
        <w:t>Enyokeni</w:t>
      </w:r>
      <w:proofErr w:type="spellEnd"/>
      <w:r w:rsidRPr="00742CFF">
        <w:rPr>
          <w:rFonts w:cs="Arial"/>
          <w:sz w:val="32"/>
          <w:szCs w:val="32"/>
        </w:rPr>
        <w:t xml:space="preserve"> Cultural Precinct project and (b) justified the further injection of R28,1 million into the specific project in the 2017-18 financial year;</w:t>
      </w:r>
    </w:p>
    <w:p w:rsidR="00337898" w:rsidRPr="00742CFF" w:rsidRDefault="00337898" w:rsidP="00337898">
      <w:pPr>
        <w:pStyle w:val="ListParagraph"/>
        <w:numPr>
          <w:ilvl w:val="0"/>
          <w:numId w:val="1"/>
        </w:numPr>
        <w:spacing w:after="0"/>
        <w:ind w:hanging="720"/>
        <w:contextualSpacing w:val="0"/>
        <w:jc w:val="both"/>
        <w:rPr>
          <w:rFonts w:cs="Arial"/>
          <w:sz w:val="32"/>
          <w:szCs w:val="32"/>
        </w:rPr>
      </w:pPr>
      <w:r w:rsidRPr="00742CFF">
        <w:rPr>
          <w:rFonts w:cs="Arial"/>
          <w:sz w:val="32"/>
          <w:szCs w:val="32"/>
        </w:rPr>
        <w:t>What prompted the termination of projects in collaboration with the Independent Development Trust in the specified project;</w:t>
      </w:r>
    </w:p>
    <w:p w:rsidR="00337898" w:rsidRPr="00742CFF" w:rsidRDefault="00337898" w:rsidP="00337898">
      <w:pPr>
        <w:pStyle w:val="ListParagraph"/>
        <w:numPr>
          <w:ilvl w:val="0"/>
          <w:numId w:val="1"/>
        </w:numPr>
        <w:spacing w:after="0"/>
        <w:ind w:hanging="720"/>
        <w:contextualSpacing w:val="0"/>
        <w:jc w:val="both"/>
        <w:rPr>
          <w:rFonts w:cs="Arial"/>
          <w:sz w:val="32"/>
          <w:szCs w:val="32"/>
        </w:rPr>
      </w:pPr>
      <w:r w:rsidRPr="00742CFF">
        <w:rPr>
          <w:rFonts w:cs="Arial"/>
          <w:sz w:val="32"/>
          <w:szCs w:val="32"/>
        </w:rPr>
        <w:t>With reference to the findings of the forensic investigation into the specified project, (a) which officials who were found to have been involved were charged with impropriety and (b) what progress has been made with the charges in each case?</w:t>
      </w:r>
    </w:p>
    <w:p w:rsidR="00337898" w:rsidRPr="00742CFF" w:rsidRDefault="00337898" w:rsidP="00337898">
      <w:pPr>
        <w:spacing w:after="0"/>
        <w:ind w:left="7200"/>
        <w:jc w:val="both"/>
        <w:rPr>
          <w:rFonts w:cs="Arial"/>
          <w:b/>
          <w:sz w:val="32"/>
          <w:szCs w:val="32"/>
          <w:lang w:val="en-US" w:eastAsia="ar-SA"/>
        </w:rPr>
      </w:pPr>
      <w:r w:rsidRPr="00742CFF">
        <w:rPr>
          <w:rFonts w:cs="Arial"/>
          <w:b/>
          <w:sz w:val="32"/>
          <w:szCs w:val="32"/>
          <w:lang w:val="en-US" w:eastAsia="ar-SA"/>
        </w:rPr>
        <w:t>(NW1720E)</w:t>
      </w:r>
    </w:p>
    <w:p w:rsidR="00337898" w:rsidRPr="00742CFF" w:rsidRDefault="00337898" w:rsidP="00337898">
      <w:pPr>
        <w:spacing w:after="0"/>
        <w:ind w:left="70"/>
        <w:jc w:val="both"/>
        <w:rPr>
          <w:rFonts w:cs="Arial"/>
          <w:b/>
          <w:sz w:val="32"/>
          <w:szCs w:val="32"/>
        </w:rPr>
      </w:pPr>
      <w:r w:rsidRPr="00742CFF">
        <w:rPr>
          <w:rFonts w:cs="Arial"/>
          <w:b/>
          <w:sz w:val="32"/>
          <w:szCs w:val="32"/>
        </w:rPr>
        <w:t>REPLY:</w:t>
      </w:r>
    </w:p>
    <w:p w:rsidR="00337898" w:rsidRPr="00742CFF" w:rsidRDefault="00337898" w:rsidP="00337898">
      <w:pPr>
        <w:suppressAutoHyphens/>
        <w:spacing w:after="0"/>
        <w:ind w:left="720" w:hanging="720"/>
        <w:jc w:val="both"/>
        <w:rPr>
          <w:rFonts w:cs="Arial"/>
          <w:sz w:val="32"/>
          <w:szCs w:val="32"/>
          <w:lang w:eastAsia="ar-SA"/>
        </w:rPr>
      </w:pPr>
      <w:r w:rsidRPr="00742CFF">
        <w:rPr>
          <w:rFonts w:cs="Arial"/>
          <w:sz w:val="32"/>
          <w:szCs w:val="32"/>
          <w:lang w:eastAsia="ar-SA"/>
        </w:rPr>
        <w:t>1. (</w:t>
      </w:r>
      <w:proofErr w:type="gramStart"/>
      <w:r w:rsidRPr="00742CFF">
        <w:rPr>
          <w:rFonts w:cs="Arial"/>
          <w:sz w:val="32"/>
          <w:szCs w:val="32"/>
          <w:lang w:eastAsia="ar-SA"/>
        </w:rPr>
        <w:t>a</w:t>
      </w:r>
      <w:proofErr w:type="gramEnd"/>
      <w:r w:rsidRPr="00742CFF">
        <w:rPr>
          <w:rFonts w:cs="Arial"/>
          <w:sz w:val="32"/>
          <w:szCs w:val="32"/>
          <w:lang w:eastAsia="ar-SA"/>
        </w:rPr>
        <w:t>).</w:t>
      </w:r>
      <w:r w:rsidRPr="00742CFF">
        <w:rPr>
          <w:rFonts w:cs="Arial"/>
          <w:sz w:val="32"/>
          <w:szCs w:val="32"/>
          <w:lang w:eastAsia="ar-SA"/>
        </w:rPr>
        <w:tab/>
        <w:t xml:space="preserve">Following the forensic investigation into </w:t>
      </w:r>
      <w:proofErr w:type="spellStart"/>
      <w:r w:rsidRPr="00742CFF">
        <w:rPr>
          <w:rFonts w:cs="Arial"/>
          <w:sz w:val="32"/>
          <w:szCs w:val="32"/>
          <w:lang w:eastAsia="ar-SA"/>
        </w:rPr>
        <w:t>Enyokeni</w:t>
      </w:r>
      <w:proofErr w:type="spellEnd"/>
      <w:r w:rsidRPr="00742CFF">
        <w:rPr>
          <w:rFonts w:cs="Arial"/>
          <w:sz w:val="32"/>
          <w:szCs w:val="32"/>
          <w:lang w:eastAsia="ar-SA"/>
        </w:rPr>
        <w:t xml:space="preserve"> Cultural Precinct and in order to determine if the Department received value for money, the Department obtained the services of </w:t>
      </w:r>
      <w:proofErr w:type="spellStart"/>
      <w:r w:rsidRPr="00742CFF">
        <w:rPr>
          <w:rFonts w:cs="Arial"/>
          <w:sz w:val="32"/>
          <w:szCs w:val="32"/>
          <w:lang w:eastAsia="ar-SA"/>
        </w:rPr>
        <w:t>Rubiquant</w:t>
      </w:r>
      <w:proofErr w:type="spellEnd"/>
      <w:r w:rsidRPr="00742CFF">
        <w:rPr>
          <w:rFonts w:cs="Arial"/>
          <w:sz w:val="32"/>
          <w:szCs w:val="32"/>
          <w:lang w:eastAsia="ar-SA"/>
        </w:rPr>
        <w:t xml:space="preserve"> Quantity Surveyors firm.  The completion of the multipurpose amphitheatre facility together with other structures that are incomplete motivated the continuation of the </w:t>
      </w:r>
      <w:proofErr w:type="spellStart"/>
      <w:r w:rsidRPr="00742CFF">
        <w:rPr>
          <w:rFonts w:cs="Arial"/>
          <w:sz w:val="32"/>
          <w:szCs w:val="32"/>
          <w:lang w:eastAsia="ar-SA"/>
        </w:rPr>
        <w:t>Enyokeni</w:t>
      </w:r>
      <w:proofErr w:type="spellEnd"/>
      <w:r w:rsidRPr="00742CFF">
        <w:rPr>
          <w:rFonts w:cs="Arial"/>
          <w:sz w:val="32"/>
          <w:szCs w:val="32"/>
          <w:lang w:eastAsia="ar-SA"/>
        </w:rPr>
        <w:t xml:space="preserve"> project, which if not finalised, could lead to further wasteful and fruitless expenditure and could become white elephants. Furthermore, the project is in line with the Department of </w:t>
      </w:r>
      <w:r w:rsidRPr="00742CFF">
        <w:rPr>
          <w:rFonts w:cs="Arial"/>
          <w:sz w:val="32"/>
          <w:szCs w:val="32"/>
          <w:lang w:eastAsia="ar-SA"/>
        </w:rPr>
        <w:lastRenderedPageBreak/>
        <w:t xml:space="preserve">Arts and Culture’s (DAC) mandate to develop, preserve, protect and promote arts, culture and heritage for a creative and inclusive nation. The project also has the potential of helping the DAC fulfil its strategic outcome-oriented goals based on the National Development Plan and Government’s Programme of Action which include the creation of a transformed and productive Arts, Culture and Heritage (ACH) sector that actively develops, preserves, protects and promotes diverse ACH, an effective and efficient ACH sector, an effective/impactful nation building and social cohesion programme and a professional and capacitated ACH Sector. </w:t>
      </w:r>
    </w:p>
    <w:p w:rsidR="00337898" w:rsidRPr="00742CFF" w:rsidRDefault="00337898" w:rsidP="00337898">
      <w:pPr>
        <w:suppressAutoHyphens/>
        <w:spacing w:after="0"/>
        <w:ind w:left="720" w:hanging="720"/>
        <w:jc w:val="both"/>
        <w:rPr>
          <w:rFonts w:cs="Arial"/>
          <w:sz w:val="32"/>
          <w:szCs w:val="32"/>
          <w:lang w:eastAsia="ar-SA"/>
        </w:rPr>
      </w:pPr>
    </w:p>
    <w:p w:rsidR="00337898" w:rsidRDefault="00337898" w:rsidP="00337898">
      <w:pPr>
        <w:suppressAutoHyphens/>
        <w:spacing w:after="0"/>
        <w:ind w:left="720" w:hanging="720"/>
        <w:jc w:val="both"/>
        <w:rPr>
          <w:rFonts w:cs="Arial"/>
          <w:sz w:val="32"/>
          <w:szCs w:val="32"/>
          <w:lang w:eastAsia="ar-SA"/>
        </w:rPr>
      </w:pPr>
      <w:r w:rsidRPr="00742CFF">
        <w:rPr>
          <w:rFonts w:cs="Arial"/>
          <w:sz w:val="32"/>
          <w:szCs w:val="32"/>
          <w:lang w:eastAsia="ar-SA"/>
        </w:rPr>
        <w:tab/>
        <w:t>The motivation to continue with the project is based on recognition of its cultural and heritage value that also has the potential for the creation of job opportunities</w:t>
      </w:r>
      <w:r>
        <w:rPr>
          <w:rFonts w:cs="Arial"/>
          <w:sz w:val="32"/>
          <w:szCs w:val="32"/>
          <w:lang w:eastAsia="ar-SA"/>
        </w:rPr>
        <w:t xml:space="preserve">, sustainable cultural tourism, </w:t>
      </w:r>
      <w:r w:rsidRPr="00742CFF">
        <w:rPr>
          <w:rFonts w:cs="Arial"/>
          <w:sz w:val="32"/>
          <w:szCs w:val="32"/>
          <w:lang w:eastAsia="ar-SA"/>
        </w:rPr>
        <w:t>rural infrastructure development and socio-economic development.</w:t>
      </w:r>
    </w:p>
    <w:p w:rsidR="00337898" w:rsidRPr="000E3206" w:rsidRDefault="00337898" w:rsidP="00337898">
      <w:pPr>
        <w:pStyle w:val="DACBODYTEXT"/>
        <w:rPr>
          <w:lang w:eastAsia="ar-SA"/>
        </w:rPr>
      </w:pPr>
    </w:p>
    <w:p w:rsidR="00337898" w:rsidRPr="00742CFF" w:rsidRDefault="00337898" w:rsidP="00337898">
      <w:pPr>
        <w:suppressAutoHyphens/>
        <w:rPr>
          <w:rFonts w:cs="Arial"/>
          <w:sz w:val="32"/>
          <w:szCs w:val="32"/>
          <w:lang w:eastAsia="ar-SA"/>
        </w:rPr>
      </w:pPr>
      <w:r w:rsidRPr="00742CFF">
        <w:rPr>
          <w:rFonts w:cs="Arial"/>
          <w:sz w:val="32"/>
          <w:szCs w:val="32"/>
          <w:lang w:eastAsia="ar-SA"/>
        </w:rPr>
        <w:t xml:space="preserve">(b). </w:t>
      </w:r>
      <w:r w:rsidRPr="00742CFF">
        <w:rPr>
          <w:rFonts w:cs="Arial"/>
          <w:sz w:val="32"/>
          <w:szCs w:val="32"/>
          <w:lang w:eastAsia="ar-SA"/>
        </w:rPr>
        <w:tab/>
        <w:t xml:space="preserve">The R28.1 million budgeted for the </w:t>
      </w:r>
      <w:proofErr w:type="spellStart"/>
      <w:r w:rsidRPr="00742CFF">
        <w:rPr>
          <w:rFonts w:cs="Arial"/>
          <w:sz w:val="32"/>
          <w:szCs w:val="32"/>
          <w:lang w:eastAsia="ar-SA"/>
        </w:rPr>
        <w:t>Enyokeni</w:t>
      </w:r>
      <w:proofErr w:type="spellEnd"/>
      <w:r w:rsidRPr="00742CFF">
        <w:rPr>
          <w:rFonts w:cs="Arial"/>
          <w:sz w:val="32"/>
          <w:szCs w:val="32"/>
          <w:lang w:eastAsia="ar-SA"/>
        </w:rPr>
        <w:t xml:space="preserve"> project </w:t>
      </w:r>
      <w:r w:rsidRPr="00742CFF">
        <w:rPr>
          <w:rFonts w:cs="Arial"/>
          <w:sz w:val="32"/>
          <w:szCs w:val="32"/>
        </w:rPr>
        <w:t>in the 2017-18 financial year</w:t>
      </w:r>
      <w:r w:rsidRPr="00742CFF">
        <w:rPr>
          <w:rFonts w:cs="Arial"/>
          <w:sz w:val="32"/>
          <w:szCs w:val="32"/>
          <w:lang w:eastAsia="ar-SA"/>
        </w:rPr>
        <w:t xml:space="preserve"> is the cost estimate for the completion of the multipurpose amphitheatre </w:t>
      </w:r>
      <w:r>
        <w:rPr>
          <w:rFonts w:cs="Arial"/>
          <w:sz w:val="32"/>
          <w:szCs w:val="32"/>
          <w:lang w:eastAsia="ar-SA"/>
        </w:rPr>
        <w:t xml:space="preserve">facility subject to </w:t>
      </w:r>
      <w:r w:rsidRPr="00742CFF">
        <w:rPr>
          <w:rFonts w:cs="Arial"/>
          <w:sz w:val="32"/>
          <w:szCs w:val="32"/>
          <w:lang w:eastAsia="ar-SA"/>
        </w:rPr>
        <w:t>confirmation by Bill of Quantities (</w:t>
      </w:r>
      <w:proofErr w:type="spellStart"/>
      <w:r w:rsidRPr="00742CFF">
        <w:rPr>
          <w:rFonts w:cs="Arial"/>
          <w:sz w:val="32"/>
          <w:szCs w:val="32"/>
          <w:lang w:eastAsia="ar-SA"/>
        </w:rPr>
        <w:t>BoQ</w:t>
      </w:r>
      <w:proofErr w:type="spellEnd"/>
      <w:r w:rsidRPr="00742CFF">
        <w:rPr>
          <w:rFonts w:cs="Arial"/>
          <w:sz w:val="32"/>
          <w:szCs w:val="32"/>
          <w:lang w:eastAsia="ar-SA"/>
        </w:rPr>
        <w:t xml:space="preserve">). </w:t>
      </w:r>
    </w:p>
    <w:p w:rsidR="00337898" w:rsidRPr="00742CFF" w:rsidRDefault="00337898" w:rsidP="00337898">
      <w:pPr>
        <w:tabs>
          <w:tab w:val="left" w:pos="360"/>
        </w:tabs>
        <w:suppressAutoHyphens/>
        <w:spacing w:after="0"/>
        <w:ind w:left="70"/>
        <w:jc w:val="both"/>
        <w:rPr>
          <w:rFonts w:cs="Arial"/>
          <w:bCs/>
          <w:sz w:val="32"/>
          <w:szCs w:val="32"/>
          <w:lang w:eastAsia="ar-SA"/>
        </w:rPr>
      </w:pPr>
      <w:r w:rsidRPr="00742CFF">
        <w:rPr>
          <w:rFonts w:cs="Arial"/>
          <w:bCs/>
          <w:sz w:val="32"/>
          <w:szCs w:val="32"/>
          <w:lang w:val="en-GB" w:eastAsia="ar-SA"/>
        </w:rPr>
        <w:t xml:space="preserve">2.    </w:t>
      </w:r>
      <w:r w:rsidRPr="00742CFF">
        <w:rPr>
          <w:rFonts w:cs="Arial"/>
          <w:bCs/>
          <w:sz w:val="32"/>
          <w:szCs w:val="32"/>
          <w:lang w:val="en-GB" w:eastAsia="ar-SA"/>
        </w:rPr>
        <w:tab/>
        <w:t xml:space="preserve">The termination of projects in collaboration with the Independent Development Trust was prompted by the findings of the final report by </w:t>
      </w:r>
      <w:proofErr w:type="spellStart"/>
      <w:r w:rsidRPr="00742CFF">
        <w:rPr>
          <w:rFonts w:cs="Arial"/>
          <w:bCs/>
          <w:sz w:val="32"/>
          <w:szCs w:val="32"/>
          <w:lang w:val="en-GB" w:eastAsia="ar-SA"/>
        </w:rPr>
        <w:t>Rubiquant</w:t>
      </w:r>
      <w:proofErr w:type="spellEnd"/>
      <w:r w:rsidRPr="00742CFF">
        <w:rPr>
          <w:rFonts w:cs="Arial"/>
          <w:bCs/>
          <w:sz w:val="32"/>
          <w:szCs w:val="32"/>
          <w:lang w:val="en-GB" w:eastAsia="ar-SA"/>
        </w:rPr>
        <w:t xml:space="preserve"> Quantity Surveyors which indicated that the DAC did not receive value for money in the implementation of </w:t>
      </w:r>
      <w:proofErr w:type="spellStart"/>
      <w:r w:rsidRPr="00742CFF">
        <w:rPr>
          <w:rFonts w:cs="Arial"/>
          <w:bCs/>
          <w:sz w:val="32"/>
          <w:szCs w:val="32"/>
          <w:lang w:val="en-GB" w:eastAsia="ar-SA"/>
        </w:rPr>
        <w:t>Enyokeni</w:t>
      </w:r>
      <w:proofErr w:type="spellEnd"/>
      <w:r w:rsidRPr="00742CFF">
        <w:rPr>
          <w:rFonts w:cs="Arial"/>
          <w:bCs/>
          <w:sz w:val="32"/>
          <w:szCs w:val="32"/>
          <w:lang w:val="en-GB" w:eastAsia="ar-SA"/>
        </w:rPr>
        <w:t xml:space="preserve"> Cultural Precinct Project and other Departmental infrastructure projects. </w:t>
      </w:r>
      <w:r w:rsidRPr="00742CFF">
        <w:rPr>
          <w:rFonts w:cs="Arial"/>
          <w:bCs/>
          <w:sz w:val="32"/>
          <w:szCs w:val="32"/>
          <w:lang w:eastAsia="ar-SA"/>
        </w:rPr>
        <w:t>Among others, the report outlines the following findings:</w:t>
      </w:r>
    </w:p>
    <w:p w:rsidR="00337898" w:rsidRPr="00742CFF" w:rsidRDefault="00337898" w:rsidP="00337898">
      <w:pPr>
        <w:tabs>
          <w:tab w:val="left" w:pos="720"/>
        </w:tabs>
        <w:suppressAutoHyphens/>
        <w:spacing w:after="0"/>
        <w:jc w:val="both"/>
        <w:rPr>
          <w:rFonts w:cs="Arial"/>
          <w:bCs/>
          <w:sz w:val="32"/>
          <w:szCs w:val="32"/>
          <w:lang w:eastAsia="ar-SA"/>
        </w:rPr>
      </w:pPr>
      <w:r w:rsidRPr="00742CFF">
        <w:rPr>
          <w:rFonts w:cs="Arial"/>
          <w:bCs/>
          <w:sz w:val="32"/>
          <w:szCs w:val="32"/>
          <w:lang w:eastAsia="ar-SA"/>
        </w:rPr>
        <w:t xml:space="preserve">  (</w:t>
      </w:r>
      <w:proofErr w:type="gramStart"/>
      <w:r w:rsidRPr="00742CFF">
        <w:rPr>
          <w:rFonts w:cs="Arial"/>
          <w:bCs/>
          <w:sz w:val="32"/>
          <w:szCs w:val="32"/>
          <w:lang w:eastAsia="ar-SA"/>
        </w:rPr>
        <w:t>a</w:t>
      </w:r>
      <w:proofErr w:type="gramEnd"/>
      <w:r w:rsidRPr="00742CFF">
        <w:rPr>
          <w:rFonts w:cs="Arial"/>
          <w:bCs/>
          <w:sz w:val="32"/>
          <w:szCs w:val="32"/>
          <w:lang w:eastAsia="ar-SA"/>
        </w:rPr>
        <w:t>).</w:t>
      </w:r>
      <w:r w:rsidRPr="00742CFF">
        <w:rPr>
          <w:rFonts w:cs="Arial"/>
          <w:bCs/>
          <w:sz w:val="32"/>
          <w:szCs w:val="32"/>
          <w:lang w:eastAsia="ar-SA"/>
        </w:rPr>
        <w:tab/>
        <w:t xml:space="preserve">The Department has been overcharged for a range of professional services as </w:t>
      </w:r>
      <w:r w:rsidRPr="00742CFF">
        <w:rPr>
          <w:rFonts w:cs="Arial"/>
          <w:bCs/>
          <w:sz w:val="32"/>
          <w:szCs w:val="32"/>
          <w:lang w:eastAsia="ar-SA"/>
        </w:rPr>
        <w:tab/>
        <w:t xml:space="preserve">well as for the materials used on the </w:t>
      </w:r>
      <w:proofErr w:type="spellStart"/>
      <w:r w:rsidRPr="00742CFF">
        <w:rPr>
          <w:rFonts w:cs="Arial"/>
          <w:bCs/>
          <w:sz w:val="32"/>
          <w:szCs w:val="32"/>
          <w:lang w:eastAsia="ar-SA"/>
        </w:rPr>
        <w:lastRenderedPageBreak/>
        <w:t>Enyokeni</w:t>
      </w:r>
      <w:proofErr w:type="spellEnd"/>
      <w:r w:rsidRPr="00742CFF">
        <w:rPr>
          <w:rFonts w:cs="Arial"/>
          <w:bCs/>
          <w:sz w:val="32"/>
          <w:szCs w:val="32"/>
          <w:lang w:eastAsia="ar-SA"/>
        </w:rPr>
        <w:t xml:space="preserve"> Cultural Precinct. This is </w:t>
      </w:r>
      <w:r w:rsidRPr="00742CFF">
        <w:rPr>
          <w:rFonts w:cs="Arial"/>
          <w:bCs/>
          <w:sz w:val="32"/>
          <w:szCs w:val="32"/>
          <w:lang w:eastAsia="ar-SA"/>
        </w:rPr>
        <w:tab/>
        <w:t xml:space="preserve">evident from the contracting that went beyond acceptable industry norms of 9% to 15% of the total project value to 30% that was charged on the </w:t>
      </w:r>
      <w:r w:rsidRPr="00742CFF">
        <w:rPr>
          <w:rFonts w:cs="Arial"/>
          <w:bCs/>
          <w:sz w:val="32"/>
          <w:szCs w:val="32"/>
          <w:lang w:eastAsia="ar-SA"/>
        </w:rPr>
        <w:tab/>
        <w:t>Department.</w:t>
      </w:r>
    </w:p>
    <w:p w:rsidR="00337898" w:rsidRPr="00742CFF" w:rsidRDefault="00337898" w:rsidP="00337898">
      <w:pPr>
        <w:tabs>
          <w:tab w:val="left" w:pos="720"/>
        </w:tabs>
        <w:suppressAutoHyphens/>
        <w:spacing w:after="0"/>
        <w:jc w:val="both"/>
        <w:rPr>
          <w:rFonts w:cs="Arial"/>
          <w:bCs/>
          <w:sz w:val="32"/>
          <w:szCs w:val="32"/>
          <w:lang w:eastAsia="ar-SA"/>
        </w:rPr>
      </w:pPr>
      <w:r>
        <w:rPr>
          <w:rFonts w:cs="Arial"/>
          <w:bCs/>
          <w:sz w:val="32"/>
          <w:szCs w:val="32"/>
          <w:lang w:val="en-GB" w:eastAsia="ar-SA"/>
        </w:rPr>
        <w:t xml:space="preserve">  (b). </w:t>
      </w:r>
      <w:r w:rsidRPr="00742CFF">
        <w:rPr>
          <w:rFonts w:cs="Arial"/>
          <w:bCs/>
          <w:sz w:val="32"/>
          <w:szCs w:val="32"/>
          <w:lang w:val="en-GB" w:eastAsia="ar-SA"/>
        </w:rPr>
        <w:t xml:space="preserve">The </w:t>
      </w:r>
      <w:r w:rsidRPr="00742CFF">
        <w:rPr>
          <w:rFonts w:cs="Arial"/>
          <w:bCs/>
          <w:sz w:val="32"/>
          <w:szCs w:val="32"/>
          <w:lang w:eastAsia="ar-SA"/>
        </w:rPr>
        <w:t>report further indicates that the quantity in the tender Bill of Quantities (</w:t>
      </w:r>
      <w:proofErr w:type="spellStart"/>
      <w:r w:rsidRPr="00742CFF">
        <w:rPr>
          <w:rFonts w:cs="Arial"/>
          <w:bCs/>
          <w:sz w:val="32"/>
          <w:szCs w:val="32"/>
          <w:lang w:eastAsia="ar-SA"/>
        </w:rPr>
        <w:t>BoQ</w:t>
      </w:r>
      <w:proofErr w:type="spellEnd"/>
      <w:r w:rsidRPr="00742CFF">
        <w:rPr>
          <w:rFonts w:cs="Arial"/>
          <w:bCs/>
          <w:sz w:val="32"/>
          <w:szCs w:val="32"/>
          <w:lang w:eastAsia="ar-SA"/>
        </w:rPr>
        <w:t xml:space="preserve">) was changed after the tender was advertised and such rectification caused high upward movement of the unit rates. While this is attributable to human error the DAC should have been notified of the possible escalation so </w:t>
      </w:r>
      <w:r w:rsidRPr="00742CFF">
        <w:rPr>
          <w:rFonts w:cs="Arial"/>
          <w:bCs/>
          <w:sz w:val="32"/>
          <w:szCs w:val="32"/>
          <w:lang w:eastAsia="ar-SA"/>
        </w:rPr>
        <w:tab/>
      </w:r>
      <w:r>
        <w:rPr>
          <w:rFonts w:cs="Arial"/>
          <w:bCs/>
          <w:sz w:val="32"/>
          <w:szCs w:val="32"/>
          <w:lang w:eastAsia="ar-SA"/>
        </w:rPr>
        <w:t xml:space="preserve">that </w:t>
      </w:r>
      <w:r w:rsidRPr="00742CFF">
        <w:rPr>
          <w:rFonts w:cs="Arial"/>
          <w:bCs/>
          <w:sz w:val="32"/>
          <w:szCs w:val="32"/>
          <w:lang w:eastAsia="ar-SA"/>
        </w:rPr>
        <w:t>provision is made for such in the allocated budget for the project.</w:t>
      </w:r>
    </w:p>
    <w:p w:rsidR="00337898" w:rsidRPr="00742CFF" w:rsidRDefault="00337898" w:rsidP="00337898">
      <w:pPr>
        <w:tabs>
          <w:tab w:val="left" w:pos="720"/>
        </w:tabs>
        <w:suppressAutoHyphens/>
        <w:spacing w:after="0"/>
        <w:jc w:val="both"/>
        <w:rPr>
          <w:rFonts w:cs="Arial"/>
          <w:bCs/>
          <w:sz w:val="32"/>
          <w:szCs w:val="32"/>
          <w:lang w:val="en-GB" w:eastAsia="ar-SA"/>
        </w:rPr>
      </w:pPr>
    </w:p>
    <w:p w:rsidR="00337898" w:rsidRPr="00742CFF" w:rsidRDefault="00337898" w:rsidP="00337898">
      <w:pPr>
        <w:tabs>
          <w:tab w:val="left" w:pos="720"/>
        </w:tabs>
        <w:suppressAutoHyphens/>
        <w:spacing w:after="0"/>
        <w:jc w:val="both"/>
        <w:rPr>
          <w:rFonts w:cs="Arial"/>
          <w:bCs/>
          <w:sz w:val="32"/>
          <w:szCs w:val="32"/>
          <w:lang w:eastAsia="ar-SA"/>
        </w:rPr>
      </w:pPr>
      <w:r w:rsidRPr="00742CFF">
        <w:rPr>
          <w:rFonts w:cs="Arial"/>
          <w:bCs/>
          <w:sz w:val="32"/>
          <w:szCs w:val="32"/>
          <w:lang w:val="en-GB" w:eastAsia="ar-SA"/>
        </w:rPr>
        <w:t xml:space="preserve">  </w:t>
      </w:r>
      <w:r>
        <w:rPr>
          <w:rFonts w:cs="Arial"/>
          <w:bCs/>
          <w:sz w:val="32"/>
          <w:szCs w:val="32"/>
          <w:lang w:val="en-GB" w:eastAsia="ar-SA"/>
        </w:rPr>
        <w:t xml:space="preserve"> (c). </w:t>
      </w:r>
      <w:r w:rsidRPr="00742CFF">
        <w:rPr>
          <w:rFonts w:cs="Arial"/>
          <w:bCs/>
          <w:sz w:val="32"/>
          <w:szCs w:val="32"/>
          <w:lang w:val="en-GB" w:eastAsia="ar-SA"/>
        </w:rPr>
        <w:t xml:space="preserve">The Department was overcharged on the materials used such as G7, 8, 9 gravel and C4 filling that was above the market related prices. Concrete, </w:t>
      </w:r>
      <w:r w:rsidRPr="00742CFF">
        <w:rPr>
          <w:rFonts w:cs="Arial"/>
          <w:bCs/>
          <w:sz w:val="32"/>
          <w:szCs w:val="32"/>
          <w:lang w:val="en-GB" w:eastAsia="ar-SA"/>
        </w:rPr>
        <w:tab/>
        <w:t>fencing and gates tariffs were also found to be higher than market tariffs.</w:t>
      </w:r>
    </w:p>
    <w:p w:rsidR="00337898" w:rsidRPr="00742CFF" w:rsidRDefault="00337898" w:rsidP="00337898">
      <w:pPr>
        <w:tabs>
          <w:tab w:val="left" w:pos="720"/>
        </w:tabs>
        <w:suppressAutoHyphens/>
        <w:spacing w:after="0"/>
        <w:jc w:val="both"/>
        <w:rPr>
          <w:rFonts w:cs="Arial"/>
          <w:bCs/>
          <w:sz w:val="32"/>
          <w:szCs w:val="32"/>
          <w:lang w:val="en-GB" w:eastAsia="ar-SA"/>
        </w:rPr>
      </w:pPr>
    </w:p>
    <w:p w:rsidR="00337898" w:rsidRPr="00742CFF" w:rsidRDefault="00337898" w:rsidP="00337898">
      <w:pPr>
        <w:tabs>
          <w:tab w:val="left" w:pos="720"/>
        </w:tabs>
        <w:suppressAutoHyphens/>
        <w:spacing w:after="0"/>
        <w:jc w:val="both"/>
        <w:rPr>
          <w:rFonts w:cs="Arial"/>
          <w:bCs/>
          <w:sz w:val="32"/>
          <w:szCs w:val="32"/>
          <w:lang w:eastAsia="ar-SA"/>
        </w:rPr>
      </w:pPr>
      <w:r>
        <w:rPr>
          <w:rFonts w:cs="Arial"/>
          <w:bCs/>
          <w:sz w:val="32"/>
          <w:szCs w:val="32"/>
          <w:lang w:val="en-GB" w:eastAsia="ar-SA"/>
        </w:rPr>
        <w:t xml:space="preserve">   (d). </w:t>
      </w:r>
      <w:r w:rsidRPr="00742CFF">
        <w:rPr>
          <w:rFonts w:cs="Arial"/>
          <w:bCs/>
          <w:sz w:val="32"/>
          <w:szCs w:val="32"/>
          <w:lang w:val="en-GB" w:eastAsia="ar-SA"/>
        </w:rPr>
        <w:t xml:space="preserve">The Department was further overcharged on contractors preliminaries. </w:t>
      </w:r>
      <w:r w:rsidRPr="00742CFF">
        <w:rPr>
          <w:rFonts w:cs="Arial"/>
          <w:bCs/>
          <w:sz w:val="32"/>
          <w:szCs w:val="32"/>
          <w:lang w:eastAsia="ar-SA"/>
        </w:rPr>
        <w:t xml:space="preserve">Contractors generally charge preliminaries between 7.5% and 12.5% in </w:t>
      </w:r>
      <w:r w:rsidRPr="00742CFF">
        <w:rPr>
          <w:rFonts w:cs="Arial"/>
          <w:bCs/>
          <w:sz w:val="32"/>
          <w:szCs w:val="32"/>
          <w:lang w:eastAsia="ar-SA"/>
        </w:rPr>
        <w:tab/>
        <w:t>relation to the value of the works.</w:t>
      </w:r>
    </w:p>
    <w:p w:rsidR="00337898" w:rsidRPr="00742CFF" w:rsidRDefault="00337898" w:rsidP="00337898">
      <w:pPr>
        <w:pStyle w:val="ListParagraph"/>
        <w:tabs>
          <w:tab w:val="left" w:pos="720"/>
        </w:tabs>
        <w:suppressAutoHyphens/>
        <w:ind w:left="1080"/>
        <w:rPr>
          <w:rFonts w:cs="Arial"/>
          <w:bCs/>
          <w:sz w:val="32"/>
          <w:szCs w:val="32"/>
          <w:lang w:eastAsia="ar-SA"/>
        </w:rPr>
      </w:pPr>
    </w:p>
    <w:p w:rsidR="00337898" w:rsidRPr="00742CFF" w:rsidRDefault="00337898" w:rsidP="00337898">
      <w:pPr>
        <w:tabs>
          <w:tab w:val="left" w:pos="720"/>
        </w:tabs>
        <w:suppressAutoHyphens/>
        <w:spacing w:after="0"/>
        <w:jc w:val="both"/>
        <w:rPr>
          <w:rFonts w:cs="Arial"/>
          <w:bCs/>
          <w:sz w:val="32"/>
          <w:szCs w:val="32"/>
          <w:lang w:eastAsia="ar-SA"/>
        </w:rPr>
      </w:pPr>
      <w:r>
        <w:rPr>
          <w:rFonts w:cs="Arial"/>
          <w:bCs/>
          <w:sz w:val="32"/>
          <w:szCs w:val="32"/>
          <w:lang w:eastAsia="ar-SA"/>
        </w:rPr>
        <w:t xml:space="preserve">   (e). </w:t>
      </w:r>
      <w:proofErr w:type="gramStart"/>
      <w:r w:rsidRPr="00742CFF">
        <w:rPr>
          <w:rFonts w:cs="Arial"/>
          <w:bCs/>
          <w:sz w:val="32"/>
          <w:szCs w:val="32"/>
          <w:lang w:eastAsia="ar-SA"/>
        </w:rPr>
        <w:t>The</w:t>
      </w:r>
      <w:proofErr w:type="gramEnd"/>
      <w:r w:rsidRPr="00742CFF">
        <w:rPr>
          <w:rFonts w:cs="Arial"/>
          <w:bCs/>
          <w:sz w:val="32"/>
          <w:szCs w:val="32"/>
          <w:lang w:eastAsia="ar-SA"/>
        </w:rPr>
        <w:t xml:space="preserve"> assessment of the award of the contract at a price above what the actual cost of the project could have been.</w:t>
      </w:r>
    </w:p>
    <w:p w:rsidR="00337898" w:rsidRPr="00742CFF" w:rsidRDefault="00337898" w:rsidP="00337898">
      <w:pPr>
        <w:pStyle w:val="ListParagraph"/>
        <w:rPr>
          <w:rFonts w:cs="Arial"/>
          <w:bCs/>
          <w:sz w:val="32"/>
          <w:szCs w:val="32"/>
          <w:lang w:eastAsia="ar-SA"/>
        </w:rPr>
      </w:pPr>
    </w:p>
    <w:p w:rsidR="00337898" w:rsidRPr="00742CFF" w:rsidRDefault="00337898" w:rsidP="00337898">
      <w:pPr>
        <w:tabs>
          <w:tab w:val="left" w:pos="720"/>
        </w:tabs>
        <w:suppressAutoHyphens/>
        <w:ind w:left="720" w:hanging="720"/>
        <w:jc w:val="both"/>
        <w:rPr>
          <w:rFonts w:cs="Arial"/>
          <w:bCs/>
          <w:sz w:val="32"/>
          <w:szCs w:val="32"/>
          <w:lang w:val="en-GB" w:eastAsia="ar-SA"/>
        </w:rPr>
      </w:pPr>
      <w:r w:rsidRPr="00742CFF">
        <w:rPr>
          <w:rFonts w:cs="Arial"/>
          <w:bCs/>
          <w:sz w:val="32"/>
          <w:szCs w:val="32"/>
          <w:lang w:val="en-GB" w:eastAsia="ar-SA"/>
        </w:rPr>
        <w:t xml:space="preserve">   3.</w:t>
      </w:r>
      <w:r w:rsidRPr="00742CFF">
        <w:rPr>
          <w:rFonts w:cs="Arial"/>
          <w:bCs/>
          <w:sz w:val="32"/>
          <w:szCs w:val="32"/>
          <w:lang w:val="en-GB" w:eastAsia="ar-SA"/>
        </w:rPr>
        <w:tab/>
        <w:t xml:space="preserve"> With reference to the findings of the forensic investigation into the  specified project, the details of the officials who were found to have been involved and charged with impropriety; as well as  the progress thereto is as follows:</w:t>
      </w:r>
    </w:p>
    <w:p w:rsidR="00337898" w:rsidRPr="00742CFF" w:rsidRDefault="00337898" w:rsidP="00337898">
      <w:pPr>
        <w:tabs>
          <w:tab w:val="left" w:pos="720"/>
        </w:tabs>
        <w:suppressAutoHyphens/>
        <w:ind w:left="1440" w:hanging="1440"/>
        <w:jc w:val="both"/>
        <w:rPr>
          <w:rFonts w:cs="Arial"/>
          <w:bCs/>
          <w:sz w:val="32"/>
          <w:szCs w:val="32"/>
          <w:lang w:val="en-GB" w:eastAsia="ar-SA"/>
        </w:rPr>
      </w:pPr>
      <w:r w:rsidRPr="00742CFF">
        <w:rPr>
          <w:rFonts w:cs="Arial"/>
          <w:bCs/>
          <w:sz w:val="32"/>
          <w:szCs w:val="32"/>
          <w:lang w:val="en-GB" w:eastAsia="ar-SA"/>
        </w:rPr>
        <w:tab/>
        <w:t>(</w:t>
      </w:r>
      <w:proofErr w:type="gramStart"/>
      <w:r w:rsidRPr="00742CFF">
        <w:rPr>
          <w:rFonts w:cs="Arial"/>
          <w:bCs/>
          <w:sz w:val="32"/>
          <w:szCs w:val="32"/>
          <w:lang w:val="en-GB" w:eastAsia="ar-SA"/>
        </w:rPr>
        <w:t>a</w:t>
      </w:r>
      <w:proofErr w:type="gramEnd"/>
      <w:r w:rsidRPr="00742CFF">
        <w:rPr>
          <w:rFonts w:cs="Arial"/>
          <w:bCs/>
          <w:sz w:val="32"/>
          <w:szCs w:val="32"/>
          <w:lang w:val="en-GB" w:eastAsia="ar-SA"/>
        </w:rPr>
        <w:t>)</w:t>
      </w:r>
      <w:r w:rsidRPr="00742CFF">
        <w:rPr>
          <w:rFonts w:cs="Arial"/>
          <w:bCs/>
          <w:sz w:val="32"/>
          <w:szCs w:val="32"/>
          <w:lang w:val="en-GB" w:eastAsia="ar-SA"/>
        </w:rPr>
        <w:tab/>
        <w:t xml:space="preserve">Three (3) former officials of the Department who were involved in the project were found to have been </w:t>
      </w:r>
      <w:r w:rsidRPr="00742CFF">
        <w:rPr>
          <w:rFonts w:cs="Arial"/>
          <w:bCs/>
          <w:sz w:val="32"/>
          <w:szCs w:val="32"/>
          <w:lang w:val="en-GB" w:eastAsia="ar-SA"/>
        </w:rPr>
        <w:lastRenderedPageBreak/>
        <w:t>implicated in and the following was preferred against each of the officials:</w:t>
      </w:r>
    </w:p>
    <w:p w:rsidR="00337898" w:rsidRPr="00742CFF" w:rsidRDefault="00337898" w:rsidP="00337898">
      <w:pPr>
        <w:tabs>
          <w:tab w:val="left" w:pos="1418"/>
        </w:tabs>
        <w:suppressAutoHyphens/>
        <w:ind w:left="1843" w:hanging="425"/>
        <w:jc w:val="both"/>
        <w:rPr>
          <w:rFonts w:cs="Arial"/>
          <w:bCs/>
          <w:sz w:val="32"/>
          <w:szCs w:val="32"/>
          <w:lang w:val="en-GB" w:eastAsia="ar-SA"/>
        </w:rPr>
      </w:pPr>
      <w:proofErr w:type="gramStart"/>
      <w:r w:rsidRPr="00742CFF">
        <w:rPr>
          <w:rFonts w:cs="Arial"/>
          <w:bCs/>
          <w:sz w:val="32"/>
          <w:szCs w:val="32"/>
          <w:lang w:val="en-GB" w:eastAsia="ar-SA"/>
        </w:rPr>
        <w:t>i</w:t>
      </w:r>
      <w:proofErr w:type="gramEnd"/>
      <w:r w:rsidRPr="00742CFF">
        <w:rPr>
          <w:rFonts w:cs="Arial"/>
          <w:bCs/>
          <w:sz w:val="32"/>
          <w:szCs w:val="32"/>
          <w:lang w:val="en-GB" w:eastAsia="ar-SA"/>
        </w:rPr>
        <w:t xml:space="preserve">. </w:t>
      </w:r>
      <w:r w:rsidRPr="00742CFF">
        <w:rPr>
          <w:rFonts w:cs="Arial"/>
          <w:bCs/>
          <w:sz w:val="32"/>
          <w:szCs w:val="32"/>
          <w:lang w:val="en-GB" w:eastAsia="ar-SA"/>
        </w:rPr>
        <w:tab/>
        <w:t>disciplinary action – against the senior official who was appointed to manage the ECP project from the Office of the former DG;</w:t>
      </w:r>
    </w:p>
    <w:p w:rsidR="00337898" w:rsidRPr="00742CFF" w:rsidRDefault="00337898" w:rsidP="00337898">
      <w:pPr>
        <w:tabs>
          <w:tab w:val="left" w:pos="1418"/>
        </w:tabs>
        <w:suppressAutoHyphens/>
        <w:ind w:left="1843" w:hanging="425"/>
        <w:jc w:val="both"/>
        <w:rPr>
          <w:rFonts w:cs="Arial"/>
          <w:bCs/>
          <w:sz w:val="32"/>
          <w:szCs w:val="32"/>
          <w:lang w:val="en-GB" w:eastAsia="ar-SA"/>
        </w:rPr>
      </w:pPr>
      <w:r w:rsidRPr="00742CFF">
        <w:rPr>
          <w:rFonts w:cs="Arial"/>
          <w:bCs/>
          <w:sz w:val="32"/>
          <w:szCs w:val="32"/>
          <w:lang w:val="en-GB" w:eastAsia="ar-SA"/>
        </w:rPr>
        <w:t>ii.</w:t>
      </w:r>
      <w:r w:rsidRPr="00742CFF">
        <w:rPr>
          <w:rFonts w:cs="Arial"/>
          <w:bCs/>
          <w:sz w:val="32"/>
          <w:szCs w:val="32"/>
          <w:lang w:val="en-GB" w:eastAsia="ar-SA"/>
        </w:rPr>
        <w:tab/>
      </w:r>
      <w:r>
        <w:rPr>
          <w:rFonts w:cs="Arial"/>
          <w:bCs/>
          <w:sz w:val="32"/>
          <w:szCs w:val="32"/>
          <w:lang w:val="en-GB" w:eastAsia="ar-SA"/>
        </w:rPr>
        <w:t>C</w:t>
      </w:r>
      <w:r w:rsidRPr="00742CFF">
        <w:rPr>
          <w:rFonts w:cs="Arial"/>
          <w:bCs/>
          <w:sz w:val="32"/>
          <w:szCs w:val="32"/>
          <w:lang w:val="en-GB" w:eastAsia="ar-SA"/>
        </w:rPr>
        <w:t xml:space="preserve">riminal charges – against the erstwhile Director General for violation of section 38 (1) of the PFMA; and the former Acting Director General of the DAC for the contravention of sections 86 (1) of the PFMA read with sections 38, 39, and 40 of the PFMA.  </w:t>
      </w:r>
    </w:p>
    <w:p w:rsidR="00337898" w:rsidRPr="00742CFF" w:rsidRDefault="00337898" w:rsidP="00337898">
      <w:pPr>
        <w:tabs>
          <w:tab w:val="left" w:pos="720"/>
        </w:tabs>
        <w:suppressAutoHyphens/>
        <w:ind w:left="1440" w:hanging="1440"/>
        <w:jc w:val="both"/>
        <w:rPr>
          <w:rFonts w:cs="Arial"/>
          <w:bCs/>
          <w:sz w:val="32"/>
          <w:szCs w:val="32"/>
          <w:lang w:val="en-GB" w:eastAsia="ar-SA"/>
        </w:rPr>
      </w:pPr>
      <w:r w:rsidRPr="00742CFF">
        <w:rPr>
          <w:rFonts w:cs="Arial"/>
          <w:bCs/>
          <w:sz w:val="32"/>
          <w:szCs w:val="32"/>
          <w:lang w:val="en-GB" w:eastAsia="ar-SA"/>
        </w:rPr>
        <w:t>3 (b)</w:t>
      </w:r>
      <w:r w:rsidRPr="00742CFF">
        <w:rPr>
          <w:rFonts w:cs="Arial"/>
          <w:bCs/>
          <w:sz w:val="32"/>
          <w:szCs w:val="32"/>
          <w:lang w:val="en-GB" w:eastAsia="ar-SA"/>
        </w:rPr>
        <w:tab/>
      </w:r>
      <w:proofErr w:type="gramStart"/>
      <w:r w:rsidRPr="00742CFF">
        <w:rPr>
          <w:rFonts w:cs="Arial"/>
          <w:bCs/>
          <w:sz w:val="32"/>
          <w:szCs w:val="32"/>
          <w:lang w:val="en-GB" w:eastAsia="ar-SA"/>
        </w:rPr>
        <w:t>The</w:t>
      </w:r>
      <w:proofErr w:type="gramEnd"/>
      <w:r w:rsidRPr="00742CFF">
        <w:rPr>
          <w:rFonts w:cs="Arial"/>
          <w:bCs/>
          <w:sz w:val="32"/>
          <w:szCs w:val="32"/>
          <w:lang w:val="en-GB" w:eastAsia="ar-SA"/>
        </w:rPr>
        <w:t xml:space="preserve"> progress of the charges in each case is as follows:</w:t>
      </w:r>
    </w:p>
    <w:p w:rsidR="00337898" w:rsidRPr="00742CFF" w:rsidRDefault="00337898" w:rsidP="00337898">
      <w:pPr>
        <w:pStyle w:val="ListParagraph"/>
        <w:numPr>
          <w:ilvl w:val="0"/>
          <w:numId w:val="2"/>
        </w:numPr>
        <w:tabs>
          <w:tab w:val="left" w:pos="720"/>
        </w:tabs>
        <w:suppressAutoHyphens/>
        <w:spacing w:after="0"/>
        <w:contextualSpacing w:val="0"/>
        <w:jc w:val="both"/>
        <w:rPr>
          <w:rFonts w:cs="Arial"/>
          <w:bCs/>
          <w:sz w:val="32"/>
          <w:szCs w:val="32"/>
          <w:lang w:val="en-GB" w:eastAsia="ar-SA"/>
        </w:rPr>
      </w:pPr>
      <w:r>
        <w:rPr>
          <w:rFonts w:cs="Arial"/>
          <w:bCs/>
          <w:sz w:val="32"/>
          <w:szCs w:val="32"/>
          <w:lang w:val="en-GB" w:eastAsia="ar-SA"/>
        </w:rPr>
        <w:t>D</w:t>
      </w:r>
      <w:r w:rsidRPr="00742CFF">
        <w:rPr>
          <w:rFonts w:cs="Arial"/>
          <w:bCs/>
          <w:sz w:val="32"/>
          <w:szCs w:val="32"/>
          <w:lang w:val="en-GB" w:eastAsia="ar-SA"/>
        </w:rPr>
        <w:t>isciplinary charges against the senior manager were transferred to his current employer for the attention of the then Acting Head of Department, Gauteng Human Settlement. The current employer was requested to proceed with disciplinary processes in line with Section 16B (4</w:t>
      </w:r>
      <w:proofErr w:type="gramStart"/>
      <w:r w:rsidRPr="00742CFF">
        <w:rPr>
          <w:rFonts w:cs="Arial"/>
          <w:bCs/>
          <w:sz w:val="32"/>
          <w:szCs w:val="32"/>
          <w:lang w:val="en-GB" w:eastAsia="ar-SA"/>
        </w:rPr>
        <w:t>)(</w:t>
      </w:r>
      <w:proofErr w:type="gramEnd"/>
      <w:r w:rsidRPr="00742CFF">
        <w:rPr>
          <w:rFonts w:cs="Arial"/>
          <w:bCs/>
          <w:sz w:val="32"/>
          <w:szCs w:val="32"/>
          <w:lang w:val="en-GB" w:eastAsia="ar-SA"/>
        </w:rPr>
        <w:t>b)(ii) of the Public Service Act, 1994, as amended.</w:t>
      </w:r>
    </w:p>
    <w:p w:rsidR="00337898" w:rsidRPr="00742CFF" w:rsidRDefault="00337898" w:rsidP="00337898">
      <w:pPr>
        <w:tabs>
          <w:tab w:val="left" w:pos="720"/>
        </w:tabs>
        <w:suppressAutoHyphens/>
        <w:ind w:left="1440" w:hanging="1440"/>
        <w:jc w:val="both"/>
        <w:rPr>
          <w:rFonts w:cs="Arial"/>
          <w:bCs/>
          <w:sz w:val="32"/>
          <w:szCs w:val="32"/>
          <w:lang w:val="en-GB" w:eastAsia="ar-SA"/>
        </w:rPr>
      </w:pPr>
      <w:r w:rsidRPr="00742CFF">
        <w:rPr>
          <w:rFonts w:cs="Arial"/>
          <w:bCs/>
          <w:sz w:val="32"/>
          <w:szCs w:val="32"/>
          <w:lang w:val="en-GB" w:eastAsia="ar-SA"/>
        </w:rPr>
        <w:tab/>
        <w:t>ii.</w:t>
      </w:r>
      <w:r w:rsidRPr="00742CFF">
        <w:rPr>
          <w:rFonts w:cs="Arial"/>
          <w:bCs/>
          <w:sz w:val="32"/>
          <w:szCs w:val="32"/>
          <w:lang w:val="en-GB" w:eastAsia="ar-SA"/>
        </w:rPr>
        <w:tab/>
      </w:r>
      <w:r>
        <w:rPr>
          <w:rFonts w:cs="Arial"/>
          <w:bCs/>
          <w:sz w:val="32"/>
          <w:szCs w:val="32"/>
          <w:lang w:val="en-GB" w:eastAsia="ar-SA"/>
        </w:rPr>
        <w:t>C</w:t>
      </w:r>
      <w:r w:rsidRPr="00742CFF">
        <w:rPr>
          <w:rFonts w:cs="Arial"/>
          <w:bCs/>
          <w:sz w:val="32"/>
          <w:szCs w:val="32"/>
          <w:lang w:val="en-GB" w:eastAsia="ar-SA"/>
        </w:rPr>
        <w:t>riminal charges against the erstwhile Director General and former Acting Director General were registered with the Directorate for Priority Crime Investigations (the HAWKS), under the Serious Economi</w:t>
      </w:r>
      <w:r>
        <w:rPr>
          <w:rFonts w:cs="Arial"/>
          <w:bCs/>
          <w:sz w:val="32"/>
          <w:szCs w:val="32"/>
          <w:lang w:val="en-GB" w:eastAsia="ar-SA"/>
        </w:rPr>
        <w:t xml:space="preserve">c Offences Unit in April 2016. </w:t>
      </w:r>
      <w:r w:rsidRPr="00742CFF">
        <w:rPr>
          <w:rFonts w:cs="Arial"/>
          <w:bCs/>
          <w:sz w:val="32"/>
          <w:szCs w:val="32"/>
          <w:lang w:val="en-GB" w:eastAsia="ar-SA"/>
        </w:rPr>
        <w:t xml:space="preserve">The Department registered a number of criminal charges which include </w:t>
      </w:r>
      <w:proofErr w:type="spellStart"/>
      <w:r w:rsidRPr="00742CFF">
        <w:rPr>
          <w:rFonts w:cs="Arial"/>
          <w:bCs/>
          <w:sz w:val="32"/>
          <w:szCs w:val="32"/>
          <w:lang w:val="en-GB" w:eastAsia="ar-SA"/>
        </w:rPr>
        <w:t>Enyokeni</w:t>
      </w:r>
      <w:proofErr w:type="spellEnd"/>
      <w:r w:rsidRPr="00742CFF">
        <w:rPr>
          <w:rFonts w:cs="Arial"/>
          <w:bCs/>
          <w:sz w:val="32"/>
          <w:szCs w:val="32"/>
          <w:lang w:val="en-GB" w:eastAsia="ar-SA"/>
        </w:rPr>
        <w:t>, and the investigations are</w:t>
      </w:r>
      <w:r>
        <w:rPr>
          <w:rFonts w:cs="Arial"/>
          <w:bCs/>
          <w:sz w:val="32"/>
          <w:szCs w:val="32"/>
          <w:lang w:val="en-GB" w:eastAsia="ar-SA"/>
        </w:rPr>
        <w:t xml:space="preserve"> in progress.</w:t>
      </w:r>
      <w:r w:rsidRPr="00742CFF">
        <w:rPr>
          <w:rFonts w:cs="Arial"/>
          <w:bCs/>
          <w:sz w:val="32"/>
          <w:szCs w:val="32"/>
          <w:lang w:val="en-GB" w:eastAsia="ar-SA"/>
        </w:rPr>
        <w:t xml:space="preserve"> The Department has been making follow-up on progress and continues to do so.</w:t>
      </w:r>
    </w:p>
    <w:p w:rsidR="00337898" w:rsidRPr="00742CFF" w:rsidRDefault="00337898" w:rsidP="00337898">
      <w:pPr>
        <w:rPr>
          <w:rFonts w:cs="Arial"/>
          <w:sz w:val="32"/>
          <w:szCs w:val="32"/>
        </w:rPr>
      </w:pPr>
    </w:p>
    <w:p w:rsidR="00C92FEA" w:rsidRDefault="00337898">
      <w:bookmarkStart w:id="0" w:name="_GoBack"/>
      <w:bookmarkEnd w:id="0"/>
    </w:p>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2E39"/>
    <w:multiLevelType w:val="hybridMultilevel"/>
    <w:tmpl w:val="48C2B610"/>
    <w:lvl w:ilvl="0" w:tplc="17F09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337843"/>
    <w:multiLevelType w:val="hybridMultilevel"/>
    <w:tmpl w:val="F8B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98"/>
    <w:rsid w:val="00337898"/>
    <w:rsid w:val="00985174"/>
    <w:rsid w:val="00DD47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337898"/>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37898"/>
    <w:pPr>
      <w:ind w:left="993"/>
    </w:pPr>
    <w:rPr>
      <w:szCs w:val="18"/>
    </w:rPr>
  </w:style>
  <w:style w:type="paragraph" w:styleId="ListParagraph">
    <w:name w:val="List Paragraph"/>
    <w:basedOn w:val="Normal"/>
    <w:uiPriority w:val="34"/>
    <w:qFormat/>
    <w:rsid w:val="0033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337898"/>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37898"/>
    <w:pPr>
      <w:ind w:left="993"/>
    </w:pPr>
    <w:rPr>
      <w:szCs w:val="18"/>
    </w:rPr>
  </w:style>
  <w:style w:type="paragraph" w:styleId="ListParagraph">
    <w:name w:val="List Paragraph"/>
    <w:basedOn w:val="Normal"/>
    <w:uiPriority w:val="34"/>
    <w:qFormat/>
    <w:rsid w:val="0033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2017-06-21T07:23:00Z</dcterms:created>
  <dcterms:modified xsi:type="dcterms:W3CDTF">2017-06-21T07:24:00Z</dcterms:modified>
</cp:coreProperties>
</file>