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4D" w:rsidRPr="004054C3" w:rsidRDefault="00707A4D" w:rsidP="00707A4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693BE855" wp14:editId="3A4CEBE8">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707A4D" w:rsidRPr="004054C3" w:rsidRDefault="00707A4D" w:rsidP="00707A4D">
      <w:pPr>
        <w:tabs>
          <w:tab w:val="left" w:pos="432"/>
          <w:tab w:val="left" w:pos="864"/>
        </w:tabs>
        <w:spacing w:line="276" w:lineRule="auto"/>
        <w:jc w:val="center"/>
        <w:rPr>
          <w:rFonts w:ascii="Arial" w:hAnsi="Arial" w:cs="Arial"/>
          <w:b/>
          <w:sz w:val="22"/>
          <w:szCs w:val="22"/>
          <w:lang w:val="en-US"/>
        </w:rPr>
      </w:pPr>
    </w:p>
    <w:p w:rsidR="00707A4D" w:rsidRPr="004054C3" w:rsidRDefault="00707A4D" w:rsidP="00707A4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707A4D" w:rsidRPr="004054C3" w:rsidRDefault="00707A4D" w:rsidP="00707A4D">
      <w:pPr>
        <w:tabs>
          <w:tab w:val="left" w:pos="432"/>
          <w:tab w:val="left" w:pos="864"/>
        </w:tabs>
        <w:spacing w:line="276" w:lineRule="auto"/>
        <w:jc w:val="center"/>
        <w:rPr>
          <w:rFonts w:ascii="Arial" w:hAnsi="Arial" w:cs="Arial"/>
          <w:b/>
          <w:sz w:val="22"/>
          <w:szCs w:val="22"/>
          <w:lang w:val="en-US"/>
        </w:rPr>
      </w:pPr>
    </w:p>
    <w:p w:rsidR="00707A4D" w:rsidRPr="004054C3" w:rsidRDefault="00707A4D" w:rsidP="00707A4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QUESTION FOR WRITTEN REPLY</w:t>
      </w:r>
    </w:p>
    <w:p w:rsidR="00707A4D" w:rsidRPr="004E55B4" w:rsidRDefault="00707A4D" w:rsidP="00707A4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QUES</w:t>
      </w:r>
      <w:r w:rsidRPr="004E55B4">
        <w:rPr>
          <w:rFonts w:ascii="Arial" w:hAnsi="Arial" w:cs="Arial"/>
          <w:b/>
          <w:sz w:val="22"/>
          <w:szCs w:val="22"/>
          <w:lang w:val="en-US"/>
        </w:rPr>
        <w:t xml:space="preserve">TION NUMBER: </w:t>
      </w:r>
      <w:r w:rsidR="004E55B4" w:rsidRPr="004E55B4">
        <w:rPr>
          <w:rFonts w:ascii="Arial" w:hAnsi="Arial" w:cs="Arial"/>
          <w:b/>
          <w:sz w:val="22"/>
          <w:szCs w:val="22"/>
          <w:lang w:val="en-US"/>
        </w:rPr>
        <w:t>1517</w:t>
      </w:r>
      <w:r w:rsidRPr="004E55B4">
        <w:rPr>
          <w:rFonts w:ascii="Arial" w:hAnsi="Arial" w:cs="Arial"/>
          <w:b/>
          <w:sz w:val="22"/>
          <w:szCs w:val="22"/>
          <w:lang w:val="en-US"/>
        </w:rPr>
        <w:t xml:space="preserve"> [NW</w:t>
      </w:r>
      <w:r w:rsidR="004E55B4" w:rsidRPr="004E55B4">
        <w:rPr>
          <w:rFonts w:ascii="Arial" w:hAnsi="Arial" w:cs="Arial"/>
          <w:b/>
          <w:sz w:val="22"/>
          <w:szCs w:val="22"/>
          <w:lang w:val="en-US"/>
        </w:rPr>
        <w:t>1718</w:t>
      </w:r>
      <w:r w:rsidRPr="004E55B4">
        <w:rPr>
          <w:rFonts w:ascii="Arial" w:hAnsi="Arial" w:cs="Arial"/>
          <w:b/>
          <w:sz w:val="22"/>
          <w:szCs w:val="22"/>
          <w:lang w:val="en-US"/>
        </w:rPr>
        <w:t>E]</w:t>
      </w:r>
    </w:p>
    <w:p w:rsidR="00707A4D" w:rsidRPr="004054C3" w:rsidRDefault="00707A4D" w:rsidP="00707A4D">
      <w:pPr>
        <w:tabs>
          <w:tab w:val="left" w:pos="432"/>
          <w:tab w:val="left" w:pos="864"/>
        </w:tabs>
        <w:spacing w:line="276" w:lineRule="auto"/>
        <w:rPr>
          <w:rFonts w:ascii="Arial" w:hAnsi="Arial" w:cs="Arial"/>
          <w:b/>
          <w:sz w:val="22"/>
          <w:szCs w:val="22"/>
          <w:lang w:val="en-US"/>
        </w:rPr>
      </w:pPr>
      <w:r w:rsidRPr="004E55B4">
        <w:rPr>
          <w:rFonts w:ascii="Arial" w:hAnsi="Arial" w:cs="Arial"/>
          <w:b/>
          <w:sz w:val="22"/>
          <w:szCs w:val="22"/>
          <w:lang w:val="en-US"/>
        </w:rPr>
        <w:t xml:space="preserve">DATE OF PUBLICATION: </w:t>
      </w:r>
      <w:r w:rsidR="004E55B4" w:rsidRPr="004E55B4">
        <w:rPr>
          <w:rFonts w:ascii="Arial" w:hAnsi="Arial" w:cs="Arial"/>
          <w:b/>
          <w:sz w:val="22"/>
          <w:szCs w:val="22"/>
          <w:lang w:val="en-US"/>
        </w:rPr>
        <w:t>2 JUNE 2017</w:t>
      </w:r>
    </w:p>
    <w:p w:rsidR="004E55B4" w:rsidRPr="004E55B4" w:rsidRDefault="00EC1AEB" w:rsidP="004E55B4">
      <w:pPr>
        <w:spacing w:before="100" w:beforeAutospacing="1" w:after="100" w:afterAutospacing="1"/>
        <w:ind w:left="816" w:hanging="816"/>
        <w:rPr>
          <w:rFonts w:ascii="Arial" w:eastAsia="Calibri" w:hAnsi="Arial" w:cs="Arial"/>
          <w:b/>
          <w:lang w:val="en-ZA"/>
        </w:rPr>
      </w:pPr>
      <w:proofErr w:type="gramStart"/>
      <w:r>
        <w:rPr>
          <w:rFonts w:ascii="Arial" w:eastAsia="Calibri" w:hAnsi="Arial" w:cs="Arial"/>
          <w:b/>
          <w:lang w:val="en-ZA"/>
        </w:rPr>
        <w:t xml:space="preserve">1517.  Mr R A Lees </w:t>
      </w:r>
      <w:r w:rsidR="004E55B4" w:rsidRPr="004E55B4">
        <w:rPr>
          <w:rFonts w:ascii="Arial" w:eastAsia="Calibri" w:hAnsi="Arial" w:cs="Arial"/>
          <w:b/>
          <w:lang w:val="en-ZA"/>
        </w:rPr>
        <w:t>(DA)</w:t>
      </w:r>
      <w:proofErr w:type="gramEnd"/>
      <w:r w:rsidR="004E55B4" w:rsidRPr="004E55B4">
        <w:rPr>
          <w:rFonts w:ascii="Arial" w:eastAsia="Calibri" w:hAnsi="Arial" w:cs="Arial"/>
          <w:b/>
          <w:lang w:val="en-ZA"/>
        </w:rPr>
        <w:t xml:space="preserve"> to ask the Minister of Finance:</w:t>
      </w:r>
    </w:p>
    <w:p w:rsidR="004E55B4" w:rsidRPr="004E55B4" w:rsidRDefault="004E55B4" w:rsidP="004E55B4">
      <w:pPr>
        <w:spacing w:before="100" w:beforeAutospacing="1" w:after="100" w:afterAutospacing="1"/>
        <w:ind w:left="811"/>
        <w:jc w:val="both"/>
        <w:outlineLvl w:val="0"/>
        <w:rPr>
          <w:rFonts w:ascii="Arial" w:eastAsia="Calibri" w:hAnsi="Arial" w:cs="Arial"/>
          <w:lang w:val="en-ZA"/>
        </w:rPr>
      </w:pPr>
      <w:r w:rsidRPr="004E55B4">
        <w:rPr>
          <w:rFonts w:ascii="Arial" w:eastAsia="Calibri" w:hAnsi="Arial" w:cs="Arial"/>
          <w:lang w:val="en-ZA"/>
        </w:rPr>
        <w:t>Whether any lenders imposed any conditions on the SA Airways (SAA) Board when each loan was granted to SAA in each of the past three financial years; if not, in each case, why not; if so, what (a) are the details of each condition and (b) progress has the SAA Board made to comply with the conditions in each case?</w:t>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r>
      <w:r w:rsidRPr="004E55B4">
        <w:rPr>
          <w:rFonts w:ascii="Arial" w:eastAsia="Calibri" w:hAnsi="Arial" w:cs="Arial"/>
          <w:lang w:val="en-ZA"/>
        </w:rPr>
        <w:tab/>
        <w:t>NW1718E</w:t>
      </w:r>
    </w:p>
    <w:p w:rsidR="00707A4D" w:rsidRPr="004054C3" w:rsidRDefault="00707A4D" w:rsidP="00707A4D">
      <w:pPr>
        <w:tabs>
          <w:tab w:val="left" w:pos="432"/>
          <w:tab w:val="left" w:pos="864"/>
        </w:tabs>
        <w:spacing w:line="276" w:lineRule="auto"/>
        <w:rPr>
          <w:rFonts w:ascii="Arial" w:hAnsi="Arial" w:cs="Arial"/>
          <w:b/>
          <w:sz w:val="22"/>
          <w:szCs w:val="22"/>
          <w:lang w:val="en-US"/>
        </w:rPr>
      </w:pPr>
    </w:p>
    <w:p w:rsidR="00707A4D" w:rsidRDefault="00707A4D" w:rsidP="00707A4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rsidR="00EC1AEB" w:rsidRDefault="00EC1AEB" w:rsidP="00707A4D">
      <w:pPr>
        <w:tabs>
          <w:tab w:val="left" w:pos="432"/>
          <w:tab w:val="left" w:pos="864"/>
        </w:tabs>
        <w:spacing w:line="276" w:lineRule="auto"/>
        <w:rPr>
          <w:rFonts w:ascii="Arial" w:hAnsi="Arial" w:cs="Arial"/>
          <w:b/>
          <w:sz w:val="22"/>
          <w:szCs w:val="22"/>
          <w:lang w:val="en-US"/>
        </w:rPr>
      </w:pPr>
    </w:p>
    <w:p w:rsidR="00EC1AEB" w:rsidRPr="00120DD6" w:rsidRDefault="00EC1AEB" w:rsidP="00120DD6">
      <w:pPr>
        <w:tabs>
          <w:tab w:val="left" w:pos="432"/>
          <w:tab w:val="left" w:pos="864"/>
        </w:tabs>
        <w:spacing w:line="276" w:lineRule="auto"/>
        <w:jc w:val="both"/>
        <w:rPr>
          <w:rFonts w:ascii="Arial" w:hAnsi="Arial" w:cs="Arial"/>
          <w:b/>
          <w:sz w:val="18"/>
          <w:szCs w:val="18"/>
          <w:lang w:val="en-US"/>
        </w:rPr>
      </w:pPr>
      <w:r w:rsidRPr="00120DD6">
        <w:rPr>
          <w:rFonts w:ascii="Arial" w:hAnsi="Arial" w:cs="Arial"/>
          <w:sz w:val="18"/>
          <w:szCs w:val="18"/>
          <w:lang w:val="en-US"/>
        </w:rPr>
        <w:t>Lenders imposed terms and conditions on SAA as per normal Loan market standards.  This practice is not unique to SAA and applies to all companies both public and private and across all markets including RSA, Europe and USA to name a few.   The following terms and conditions are contained in SAA loan agreements and the Airline has complied and continues to comply with each of those conditions</w:t>
      </w:r>
      <w:r w:rsidRPr="00120DD6">
        <w:rPr>
          <w:rFonts w:ascii="Arial" w:hAnsi="Arial" w:cs="Arial"/>
          <w:b/>
          <w:sz w:val="18"/>
          <w:szCs w:val="18"/>
          <w:lang w:val="en-US"/>
        </w:rPr>
        <w:t xml:space="preserve">.  </w:t>
      </w:r>
    </w:p>
    <w:p w:rsidR="00707A4D" w:rsidRPr="004054C3" w:rsidRDefault="00707A4D" w:rsidP="00707A4D">
      <w:pPr>
        <w:tabs>
          <w:tab w:val="left" w:pos="432"/>
          <w:tab w:val="left" w:pos="864"/>
        </w:tabs>
        <w:spacing w:line="276" w:lineRule="auto"/>
        <w:jc w:val="center"/>
        <w:rPr>
          <w:rFonts w:ascii="Arial" w:hAnsi="Arial" w:cs="Arial"/>
          <w:b/>
          <w:sz w:val="22"/>
          <w:szCs w:val="22"/>
          <w:lang w:val="en-US"/>
        </w:rPr>
      </w:pPr>
    </w:p>
    <w:p w:rsidR="00707A4D" w:rsidRPr="004054C3" w:rsidRDefault="00707A4D" w:rsidP="00707A4D">
      <w:pPr>
        <w:tabs>
          <w:tab w:val="left" w:pos="432"/>
          <w:tab w:val="left" w:pos="864"/>
        </w:tabs>
        <w:spacing w:line="276" w:lineRule="auto"/>
        <w:rPr>
          <w:rFonts w:ascii="Arial" w:hAnsi="Arial" w:cs="Arial"/>
          <w:b/>
          <w:sz w:val="22"/>
          <w:szCs w:val="22"/>
          <w:lang w:val="en-US"/>
        </w:rPr>
      </w:pPr>
    </w:p>
    <w:tbl>
      <w:tblPr>
        <w:tblStyle w:val="TableGrid"/>
        <w:tblW w:w="5000" w:type="pct"/>
        <w:tblLook w:val="04A0" w:firstRow="1" w:lastRow="0" w:firstColumn="1" w:lastColumn="0" w:noHBand="0" w:noVBand="1"/>
      </w:tblPr>
      <w:tblGrid>
        <w:gridCol w:w="867"/>
        <w:gridCol w:w="3219"/>
        <w:gridCol w:w="1037"/>
        <w:gridCol w:w="3129"/>
        <w:gridCol w:w="1037"/>
      </w:tblGrid>
      <w:tr w:rsidR="00EC1AEB" w:rsidRPr="00E472D6" w:rsidTr="00EC1AEB">
        <w:trPr>
          <w:tblHeader/>
        </w:trPr>
        <w:tc>
          <w:tcPr>
            <w:tcW w:w="533" w:type="pct"/>
            <w:tcBorders>
              <w:top w:val="nil"/>
              <w:left w:val="nil"/>
              <w:bottom w:val="single" w:sz="4" w:space="0" w:color="auto"/>
              <w:right w:val="single" w:sz="4" w:space="0" w:color="auto"/>
            </w:tcBorders>
          </w:tcPr>
          <w:p w:rsidR="00EC1AEB" w:rsidRPr="00811DED" w:rsidRDefault="00EC1AEB" w:rsidP="004A69BB">
            <w:pPr>
              <w:spacing w:before="20" w:after="20" w:line="276" w:lineRule="auto"/>
              <w:rPr>
                <w:rFonts w:ascii="Arial" w:hAnsi="Arial" w:cs="Arial"/>
                <w:sz w:val="18"/>
                <w:szCs w:val="18"/>
              </w:rPr>
            </w:pPr>
          </w:p>
        </w:tc>
        <w:tc>
          <w:tcPr>
            <w:tcW w:w="1929" w:type="pct"/>
            <w:tcBorders>
              <w:left w:val="single" w:sz="4" w:space="0" w:color="auto"/>
            </w:tcBorders>
            <w:shd w:val="clear" w:color="auto" w:fill="BFBFBF" w:themeFill="background1" w:themeFillShade="BF"/>
          </w:tcPr>
          <w:p w:rsidR="00EC1AEB" w:rsidRPr="00811DED" w:rsidRDefault="00EC1AEB" w:rsidP="004A69BB">
            <w:pPr>
              <w:spacing w:before="20" w:after="20" w:line="276" w:lineRule="auto"/>
              <w:jc w:val="center"/>
              <w:rPr>
                <w:rFonts w:ascii="Arial" w:hAnsi="Arial" w:cs="Arial"/>
                <w:b/>
                <w:sz w:val="18"/>
                <w:szCs w:val="18"/>
              </w:rPr>
            </w:pPr>
            <w:r w:rsidRPr="00811DED">
              <w:rPr>
                <w:rFonts w:ascii="Arial" w:hAnsi="Arial" w:cs="Arial"/>
                <w:b/>
                <w:sz w:val="18"/>
                <w:szCs w:val="18"/>
              </w:rPr>
              <w:t>Financial Covenants</w:t>
            </w:r>
          </w:p>
        </w:tc>
        <w:tc>
          <w:tcPr>
            <w:tcW w:w="362" w:type="pct"/>
            <w:shd w:val="clear" w:color="auto" w:fill="BFBFBF" w:themeFill="background1" w:themeFillShade="BF"/>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Complied with (Y/N)</w:t>
            </w:r>
          </w:p>
        </w:tc>
        <w:tc>
          <w:tcPr>
            <w:tcW w:w="1815" w:type="pct"/>
            <w:shd w:val="clear" w:color="auto" w:fill="BFBFBF" w:themeFill="background1" w:themeFillShade="BF"/>
          </w:tcPr>
          <w:p w:rsidR="00EC1AEB" w:rsidRPr="00811DED" w:rsidRDefault="00EC1AEB" w:rsidP="004A69BB">
            <w:pPr>
              <w:spacing w:before="20" w:after="20" w:line="276" w:lineRule="auto"/>
              <w:jc w:val="center"/>
              <w:rPr>
                <w:rFonts w:ascii="Arial" w:hAnsi="Arial" w:cs="Arial"/>
                <w:b/>
                <w:sz w:val="18"/>
                <w:szCs w:val="18"/>
              </w:rPr>
            </w:pPr>
            <w:r w:rsidRPr="00811DED">
              <w:rPr>
                <w:rFonts w:ascii="Arial" w:hAnsi="Arial" w:cs="Arial"/>
                <w:b/>
                <w:sz w:val="18"/>
                <w:szCs w:val="18"/>
              </w:rPr>
              <w:t>Non-Financial Covenants</w:t>
            </w:r>
          </w:p>
        </w:tc>
        <w:tc>
          <w:tcPr>
            <w:tcW w:w="362" w:type="pct"/>
            <w:shd w:val="clear" w:color="auto" w:fill="BFBFBF" w:themeFill="background1" w:themeFillShade="BF"/>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Complied with (Y/N)</w:t>
            </w:r>
          </w:p>
        </w:tc>
      </w:tr>
      <w:tr w:rsidR="00EC1AEB" w:rsidRPr="00E472D6" w:rsidTr="00EC1AEB">
        <w:tc>
          <w:tcPr>
            <w:tcW w:w="533" w:type="pct"/>
            <w:vMerge w:val="restart"/>
            <w:tcBorders>
              <w:top w:val="single" w:sz="4" w:space="0" w:color="auto"/>
            </w:tcBorders>
          </w:tcPr>
          <w:p w:rsidR="00EC1AEB" w:rsidRPr="00811DED" w:rsidRDefault="00EC1AEB" w:rsidP="004A69BB">
            <w:pPr>
              <w:spacing w:before="20" w:after="20" w:line="276" w:lineRule="auto"/>
              <w:rPr>
                <w:rFonts w:ascii="Arial" w:hAnsi="Arial" w:cs="Arial"/>
                <w:sz w:val="18"/>
                <w:szCs w:val="18"/>
              </w:rPr>
            </w:pPr>
            <w:r w:rsidRPr="00811DED">
              <w:rPr>
                <w:rFonts w:ascii="Arial" w:hAnsi="Arial" w:cs="Arial"/>
                <w:sz w:val="18"/>
                <w:szCs w:val="18"/>
              </w:rPr>
              <w:t>Project Phoenix Loans</w:t>
            </w:r>
          </w:p>
          <w:p w:rsidR="00EC1AEB" w:rsidRPr="00811DED" w:rsidRDefault="00EC1AEB" w:rsidP="004A69BB">
            <w:pPr>
              <w:spacing w:before="20" w:after="20" w:line="276" w:lineRule="auto"/>
              <w:rPr>
                <w:rFonts w:ascii="Arial" w:hAnsi="Arial" w:cs="Arial"/>
                <w:sz w:val="18"/>
                <w:szCs w:val="18"/>
              </w:rPr>
            </w:pPr>
            <w:r w:rsidRPr="00811DED">
              <w:rPr>
                <w:rFonts w:ascii="Arial" w:hAnsi="Arial" w:cs="Arial"/>
                <w:sz w:val="18"/>
                <w:szCs w:val="18"/>
              </w:rPr>
              <w:t xml:space="preserve"> </w:t>
            </w:r>
          </w:p>
        </w:tc>
        <w:tc>
          <w:tcPr>
            <w:tcW w:w="1929" w:type="pct"/>
          </w:tcPr>
          <w:p w:rsidR="00EC1AEB" w:rsidRPr="00811DED" w:rsidRDefault="00EC1AEB" w:rsidP="00EC1AEB">
            <w:pPr>
              <w:pStyle w:val="ListParagraph"/>
              <w:numPr>
                <w:ilvl w:val="0"/>
                <w:numId w:val="20"/>
              </w:numPr>
              <w:spacing w:before="20" w:after="20" w:line="276" w:lineRule="auto"/>
              <w:ind w:left="317" w:hanging="284"/>
              <w:rPr>
                <w:rFonts w:ascii="Arial" w:hAnsi="Arial" w:cs="Arial"/>
                <w:b/>
                <w:i/>
                <w:sz w:val="18"/>
                <w:szCs w:val="18"/>
              </w:rPr>
            </w:pPr>
            <w:r w:rsidRPr="00811DED">
              <w:rPr>
                <w:rFonts w:ascii="Arial" w:hAnsi="Arial" w:cs="Arial"/>
                <w:b/>
                <w:i/>
                <w:sz w:val="18"/>
                <w:szCs w:val="18"/>
              </w:rPr>
              <w:t>Non-payment</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SAA does not pay on the due date any amount payable pursuant to a Finance Document at the place and in the currency in which it is expressed to be payable</w:t>
            </w:r>
          </w:p>
        </w:tc>
        <w:tc>
          <w:tcPr>
            <w:tcW w:w="362" w:type="pct"/>
          </w:tcPr>
          <w:p w:rsidR="00EC1AEB" w:rsidRDefault="00EC1AEB" w:rsidP="004A69BB">
            <w:pPr>
              <w:spacing w:before="20" w:after="20"/>
              <w:jc w:val="center"/>
              <w:rPr>
                <w:rFonts w:ascii="Arial" w:hAnsi="Arial" w:cs="Arial"/>
                <w:b/>
                <w:sz w:val="18"/>
                <w:szCs w:val="18"/>
              </w:rPr>
            </w:pPr>
            <w:r w:rsidRPr="00E472D6">
              <w:rPr>
                <w:rFonts w:ascii="Arial" w:hAnsi="Arial" w:cs="Arial"/>
                <w:b/>
                <w:sz w:val="18"/>
                <w:szCs w:val="18"/>
              </w:rPr>
              <w:t>Y</w:t>
            </w:r>
          </w:p>
          <w:p w:rsidR="00443C34" w:rsidRDefault="00443C34" w:rsidP="004A69BB">
            <w:pPr>
              <w:spacing w:before="20" w:after="20"/>
              <w:jc w:val="center"/>
              <w:rPr>
                <w:rFonts w:ascii="Arial" w:hAnsi="Arial" w:cs="Arial"/>
                <w:b/>
                <w:sz w:val="18"/>
                <w:szCs w:val="18"/>
              </w:rPr>
            </w:pPr>
          </w:p>
          <w:p w:rsidR="00443C34" w:rsidRPr="00E472D6" w:rsidRDefault="00443C34" w:rsidP="00443C34">
            <w:pPr>
              <w:spacing w:before="20" w:after="20"/>
              <w:rPr>
                <w:rFonts w:ascii="Arial" w:hAnsi="Arial" w:cs="Arial"/>
                <w:b/>
                <w:sz w:val="18"/>
                <w:szCs w:val="18"/>
              </w:rPr>
            </w:pP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 xml:space="preserve">Illegality / unlawfulness </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It is or becomes unlawful for SAA or the Guarantor to perform any of its obligations under the Finance Documents</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Y</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tcPr>
          <w:p w:rsidR="00EC1AEB" w:rsidRPr="00811DED" w:rsidRDefault="00EC1AEB" w:rsidP="00EC1AEB">
            <w:pPr>
              <w:pStyle w:val="ListParagraph"/>
              <w:numPr>
                <w:ilvl w:val="0"/>
                <w:numId w:val="20"/>
              </w:numPr>
              <w:spacing w:before="20" w:after="20" w:line="276" w:lineRule="auto"/>
              <w:ind w:left="317" w:hanging="284"/>
              <w:rPr>
                <w:rFonts w:ascii="Arial" w:hAnsi="Arial" w:cs="Arial"/>
                <w:b/>
                <w:i/>
                <w:sz w:val="18"/>
                <w:szCs w:val="18"/>
              </w:rPr>
            </w:pPr>
            <w:r w:rsidRPr="00811DED">
              <w:rPr>
                <w:rFonts w:ascii="Arial" w:hAnsi="Arial" w:cs="Arial"/>
                <w:b/>
                <w:i/>
                <w:sz w:val="18"/>
                <w:szCs w:val="18"/>
              </w:rPr>
              <w:t>Maintenance of insurance on assets</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SAA maintains insurances with insurance companies to such an extent and against such risks as companies engaged in similar business normally insure.</w:t>
            </w:r>
          </w:p>
        </w:tc>
        <w:tc>
          <w:tcPr>
            <w:tcW w:w="362" w:type="pct"/>
          </w:tcPr>
          <w:p w:rsidR="00EC1AEB" w:rsidRPr="00E472D6" w:rsidRDefault="00EC1AEB" w:rsidP="004A69BB">
            <w:pPr>
              <w:spacing w:before="20" w:after="20"/>
              <w:jc w:val="center"/>
              <w:rPr>
                <w:rFonts w:ascii="Arial" w:hAnsi="Arial" w:cs="Arial"/>
                <w:b/>
                <w:sz w:val="18"/>
                <w:szCs w:val="18"/>
              </w:rPr>
            </w:pPr>
            <w:r>
              <w:rPr>
                <w:rFonts w:ascii="Arial" w:hAnsi="Arial" w:cs="Arial"/>
                <w:b/>
                <w:sz w:val="18"/>
                <w:szCs w:val="18"/>
              </w:rPr>
              <w:t>Y</w:t>
            </w: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Change of control</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 xml:space="preserve">SAA’s reporting lines change from the current reporting line, being National Treasury and the Minister of Finance, to another party.   </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Y</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tcPr>
          <w:p w:rsidR="00EC1AEB" w:rsidRPr="00811DED" w:rsidRDefault="00EC1AEB" w:rsidP="00EC1AEB">
            <w:pPr>
              <w:pStyle w:val="ListParagraph"/>
              <w:numPr>
                <w:ilvl w:val="0"/>
                <w:numId w:val="20"/>
              </w:numPr>
              <w:spacing w:before="20" w:after="20" w:line="276" w:lineRule="auto"/>
              <w:ind w:left="317" w:hanging="284"/>
              <w:rPr>
                <w:rFonts w:ascii="Arial" w:hAnsi="Arial" w:cs="Arial"/>
                <w:b/>
                <w:i/>
                <w:sz w:val="18"/>
                <w:szCs w:val="18"/>
              </w:rPr>
            </w:pPr>
            <w:r w:rsidRPr="00811DED">
              <w:rPr>
                <w:rFonts w:ascii="Arial" w:hAnsi="Arial" w:cs="Arial"/>
                <w:b/>
                <w:i/>
                <w:sz w:val="18"/>
                <w:szCs w:val="18"/>
              </w:rPr>
              <w:t>Negative pledge</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shall not unless otherwise agreed to in writing by the Lenders, create permit to subsist any Security over any of its assets.</w:t>
            </w:r>
          </w:p>
        </w:tc>
        <w:tc>
          <w:tcPr>
            <w:tcW w:w="362" w:type="pct"/>
          </w:tcPr>
          <w:p w:rsidR="00EC1AEB" w:rsidRPr="00E472D6" w:rsidRDefault="00EC1AEB" w:rsidP="004A69BB">
            <w:pPr>
              <w:spacing w:before="20" w:after="20"/>
              <w:jc w:val="center"/>
              <w:rPr>
                <w:rFonts w:ascii="Arial" w:hAnsi="Arial" w:cs="Arial"/>
                <w:b/>
                <w:sz w:val="18"/>
                <w:szCs w:val="18"/>
              </w:rPr>
            </w:pPr>
            <w:r>
              <w:rPr>
                <w:rFonts w:ascii="Arial" w:hAnsi="Arial" w:cs="Arial"/>
                <w:b/>
                <w:sz w:val="18"/>
                <w:szCs w:val="18"/>
              </w:rPr>
              <w:t>Y</w:t>
            </w: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 xml:space="preserve">Misrepresentation </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 xml:space="preserve">Any representation or statement made or deemed to be made by SAA or the Guarantor in the Finance Documents or any other document delivered by or on behalf of SAA or the </w:t>
            </w:r>
            <w:r>
              <w:rPr>
                <w:rFonts w:ascii="Arial" w:hAnsi="Arial" w:cs="Arial"/>
                <w:sz w:val="18"/>
                <w:szCs w:val="18"/>
              </w:rPr>
              <w:lastRenderedPageBreak/>
              <w:t>Guarantor under or in connection with any Finance Document is or proves to have been incorrect or misleading in any material respect when made or deemed to be made.</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lastRenderedPageBreak/>
              <w:t xml:space="preserve">Y </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tcPr>
          <w:p w:rsidR="00EC1AEB" w:rsidRPr="00811DED" w:rsidRDefault="00EC1AEB" w:rsidP="00EC1AEB">
            <w:pPr>
              <w:pStyle w:val="ListParagraph"/>
              <w:numPr>
                <w:ilvl w:val="0"/>
                <w:numId w:val="20"/>
              </w:numPr>
              <w:spacing w:before="20" w:after="20" w:line="276" w:lineRule="auto"/>
              <w:ind w:left="317" w:hanging="284"/>
              <w:rPr>
                <w:rFonts w:ascii="Arial" w:hAnsi="Arial" w:cs="Arial"/>
                <w:b/>
                <w:i/>
                <w:sz w:val="18"/>
                <w:szCs w:val="18"/>
              </w:rPr>
            </w:pPr>
            <w:r w:rsidRPr="00811DED">
              <w:rPr>
                <w:rFonts w:ascii="Arial" w:hAnsi="Arial" w:cs="Arial"/>
                <w:b/>
                <w:i/>
                <w:sz w:val="18"/>
                <w:szCs w:val="18"/>
              </w:rPr>
              <w:t xml:space="preserve">Disposals </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will not enter into a single transaction or a series of transactions and whether voluntary or involuntary to sell, lease, transfer or otherwise dispose of any asset.</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Audit qualification</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The Auditors of SAA qualify the audited annual consolidated financial statements of SAA or any of its Affiliates.</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tcPr>
          <w:p w:rsidR="00EC1AEB" w:rsidRPr="00811DED" w:rsidRDefault="00EC1AEB" w:rsidP="00EC1AEB">
            <w:pPr>
              <w:pStyle w:val="ListParagraph"/>
              <w:numPr>
                <w:ilvl w:val="0"/>
                <w:numId w:val="20"/>
              </w:numPr>
              <w:spacing w:before="20" w:after="20" w:line="276" w:lineRule="auto"/>
              <w:ind w:left="317" w:hanging="284"/>
              <w:rPr>
                <w:rFonts w:ascii="Arial" w:hAnsi="Arial" w:cs="Arial"/>
                <w:b/>
                <w:i/>
                <w:sz w:val="18"/>
                <w:szCs w:val="18"/>
              </w:rPr>
            </w:pPr>
            <w:r w:rsidRPr="00811DED">
              <w:rPr>
                <w:rFonts w:ascii="Arial" w:hAnsi="Arial" w:cs="Arial"/>
                <w:b/>
                <w:i/>
                <w:sz w:val="18"/>
                <w:szCs w:val="18"/>
              </w:rPr>
              <w:t>Taxes</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will maintain its status as a statutory body established in accordance with laws of South Africa and will maintain its tax residence in South Africa and ensure that it is not resident or liable to tax in any other jurisdiction.</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 xml:space="preserve">Government Guarantee </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The guarantee ceases to be legal, valid, binding and enforceable or otherwise ceases to be effective.</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tcPr>
          <w:p w:rsidR="00EC1AEB" w:rsidRPr="00653D43" w:rsidRDefault="00EC1AEB" w:rsidP="00EC1AEB">
            <w:pPr>
              <w:pStyle w:val="ListParagraph"/>
              <w:numPr>
                <w:ilvl w:val="0"/>
                <w:numId w:val="20"/>
              </w:numPr>
              <w:spacing w:before="20" w:after="20"/>
              <w:ind w:left="317" w:hanging="284"/>
              <w:rPr>
                <w:rFonts w:ascii="Arial" w:hAnsi="Arial" w:cs="Arial"/>
                <w:b/>
                <w:i/>
                <w:sz w:val="18"/>
                <w:szCs w:val="18"/>
              </w:rPr>
            </w:pPr>
            <w:r w:rsidRPr="00653D43">
              <w:rPr>
                <w:rFonts w:ascii="Arial" w:hAnsi="Arial" w:cs="Arial"/>
                <w:b/>
                <w:i/>
                <w:sz w:val="18"/>
                <w:szCs w:val="18"/>
              </w:rPr>
              <w:t>Merger</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shall not, unless otherwise agreed to by the Lenders in writing, enter into any joint venture, amalgamation, demerger or corporate reconstruction.</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No breaching of laws</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SAA has not breached any law or regulation which breach has or might reasonably be expected to have a Material Adverse Effect.</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r>
      <w:tr w:rsidR="00EC1AEB" w:rsidRPr="00E472D6" w:rsidTr="00EC1AEB">
        <w:tc>
          <w:tcPr>
            <w:tcW w:w="533" w:type="pct"/>
            <w:vMerge/>
          </w:tcPr>
          <w:p w:rsidR="00EC1AEB" w:rsidRPr="00811DED" w:rsidRDefault="00EC1AEB" w:rsidP="004A69BB">
            <w:pPr>
              <w:spacing w:before="20" w:after="20"/>
              <w:rPr>
                <w:rFonts w:ascii="Arial" w:hAnsi="Arial" w:cs="Arial"/>
                <w:sz w:val="18"/>
                <w:szCs w:val="18"/>
              </w:rPr>
            </w:pPr>
          </w:p>
        </w:tc>
        <w:tc>
          <w:tcPr>
            <w:tcW w:w="1929" w:type="pct"/>
          </w:tcPr>
          <w:p w:rsidR="00EC1AEB" w:rsidRPr="00653D43" w:rsidRDefault="00EC1AEB" w:rsidP="00EC1AEB">
            <w:pPr>
              <w:pStyle w:val="ListParagraph"/>
              <w:numPr>
                <w:ilvl w:val="0"/>
                <w:numId w:val="20"/>
              </w:numPr>
              <w:spacing w:before="20" w:after="20"/>
              <w:ind w:left="317" w:hanging="284"/>
              <w:rPr>
                <w:rFonts w:ascii="Arial" w:hAnsi="Arial" w:cs="Arial"/>
                <w:b/>
                <w:i/>
                <w:sz w:val="18"/>
                <w:szCs w:val="18"/>
              </w:rPr>
            </w:pPr>
            <w:r w:rsidRPr="00653D43">
              <w:rPr>
                <w:rFonts w:ascii="Arial" w:hAnsi="Arial" w:cs="Arial"/>
                <w:b/>
                <w:i/>
                <w:sz w:val="18"/>
                <w:szCs w:val="18"/>
              </w:rPr>
              <w:t xml:space="preserve">Acquisition </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shall not unless otherwise agreed to by the Lenders in writing, acquire or subscribe for shares or other ownership interest in or securities of any company or other person, or acquire any business, assets or incorporate any company or other person.</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c>
          <w:tcPr>
            <w:tcW w:w="1815" w:type="pct"/>
          </w:tcPr>
          <w:p w:rsidR="00EC1AEB" w:rsidRDefault="00EC1AEB" w:rsidP="00EC1AEB">
            <w:pPr>
              <w:pStyle w:val="ListParagraph"/>
              <w:numPr>
                <w:ilvl w:val="0"/>
                <w:numId w:val="21"/>
              </w:numPr>
              <w:spacing w:before="20" w:after="20" w:line="276" w:lineRule="auto"/>
              <w:ind w:left="411" w:hanging="411"/>
              <w:rPr>
                <w:rFonts w:ascii="Arial" w:hAnsi="Arial" w:cs="Arial"/>
                <w:b/>
                <w:i/>
                <w:sz w:val="18"/>
                <w:szCs w:val="18"/>
              </w:rPr>
            </w:pPr>
            <w:r>
              <w:rPr>
                <w:rFonts w:ascii="Arial" w:hAnsi="Arial" w:cs="Arial"/>
                <w:b/>
                <w:i/>
                <w:sz w:val="18"/>
                <w:szCs w:val="18"/>
              </w:rPr>
              <w:t>Material adverse effect</w:t>
            </w:r>
          </w:p>
          <w:p w:rsidR="00EC1AEB" w:rsidRPr="00BD3CD1"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No material adverse effect has occurred.</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r>
      <w:tr w:rsidR="00EC1AEB" w:rsidRPr="00BB4D4F"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vMerge w:val="restart"/>
          </w:tcPr>
          <w:p w:rsidR="00EC1AEB" w:rsidRPr="00811DED" w:rsidRDefault="00EC1AEB" w:rsidP="00EC1AEB">
            <w:pPr>
              <w:pStyle w:val="ListParagraph"/>
              <w:numPr>
                <w:ilvl w:val="0"/>
                <w:numId w:val="20"/>
              </w:numPr>
              <w:spacing w:before="20" w:after="20"/>
              <w:ind w:left="317" w:hanging="284"/>
              <w:rPr>
                <w:rFonts w:ascii="Arial" w:hAnsi="Arial" w:cs="Arial"/>
                <w:b/>
                <w:i/>
                <w:sz w:val="18"/>
                <w:szCs w:val="18"/>
              </w:rPr>
            </w:pPr>
            <w:r w:rsidRPr="00811DED">
              <w:rPr>
                <w:rFonts w:ascii="Arial" w:hAnsi="Arial" w:cs="Arial"/>
                <w:b/>
                <w:i/>
                <w:sz w:val="18"/>
                <w:szCs w:val="18"/>
              </w:rPr>
              <w:t>Cross default</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Any financial indebtedness of SAA which is not paid due nor within any originally applicable grace period, or declared to be or otherwise becomes due and payable prior to its specified maturity as a result of an event of default, or cancelled or suspended by a creditor of SAA which as a result of an event of default.</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Constitutional documents</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will ensure that no change is made to its constitutional documents without prior written consent of the Lenders where such change has or is reasonably likely to have a Material Adverse Effect.</w:t>
            </w:r>
          </w:p>
        </w:tc>
        <w:tc>
          <w:tcPr>
            <w:tcW w:w="362" w:type="pct"/>
          </w:tcPr>
          <w:p w:rsidR="00EC1AEB" w:rsidRPr="00BB4D4F" w:rsidRDefault="00EC1AEB" w:rsidP="004A69BB">
            <w:pPr>
              <w:spacing w:before="20" w:after="20"/>
              <w:jc w:val="center"/>
              <w:rPr>
                <w:rFonts w:ascii="Arial" w:hAnsi="Arial" w:cs="Arial"/>
                <w:b/>
                <w:sz w:val="18"/>
                <w:szCs w:val="18"/>
              </w:rPr>
            </w:pPr>
            <w:r w:rsidRPr="00BB4D4F">
              <w:rPr>
                <w:rFonts w:ascii="Arial" w:hAnsi="Arial" w:cs="Arial"/>
                <w:b/>
                <w:sz w:val="18"/>
                <w:szCs w:val="18"/>
              </w:rPr>
              <w:t>Y</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vMerge/>
          </w:tcPr>
          <w:p w:rsidR="00EC1AEB" w:rsidRPr="00811DED" w:rsidRDefault="00EC1AEB" w:rsidP="004A69BB">
            <w:pPr>
              <w:spacing w:before="20" w:after="20" w:line="276" w:lineRule="auto"/>
              <w:ind w:left="317"/>
              <w:jc w:val="both"/>
              <w:rPr>
                <w:rFonts w:ascii="Arial" w:hAnsi="Arial" w:cs="Arial"/>
                <w:sz w:val="18"/>
                <w:szCs w:val="18"/>
              </w:rPr>
            </w:pP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 xml:space="preserve">Sanctions </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SAA and to the best of knowledge of SAA having made due and careful enquiry, its Affiliates, are not Sanctioned Entities, to the extent applicable, or have not participated in a Sanctioned Transaction or have not contravened and Sanctions or are not targeted under any Sanctions.</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vMerge/>
          </w:tcPr>
          <w:p w:rsidR="00EC1AEB" w:rsidRPr="00811DED" w:rsidRDefault="00EC1AEB" w:rsidP="004A69BB">
            <w:pPr>
              <w:spacing w:before="20" w:after="20" w:line="276" w:lineRule="auto"/>
              <w:ind w:left="317"/>
              <w:jc w:val="both"/>
              <w:rPr>
                <w:rFonts w:ascii="Arial" w:hAnsi="Arial" w:cs="Arial"/>
                <w:sz w:val="18"/>
                <w:szCs w:val="18"/>
              </w:rPr>
            </w:pPr>
          </w:p>
        </w:tc>
        <w:tc>
          <w:tcPr>
            <w:tcW w:w="362" w:type="pct"/>
          </w:tcPr>
          <w:p w:rsidR="00EC1AEB" w:rsidRPr="00E472D6" w:rsidRDefault="00EC1AEB" w:rsidP="004A69BB">
            <w:pPr>
              <w:spacing w:before="20" w:after="20"/>
              <w:jc w:val="center"/>
              <w:rPr>
                <w:rFonts w:ascii="Arial" w:hAnsi="Arial" w:cs="Arial"/>
                <w:b/>
                <w:sz w:val="18"/>
                <w:szCs w:val="18"/>
              </w:rPr>
            </w:pPr>
            <w:r>
              <w:rPr>
                <w:rFonts w:ascii="Arial" w:hAnsi="Arial" w:cs="Arial"/>
                <w:b/>
                <w:sz w:val="18"/>
                <w:szCs w:val="18"/>
              </w:rPr>
              <w:t>Y</w:t>
            </w: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Compliance to anti-</w:t>
            </w:r>
            <w:r w:rsidRPr="00811DED">
              <w:rPr>
                <w:rFonts w:ascii="Arial" w:hAnsi="Arial" w:cs="Arial"/>
                <w:b/>
                <w:i/>
                <w:sz w:val="18"/>
                <w:szCs w:val="18"/>
              </w:rPr>
              <w:lastRenderedPageBreak/>
              <w:t>corruption laws</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 xml:space="preserve">SAA to the best knowledge of SAA having made due and careful enquiry, and each of its Affiliates, has conducted its businesses in compliance with Applicable Anti-Bribery Law and has instituted and maintains policies and procedures designed to promote and achieve compliance with such laws. </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lastRenderedPageBreak/>
              <w:t xml:space="preserve">Y </w:t>
            </w:r>
          </w:p>
        </w:tc>
      </w:tr>
      <w:tr w:rsidR="00EC1AEB" w:rsidRPr="00E472D6" w:rsidTr="00EC1AEB">
        <w:tc>
          <w:tcPr>
            <w:tcW w:w="533" w:type="pct"/>
            <w:vMerge w:val="restart"/>
          </w:tcPr>
          <w:p w:rsidR="00EC1AEB" w:rsidRPr="00811DED" w:rsidRDefault="00EC1AEB" w:rsidP="004A69BB">
            <w:pPr>
              <w:spacing w:before="20" w:after="20" w:line="276" w:lineRule="auto"/>
              <w:rPr>
                <w:rFonts w:ascii="Arial" w:hAnsi="Arial" w:cs="Arial"/>
                <w:sz w:val="18"/>
                <w:szCs w:val="18"/>
              </w:rPr>
            </w:pPr>
          </w:p>
        </w:tc>
        <w:tc>
          <w:tcPr>
            <w:tcW w:w="1929" w:type="pct"/>
            <w:vMerge/>
          </w:tcPr>
          <w:p w:rsidR="00EC1AEB" w:rsidRPr="00811DED" w:rsidRDefault="00EC1AEB" w:rsidP="004A69BB">
            <w:pPr>
              <w:spacing w:before="20" w:after="20" w:line="276" w:lineRule="auto"/>
              <w:rPr>
                <w:rFonts w:ascii="Arial" w:hAnsi="Arial" w:cs="Arial"/>
                <w:sz w:val="18"/>
                <w:szCs w:val="18"/>
              </w:rPr>
            </w:pPr>
          </w:p>
        </w:tc>
        <w:tc>
          <w:tcPr>
            <w:tcW w:w="362" w:type="pct"/>
            <w:vMerge w:val="restart"/>
          </w:tcPr>
          <w:p w:rsidR="00EC1AEB" w:rsidRPr="00E472D6" w:rsidRDefault="00EC1AEB" w:rsidP="004A69BB">
            <w:pPr>
              <w:spacing w:before="20" w:after="20"/>
              <w:rPr>
                <w:rFonts w:ascii="Arial" w:hAnsi="Arial" w:cs="Arial"/>
                <w:b/>
                <w:i/>
                <w:sz w:val="18"/>
                <w:szCs w:val="18"/>
              </w:rPr>
            </w:pP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Change of business</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shall procure that no substantial change is made to the general nature of the business of SAA from that carried on at the signature date.</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vMerge/>
          </w:tcPr>
          <w:p w:rsidR="00EC1AEB" w:rsidRPr="00811DED" w:rsidRDefault="00EC1AEB" w:rsidP="004A69BB">
            <w:pPr>
              <w:spacing w:before="20" w:after="20" w:line="276" w:lineRule="auto"/>
              <w:rPr>
                <w:rFonts w:ascii="Arial" w:hAnsi="Arial" w:cs="Arial"/>
                <w:sz w:val="18"/>
                <w:szCs w:val="18"/>
              </w:rPr>
            </w:pPr>
          </w:p>
        </w:tc>
        <w:tc>
          <w:tcPr>
            <w:tcW w:w="362" w:type="pct"/>
            <w:vMerge/>
          </w:tcPr>
          <w:p w:rsidR="00EC1AEB" w:rsidRPr="00E472D6" w:rsidRDefault="00EC1AEB" w:rsidP="004A69BB">
            <w:pPr>
              <w:spacing w:before="20" w:after="20"/>
              <w:rPr>
                <w:rFonts w:ascii="Arial" w:hAnsi="Arial" w:cs="Arial"/>
                <w:b/>
                <w:i/>
                <w:sz w:val="18"/>
                <w:szCs w:val="18"/>
              </w:rPr>
            </w:pP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Financial year end</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shall not change its Accounting Reference Date.</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r>
      <w:tr w:rsidR="00EC1AEB" w:rsidRPr="00BB4D4F"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vMerge/>
          </w:tcPr>
          <w:p w:rsidR="00EC1AEB" w:rsidRPr="00811DED" w:rsidRDefault="00EC1AEB" w:rsidP="004A69BB">
            <w:pPr>
              <w:spacing w:before="20" w:after="20" w:line="276" w:lineRule="auto"/>
              <w:rPr>
                <w:rFonts w:ascii="Arial" w:hAnsi="Arial" w:cs="Arial"/>
                <w:sz w:val="18"/>
                <w:szCs w:val="18"/>
              </w:rPr>
            </w:pPr>
          </w:p>
        </w:tc>
        <w:tc>
          <w:tcPr>
            <w:tcW w:w="362" w:type="pct"/>
            <w:vMerge/>
          </w:tcPr>
          <w:p w:rsidR="00EC1AEB" w:rsidRPr="00E472D6" w:rsidRDefault="00EC1AEB" w:rsidP="004A69BB">
            <w:pPr>
              <w:spacing w:before="20" w:after="20"/>
              <w:rPr>
                <w:rFonts w:ascii="Arial" w:hAnsi="Arial" w:cs="Arial"/>
                <w:b/>
                <w:i/>
                <w:sz w:val="18"/>
                <w:szCs w:val="18"/>
              </w:rPr>
            </w:pP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Change in Auditors</w:t>
            </w:r>
          </w:p>
          <w:p w:rsidR="00EC1AEB" w:rsidRPr="00811DED" w:rsidRDefault="00EC1AEB" w:rsidP="004A69BB">
            <w:pPr>
              <w:spacing w:before="20" w:after="20" w:line="276" w:lineRule="auto"/>
              <w:ind w:left="317"/>
              <w:jc w:val="both"/>
              <w:rPr>
                <w:rFonts w:ascii="Arial" w:hAnsi="Arial" w:cs="Arial"/>
                <w:sz w:val="18"/>
                <w:szCs w:val="18"/>
              </w:rPr>
            </w:pPr>
            <w:r>
              <w:rPr>
                <w:rFonts w:ascii="Arial" w:hAnsi="Arial" w:cs="Arial"/>
                <w:sz w:val="18"/>
                <w:szCs w:val="18"/>
              </w:rPr>
              <w:t>SAA may only replace its Auditors with the prior approval of the Lenders, such approval not to be unreasonably withheld or delayed.</w:t>
            </w:r>
          </w:p>
        </w:tc>
        <w:tc>
          <w:tcPr>
            <w:tcW w:w="362" w:type="pct"/>
          </w:tcPr>
          <w:p w:rsidR="00EC1AEB" w:rsidRPr="00BB4D4F" w:rsidRDefault="00EC1AEB" w:rsidP="004A69BB">
            <w:pPr>
              <w:spacing w:before="20" w:after="20"/>
              <w:jc w:val="center"/>
              <w:rPr>
                <w:rFonts w:ascii="Arial" w:hAnsi="Arial" w:cs="Arial"/>
                <w:b/>
                <w:sz w:val="18"/>
                <w:szCs w:val="18"/>
              </w:rPr>
            </w:pPr>
            <w:r>
              <w:rPr>
                <w:rFonts w:ascii="Arial" w:hAnsi="Arial" w:cs="Arial"/>
                <w:b/>
                <w:sz w:val="18"/>
                <w:szCs w:val="18"/>
              </w:rPr>
              <w:t>Y</w:t>
            </w:r>
          </w:p>
        </w:tc>
      </w:tr>
      <w:tr w:rsidR="00EC1AEB" w:rsidRPr="00E472D6" w:rsidTr="00EC1AEB">
        <w:tc>
          <w:tcPr>
            <w:tcW w:w="533" w:type="pct"/>
            <w:vMerge/>
          </w:tcPr>
          <w:p w:rsidR="00EC1AEB" w:rsidRPr="00811DED" w:rsidRDefault="00EC1AEB" w:rsidP="004A69BB">
            <w:pPr>
              <w:spacing w:before="20" w:after="20" w:line="276" w:lineRule="auto"/>
              <w:rPr>
                <w:rFonts w:ascii="Arial" w:hAnsi="Arial" w:cs="Arial"/>
                <w:sz w:val="18"/>
                <w:szCs w:val="18"/>
              </w:rPr>
            </w:pPr>
          </w:p>
        </w:tc>
        <w:tc>
          <w:tcPr>
            <w:tcW w:w="1929" w:type="pct"/>
            <w:vMerge/>
          </w:tcPr>
          <w:p w:rsidR="00EC1AEB" w:rsidRPr="00811DED" w:rsidRDefault="00EC1AEB" w:rsidP="004A69BB">
            <w:pPr>
              <w:spacing w:before="20" w:after="20" w:line="276" w:lineRule="auto"/>
              <w:rPr>
                <w:rFonts w:ascii="Arial" w:hAnsi="Arial" w:cs="Arial"/>
                <w:sz w:val="18"/>
                <w:szCs w:val="18"/>
              </w:rPr>
            </w:pPr>
          </w:p>
        </w:tc>
        <w:tc>
          <w:tcPr>
            <w:tcW w:w="362" w:type="pct"/>
            <w:vMerge/>
          </w:tcPr>
          <w:p w:rsidR="00EC1AEB" w:rsidRPr="00E472D6" w:rsidRDefault="00EC1AEB" w:rsidP="004A69BB">
            <w:pPr>
              <w:spacing w:before="20" w:after="20"/>
              <w:rPr>
                <w:rFonts w:ascii="Arial" w:hAnsi="Arial" w:cs="Arial"/>
                <w:b/>
                <w:i/>
                <w:sz w:val="18"/>
                <w:szCs w:val="18"/>
              </w:rPr>
            </w:pPr>
          </w:p>
        </w:tc>
        <w:tc>
          <w:tcPr>
            <w:tcW w:w="1815" w:type="pct"/>
          </w:tcPr>
          <w:p w:rsidR="00EC1AEB" w:rsidRPr="00811DED" w:rsidRDefault="00EC1AEB" w:rsidP="00EC1AEB">
            <w:pPr>
              <w:pStyle w:val="ListParagraph"/>
              <w:numPr>
                <w:ilvl w:val="0"/>
                <w:numId w:val="21"/>
              </w:numPr>
              <w:spacing w:before="20" w:after="20" w:line="276" w:lineRule="auto"/>
              <w:ind w:left="411" w:hanging="411"/>
              <w:rPr>
                <w:rFonts w:ascii="Arial" w:hAnsi="Arial" w:cs="Arial"/>
                <w:b/>
                <w:i/>
                <w:sz w:val="18"/>
                <w:szCs w:val="18"/>
              </w:rPr>
            </w:pPr>
            <w:r w:rsidRPr="00811DED">
              <w:rPr>
                <w:rFonts w:ascii="Arial" w:hAnsi="Arial" w:cs="Arial"/>
                <w:b/>
                <w:i/>
                <w:sz w:val="18"/>
                <w:szCs w:val="18"/>
              </w:rPr>
              <w:t xml:space="preserve">Expropriation </w:t>
            </w:r>
          </w:p>
          <w:p w:rsidR="00EC1AEB" w:rsidRPr="00811DED" w:rsidRDefault="00EC1AEB" w:rsidP="004A69BB">
            <w:pPr>
              <w:spacing w:before="20" w:after="20" w:line="276" w:lineRule="auto"/>
              <w:ind w:left="317"/>
              <w:jc w:val="both"/>
              <w:rPr>
                <w:rFonts w:ascii="Arial" w:hAnsi="Arial" w:cs="Arial"/>
                <w:sz w:val="18"/>
                <w:szCs w:val="18"/>
              </w:rPr>
            </w:pPr>
            <w:r w:rsidRPr="00811DED">
              <w:rPr>
                <w:rFonts w:ascii="Arial" w:hAnsi="Arial" w:cs="Arial"/>
                <w:sz w:val="18"/>
                <w:szCs w:val="18"/>
              </w:rPr>
              <w:t>The authority or ability of any affiliate of SAA to conduct its business is wholly or substantially curtailed by any seizure, expropriation, nationalisation, intervention, restriction or other action by or on behalf of any governmental, regulatory or other authority or other person.</w:t>
            </w:r>
          </w:p>
        </w:tc>
        <w:tc>
          <w:tcPr>
            <w:tcW w:w="362" w:type="pct"/>
          </w:tcPr>
          <w:p w:rsidR="00EC1AEB" w:rsidRPr="00E472D6" w:rsidRDefault="00EC1AEB" w:rsidP="004A69BB">
            <w:pPr>
              <w:spacing w:before="20" w:after="20"/>
              <w:jc w:val="center"/>
              <w:rPr>
                <w:rFonts w:ascii="Arial" w:hAnsi="Arial" w:cs="Arial"/>
                <w:b/>
                <w:sz w:val="18"/>
                <w:szCs w:val="18"/>
              </w:rPr>
            </w:pPr>
            <w:r w:rsidRPr="00E472D6">
              <w:rPr>
                <w:rFonts w:ascii="Arial" w:hAnsi="Arial" w:cs="Arial"/>
                <w:b/>
                <w:sz w:val="18"/>
                <w:szCs w:val="18"/>
              </w:rPr>
              <w:t xml:space="preserve">Y </w:t>
            </w:r>
          </w:p>
        </w:tc>
      </w:tr>
    </w:tbl>
    <w:p w:rsidR="00707A4D" w:rsidRPr="004054C3" w:rsidRDefault="00707A4D" w:rsidP="00707A4D">
      <w:pPr>
        <w:tabs>
          <w:tab w:val="left" w:pos="432"/>
          <w:tab w:val="left" w:pos="864"/>
        </w:tabs>
        <w:spacing w:line="276" w:lineRule="auto"/>
        <w:rPr>
          <w:rFonts w:ascii="Arial" w:hAnsi="Arial" w:cs="Arial"/>
          <w:b/>
          <w:sz w:val="22"/>
          <w:szCs w:val="22"/>
          <w:lang w:val="en-US"/>
        </w:rPr>
      </w:pPr>
    </w:p>
    <w:p w:rsidR="00707A4D" w:rsidRPr="004054C3" w:rsidRDefault="00707A4D" w:rsidP="00707A4D">
      <w:pPr>
        <w:tabs>
          <w:tab w:val="left" w:pos="432"/>
          <w:tab w:val="left" w:pos="864"/>
        </w:tabs>
        <w:spacing w:line="276" w:lineRule="auto"/>
        <w:rPr>
          <w:rFonts w:ascii="Arial" w:hAnsi="Arial" w:cs="Arial"/>
          <w:b/>
          <w:sz w:val="22"/>
          <w:szCs w:val="22"/>
          <w:lang w:val="en-US"/>
        </w:rPr>
      </w:pPr>
      <w:bookmarkStart w:id="0" w:name="_GoBack"/>
      <w:bookmarkEnd w:id="0"/>
    </w:p>
    <w:sectPr w:rsidR="00707A4D" w:rsidRPr="004054C3"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22690C"/>
    <w:multiLevelType w:val="hybridMultilevel"/>
    <w:tmpl w:val="9CF264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37D582E"/>
    <w:multiLevelType w:val="hybridMultilevel"/>
    <w:tmpl w:val="615C680A"/>
    <w:lvl w:ilvl="0" w:tplc="1C09000F">
      <w:start w:val="1"/>
      <w:numFmt w:val="decimal"/>
      <w:lvlText w:val="%1."/>
      <w:lvlJc w:val="left"/>
      <w:pPr>
        <w:ind w:left="643"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14"/>
  </w:num>
  <w:num w:numId="5">
    <w:abstractNumId w:val="15"/>
  </w:num>
  <w:num w:numId="6">
    <w:abstractNumId w:val="5"/>
  </w:num>
  <w:num w:numId="7">
    <w:abstractNumId w:val="20"/>
  </w:num>
  <w:num w:numId="8">
    <w:abstractNumId w:val="1"/>
  </w:num>
  <w:num w:numId="9">
    <w:abstractNumId w:val="3"/>
  </w:num>
  <w:num w:numId="10">
    <w:abstractNumId w:val="0"/>
  </w:num>
  <w:num w:numId="11">
    <w:abstractNumId w:val="19"/>
  </w:num>
  <w:num w:numId="12">
    <w:abstractNumId w:val="18"/>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12"/>
    <w:rsid w:val="0002128B"/>
    <w:rsid w:val="000363D4"/>
    <w:rsid w:val="00063BEC"/>
    <w:rsid w:val="000652CF"/>
    <w:rsid w:val="000B0B7B"/>
    <w:rsid w:val="00104D29"/>
    <w:rsid w:val="001131D9"/>
    <w:rsid w:val="00120022"/>
    <w:rsid w:val="00120DD6"/>
    <w:rsid w:val="001433AE"/>
    <w:rsid w:val="00166953"/>
    <w:rsid w:val="00175842"/>
    <w:rsid w:val="001837AD"/>
    <w:rsid w:val="001C51A3"/>
    <w:rsid w:val="001E6902"/>
    <w:rsid w:val="001F223B"/>
    <w:rsid w:val="0021081B"/>
    <w:rsid w:val="00212E17"/>
    <w:rsid w:val="002467E1"/>
    <w:rsid w:val="00247658"/>
    <w:rsid w:val="00252C87"/>
    <w:rsid w:val="002549F9"/>
    <w:rsid w:val="00257D88"/>
    <w:rsid w:val="002722CF"/>
    <w:rsid w:val="002F5E69"/>
    <w:rsid w:val="00303310"/>
    <w:rsid w:val="00310C5A"/>
    <w:rsid w:val="00323CC8"/>
    <w:rsid w:val="00366412"/>
    <w:rsid w:val="003B5D8E"/>
    <w:rsid w:val="003F0AC4"/>
    <w:rsid w:val="00433463"/>
    <w:rsid w:val="00443C34"/>
    <w:rsid w:val="0048061D"/>
    <w:rsid w:val="00487065"/>
    <w:rsid w:val="004A5ED5"/>
    <w:rsid w:val="004B4052"/>
    <w:rsid w:val="004C5679"/>
    <w:rsid w:val="004C7422"/>
    <w:rsid w:val="004E55B4"/>
    <w:rsid w:val="00501C0E"/>
    <w:rsid w:val="005141B3"/>
    <w:rsid w:val="00514C38"/>
    <w:rsid w:val="00524983"/>
    <w:rsid w:val="00530F50"/>
    <w:rsid w:val="00585BA9"/>
    <w:rsid w:val="005A30FB"/>
    <w:rsid w:val="00603762"/>
    <w:rsid w:val="00613FC6"/>
    <w:rsid w:val="00684AAB"/>
    <w:rsid w:val="00695A9A"/>
    <w:rsid w:val="006B1504"/>
    <w:rsid w:val="006B5828"/>
    <w:rsid w:val="00702034"/>
    <w:rsid w:val="00707A4D"/>
    <w:rsid w:val="00716D12"/>
    <w:rsid w:val="00736CFE"/>
    <w:rsid w:val="0076584C"/>
    <w:rsid w:val="0079063F"/>
    <w:rsid w:val="007B66A0"/>
    <w:rsid w:val="00807F57"/>
    <w:rsid w:val="00810D64"/>
    <w:rsid w:val="00814F3C"/>
    <w:rsid w:val="0087366B"/>
    <w:rsid w:val="0087557B"/>
    <w:rsid w:val="00892134"/>
    <w:rsid w:val="008B5B10"/>
    <w:rsid w:val="008D26AB"/>
    <w:rsid w:val="008D419D"/>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672D2"/>
    <w:rsid w:val="00B75338"/>
    <w:rsid w:val="00B940DF"/>
    <w:rsid w:val="00BB1CB3"/>
    <w:rsid w:val="00BC3017"/>
    <w:rsid w:val="00BE0961"/>
    <w:rsid w:val="00BF6291"/>
    <w:rsid w:val="00C02CE0"/>
    <w:rsid w:val="00C44C35"/>
    <w:rsid w:val="00C540F1"/>
    <w:rsid w:val="00CA56BB"/>
    <w:rsid w:val="00CB3CED"/>
    <w:rsid w:val="00CD717F"/>
    <w:rsid w:val="00D0120D"/>
    <w:rsid w:val="00D252CF"/>
    <w:rsid w:val="00D26B3A"/>
    <w:rsid w:val="00D32984"/>
    <w:rsid w:val="00D45612"/>
    <w:rsid w:val="00D71DE6"/>
    <w:rsid w:val="00D747FF"/>
    <w:rsid w:val="00DB6B3C"/>
    <w:rsid w:val="00E21152"/>
    <w:rsid w:val="00E26C88"/>
    <w:rsid w:val="00E32136"/>
    <w:rsid w:val="00E44AF7"/>
    <w:rsid w:val="00E6523B"/>
    <w:rsid w:val="00E72933"/>
    <w:rsid w:val="00E77DF6"/>
    <w:rsid w:val="00E84B1C"/>
    <w:rsid w:val="00EA5314"/>
    <w:rsid w:val="00EA6440"/>
    <w:rsid w:val="00EB0EA7"/>
    <w:rsid w:val="00EC1AEB"/>
    <w:rsid w:val="00ED4459"/>
    <w:rsid w:val="00ED5918"/>
    <w:rsid w:val="00ED6014"/>
    <w:rsid w:val="00EE38AD"/>
    <w:rsid w:val="00EF0694"/>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customStyle="1" w:styleId="Heading1Char">
    <w:name w:val="Heading 1 Char"/>
    <w:basedOn w:val="DefaultParagraphFont"/>
    <w:link w:val="Heading1"/>
    <w:rsid w:val="00B672D2"/>
    <w:rPr>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customStyle="1" w:styleId="Heading1Char">
    <w:name w:val="Heading 1 Char"/>
    <w:basedOn w:val="DefaultParagraphFont"/>
    <w:link w:val="Heading1"/>
    <w:rsid w:val="00B672D2"/>
    <w:rPr>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169410678">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06017747">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43039975">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321C-4221-469B-ABE5-B710367F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2014-07-29T06:38:00Z</cp:lastPrinted>
  <dcterms:created xsi:type="dcterms:W3CDTF">2017-06-14T11:53:00Z</dcterms:created>
  <dcterms:modified xsi:type="dcterms:W3CDTF">2017-06-14T11:53:00Z</dcterms:modified>
</cp:coreProperties>
</file>