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3C52F3" w:rsidP="00807DC0">
      <w:pP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4490085</wp:posOffset>
            </wp:positionH>
            <wp:positionV relativeFrom="paragraph">
              <wp:posOffset>-467995</wp:posOffset>
            </wp:positionV>
            <wp:extent cx="499745" cy="621665"/>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tab/>
      </w:r>
      <w:r w:rsidR="00807DC0">
        <w:tab/>
      </w:r>
      <w:r w:rsidR="00807DC0">
        <w:tab/>
      </w:r>
      <w:r w:rsidR="00807DC0">
        <w:tab/>
      </w:r>
      <w:r w:rsidR="00807DC0">
        <w:tab/>
      </w:r>
      <w:r w:rsidR="00807DC0">
        <w:tab/>
      </w:r>
      <w:r w:rsidR="00807DC0">
        <w:tab/>
      </w:r>
      <w:r w:rsidR="00807DC0">
        <w:tab/>
      </w:r>
      <w:r w:rsidR="00807DC0">
        <w:tab/>
      </w:r>
      <w:r w:rsidR="006F2271">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AE7E18" w:rsidRDefault="00AE7E18" w:rsidP="00AE7E18">
      <w:pPr>
        <w:spacing w:after="0" w:line="240" w:lineRule="auto"/>
        <w:jc w:val="both"/>
        <w:rPr>
          <w:rFonts w:ascii="Arial Narrow" w:hAnsi="Arial Narrow" w:cs="Tunga"/>
          <w:b/>
          <w:sz w:val="28"/>
          <w:szCs w:val="28"/>
          <w:lang w:val="en-ZA"/>
        </w:rPr>
      </w:pPr>
      <w:r w:rsidRPr="00AE7E18">
        <w:rPr>
          <w:rFonts w:ascii="Arial Narrow" w:hAnsi="Arial Narrow" w:cs="Tunga"/>
          <w:b/>
          <w:sz w:val="28"/>
          <w:szCs w:val="28"/>
          <w:lang w:val="en-ZA"/>
        </w:rPr>
        <w:t>151.</w:t>
      </w:r>
      <w:r w:rsidRPr="00AE7E18">
        <w:rPr>
          <w:rFonts w:ascii="Arial Narrow" w:hAnsi="Arial Narrow" w:cs="Tunga"/>
          <w:b/>
          <w:sz w:val="28"/>
          <w:szCs w:val="28"/>
          <w:lang w:val="en-ZA"/>
        </w:rPr>
        <w:tab/>
        <w:t>Ms N K F Hlonyana (EFF) to ask the Minister of Energy:</w:t>
      </w:r>
    </w:p>
    <w:p w:rsidR="00AE7E18" w:rsidRPr="00AE7E18" w:rsidRDefault="00AE7E18" w:rsidP="00AE7E18">
      <w:pPr>
        <w:spacing w:after="0" w:line="240" w:lineRule="auto"/>
        <w:jc w:val="both"/>
        <w:rPr>
          <w:rFonts w:ascii="Arial Narrow" w:hAnsi="Arial Narrow" w:cs="Tunga"/>
          <w:b/>
          <w:sz w:val="28"/>
          <w:szCs w:val="28"/>
          <w:lang w:val="en-ZA"/>
        </w:rPr>
      </w:pPr>
    </w:p>
    <w:p w:rsidR="00EC4E80" w:rsidRPr="00AE7E18" w:rsidRDefault="00AE7E18" w:rsidP="00AE7E18">
      <w:pPr>
        <w:spacing w:after="0" w:line="240" w:lineRule="auto"/>
        <w:jc w:val="both"/>
        <w:rPr>
          <w:rFonts w:ascii="Arial Narrow" w:hAnsi="Arial Narrow" w:cs="Tunga"/>
          <w:sz w:val="28"/>
          <w:szCs w:val="28"/>
          <w:lang w:val="en-ZA"/>
        </w:rPr>
      </w:pPr>
      <w:r w:rsidRPr="00AE7E18">
        <w:rPr>
          <w:rFonts w:ascii="Arial Narrow" w:hAnsi="Arial Narrow" w:cs="Tunga"/>
          <w:sz w:val="28"/>
          <w:szCs w:val="28"/>
          <w:lang w:val="en-ZA"/>
        </w:rPr>
        <w:t>Whether (a) his department and/or (b) any entity reporting to his own land; if so, in each case, (i) where is each plot of land located, (ii) what is the size of each specified plot and (iii) what is each plot currently being used for?</w:t>
      </w:r>
      <w:r w:rsidRPr="00AE7E18">
        <w:rPr>
          <w:rFonts w:ascii="Arial Narrow" w:hAnsi="Arial Narrow" w:cs="Tunga"/>
          <w:sz w:val="28"/>
          <w:szCs w:val="28"/>
          <w:lang w:val="en-ZA"/>
        </w:rPr>
        <w:tab/>
      </w:r>
      <w:r w:rsidRPr="00AE7E18">
        <w:rPr>
          <w:rFonts w:ascii="Arial Narrow" w:hAnsi="Arial Narrow" w:cs="Tunga"/>
          <w:sz w:val="28"/>
          <w:szCs w:val="28"/>
          <w:lang w:val="en-ZA"/>
        </w:rPr>
        <w:tab/>
      </w:r>
      <w:r w:rsidRPr="00AE7E18">
        <w:rPr>
          <w:rFonts w:ascii="Arial Narrow" w:hAnsi="Arial Narrow" w:cs="Tunga"/>
          <w:sz w:val="28"/>
          <w:szCs w:val="28"/>
          <w:lang w:val="en-ZA"/>
        </w:rPr>
        <w:tab/>
        <w:t>NW158E</w:t>
      </w:r>
    </w:p>
    <w:p w:rsidR="00AE7E18" w:rsidRPr="001677C7" w:rsidRDefault="00AE7E18" w:rsidP="004B17FE">
      <w:pPr>
        <w:spacing w:after="0" w:line="240" w:lineRule="auto"/>
        <w:jc w:val="both"/>
        <w:rPr>
          <w:rFonts w:ascii="Arial Narrow" w:hAnsi="Arial Narrow" w:cs="Tunga"/>
          <w:b/>
          <w:sz w:val="28"/>
          <w:szCs w:val="28"/>
          <w:lang w:val="en-ZA"/>
        </w:rPr>
      </w:pPr>
    </w:p>
    <w:p w:rsidR="00BF29AE" w:rsidRPr="001677C7" w:rsidRDefault="00BF29AE" w:rsidP="004B17FE">
      <w:pPr>
        <w:spacing w:after="0" w:line="240" w:lineRule="auto"/>
        <w:jc w:val="both"/>
        <w:rPr>
          <w:rFonts w:ascii="Arial Narrow" w:hAnsi="Arial Narrow" w:cs="Tunga"/>
          <w:b/>
          <w:sz w:val="28"/>
          <w:szCs w:val="28"/>
          <w:lang w:val="en-ZA"/>
        </w:rPr>
      </w:pPr>
      <w:r w:rsidRPr="001677C7">
        <w:rPr>
          <w:rFonts w:ascii="Arial Narrow" w:hAnsi="Arial Narrow" w:cs="Tunga"/>
          <w:b/>
          <w:sz w:val="28"/>
          <w:szCs w:val="28"/>
          <w:lang w:val="en-ZA"/>
        </w:rPr>
        <w:t>Reply:</w:t>
      </w:r>
    </w:p>
    <w:p w:rsidR="001677C7" w:rsidRPr="001677C7" w:rsidRDefault="001677C7" w:rsidP="004B17FE">
      <w:pPr>
        <w:spacing w:after="0" w:line="240" w:lineRule="auto"/>
        <w:jc w:val="both"/>
        <w:rPr>
          <w:rFonts w:ascii="Arial Narrow" w:hAnsi="Arial Narrow" w:cs="Tunga"/>
          <w:b/>
          <w:sz w:val="28"/>
          <w:szCs w:val="28"/>
          <w:lang w:val="en-ZA"/>
        </w:rPr>
      </w:pPr>
    </w:p>
    <w:p w:rsidR="001677C7" w:rsidRPr="001677C7" w:rsidRDefault="001677C7" w:rsidP="001677C7">
      <w:pPr>
        <w:spacing w:after="0" w:line="240" w:lineRule="auto"/>
        <w:jc w:val="both"/>
        <w:rPr>
          <w:rFonts w:ascii="Arial Narrow" w:hAnsi="Arial Narrow" w:cs="Tunga"/>
          <w:sz w:val="28"/>
          <w:szCs w:val="28"/>
          <w:lang w:val="en-ZA"/>
        </w:rPr>
      </w:pPr>
      <w:r w:rsidRPr="001677C7">
        <w:rPr>
          <w:rFonts w:ascii="Arial Narrow" w:hAnsi="Arial Narrow" w:cs="Tunga"/>
          <w:sz w:val="28"/>
          <w:szCs w:val="28"/>
          <w:lang w:val="en-ZA"/>
        </w:rPr>
        <w:t>The Department of Energy does not own a land.</w:t>
      </w:r>
      <w:r w:rsidR="00807DC0">
        <w:rPr>
          <w:rFonts w:ascii="Arial Narrow" w:hAnsi="Arial Narrow" w:cs="Tunga"/>
          <w:sz w:val="28"/>
          <w:szCs w:val="28"/>
          <w:lang w:val="en-ZA"/>
        </w:rPr>
        <w:t xml:space="preserve"> Other information relating to the Entities is as follows:</w:t>
      </w:r>
    </w:p>
    <w:p w:rsidR="001677C7" w:rsidRPr="001677C7" w:rsidRDefault="001677C7" w:rsidP="004B17FE">
      <w:pPr>
        <w:spacing w:after="0" w:line="240" w:lineRule="auto"/>
        <w:jc w:val="both"/>
        <w:rPr>
          <w:rFonts w:ascii="Arial Narrow" w:hAnsi="Arial Narrow" w:cs="Tunga"/>
          <w:b/>
          <w:sz w:val="28"/>
          <w:szCs w:val="28"/>
          <w:lang w:val="en-ZA"/>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057"/>
        <w:gridCol w:w="3809"/>
        <w:gridCol w:w="2956"/>
        <w:gridCol w:w="2409"/>
        <w:gridCol w:w="3518"/>
      </w:tblGrid>
      <w:tr w:rsidR="00983332" w:rsidRPr="001677C7" w:rsidTr="00F86CDF">
        <w:trPr>
          <w:trHeight w:val="600"/>
          <w:tblHeader/>
        </w:trPr>
        <w:tc>
          <w:tcPr>
            <w:tcW w:w="561" w:type="dxa"/>
            <w:shd w:val="clear" w:color="auto" w:fill="7F7F7F"/>
            <w:noWrap/>
            <w:vAlign w:val="bottom"/>
            <w:hideMark/>
          </w:tcPr>
          <w:p w:rsidR="00983332" w:rsidRPr="001677C7" w:rsidRDefault="00983332" w:rsidP="00443058">
            <w:p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NO</w:t>
            </w:r>
          </w:p>
        </w:tc>
        <w:tc>
          <w:tcPr>
            <w:tcW w:w="2057" w:type="dxa"/>
            <w:shd w:val="clear" w:color="auto" w:fill="7F7F7F"/>
          </w:tcPr>
          <w:p w:rsidR="00983332" w:rsidRPr="001677C7" w:rsidRDefault="00983332" w:rsidP="00443058">
            <w:pPr>
              <w:spacing w:after="0" w:line="240" w:lineRule="auto"/>
              <w:jc w:val="center"/>
              <w:rPr>
                <w:rFonts w:ascii="Arial Narrow" w:hAnsi="Arial Narrow" w:cs="Calibri"/>
                <w:b/>
                <w:bCs/>
                <w:color w:val="000000"/>
                <w:sz w:val="28"/>
                <w:szCs w:val="28"/>
                <w:lang w:val="en-GB" w:eastAsia="en-GB"/>
              </w:rPr>
            </w:pPr>
          </w:p>
          <w:p w:rsidR="00983332" w:rsidRPr="001677C7" w:rsidRDefault="00983332" w:rsidP="00443058">
            <w:pPr>
              <w:spacing w:after="0" w:line="240" w:lineRule="auto"/>
              <w:jc w:val="center"/>
              <w:rPr>
                <w:rFonts w:ascii="Arial Narrow" w:hAnsi="Arial Narrow" w:cs="Calibri"/>
                <w:b/>
                <w:bCs/>
                <w:color w:val="000000"/>
                <w:sz w:val="28"/>
                <w:szCs w:val="28"/>
                <w:lang w:val="en-GB" w:eastAsia="en-GB"/>
              </w:rPr>
            </w:pPr>
          </w:p>
          <w:p w:rsidR="00983332" w:rsidRPr="001677C7" w:rsidRDefault="004900DC" w:rsidP="00443058">
            <w:p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 xml:space="preserve">(b) </w:t>
            </w:r>
            <w:r w:rsidR="00983332" w:rsidRPr="001677C7">
              <w:rPr>
                <w:rFonts w:ascii="Arial Narrow" w:hAnsi="Arial Narrow" w:cs="Calibri"/>
                <w:b/>
                <w:bCs/>
                <w:color w:val="000000"/>
                <w:sz w:val="28"/>
                <w:szCs w:val="28"/>
                <w:lang w:val="en-GB" w:eastAsia="en-GB"/>
              </w:rPr>
              <w:t>ENTITY</w:t>
            </w:r>
          </w:p>
        </w:tc>
        <w:tc>
          <w:tcPr>
            <w:tcW w:w="6765" w:type="dxa"/>
            <w:gridSpan w:val="2"/>
            <w:shd w:val="clear" w:color="auto" w:fill="7F7F7F"/>
            <w:vAlign w:val="bottom"/>
            <w:hideMark/>
          </w:tcPr>
          <w:p w:rsidR="00983332" w:rsidRPr="001677C7" w:rsidRDefault="00983332" w:rsidP="00443058">
            <w:p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PROPERTY DESCRIPTION</w:t>
            </w:r>
          </w:p>
          <w:p w:rsidR="00983332" w:rsidRPr="001677C7" w:rsidRDefault="00983332" w:rsidP="009C5B36">
            <w:pPr>
              <w:numPr>
                <w:ilvl w:val="0"/>
                <w:numId w:val="32"/>
              </w:num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LOCATION (ADDRESS)</w:t>
            </w:r>
          </w:p>
        </w:tc>
        <w:tc>
          <w:tcPr>
            <w:tcW w:w="2409" w:type="dxa"/>
            <w:shd w:val="clear" w:color="auto" w:fill="7F7F7F"/>
            <w:noWrap/>
            <w:vAlign w:val="bottom"/>
            <w:hideMark/>
          </w:tcPr>
          <w:p w:rsidR="00983332" w:rsidRPr="001677C7" w:rsidRDefault="00983332" w:rsidP="009C5B36">
            <w:pPr>
              <w:numPr>
                <w:ilvl w:val="0"/>
                <w:numId w:val="32"/>
              </w:num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SIZE (HECTORS /m</w:t>
            </w:r>
            <w:r w:rsidRPr="001677C7">
              <w:rPr>
                <w:rFonts w:ascii="Arial Narrow" w:hAnsi="Arial Narrow" w:cs="Calibri"/>
                <w:b/>
                <w:bCs/>
                <w:color w:val="000000"/>
                <w:sz w:val="28"/>
                <w:szCs w:val="28"/>
                <w:vertAlign w:val="superscript"/>
                <w:lang w:val="en-GB" w:eastAsia="en-GB"/>
              </w:rPr>
              <w:t>2)</w:t>
            </w:r>
          </w:p>
        </w:tc>
        <w:tc>
          <w:tcPr>
            <w:tcW w:w="3518" w:type="dxa"/>
            <w:shd w:val="clear" w:color="auto" w:fill="7F7F7F"/>
            <w:vAlign w:val="bottom"/>
            <w:hideMark/>
          </w:tcPr>
          <w:p w:rsidR="00983332" w:rsidRPr="001677C7" w:rsidRDefault="00983332" w:rsidP="003F56F1">
            <w:pPr>
              <w:numPr>
                <w:ilvl w:val="0"/>
                <w:numId w:val="32"/>
              </w:num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USES</w:t>
            </w:r>
          </w:p>
        </w:tc>
      </w:tr>
      <w:tr w:rsidR="009C5B36" w:rsidRPr="001677C7" w:rsidTr="00F86CDF">
        <w:trPr>
          <w:trHeight w:val="300"/>
        </w:trPr>
        <w:tc>
          <w:tcPr>
            <w:tcW w:w="561" w:type="dxa"/>
            <w:shd w:val="clear" w:color="auto" w:fill="auto"/>
            <w:noWrap/>
            <w:vAlign w:val="center"/>
          </w:tcPr>
          <w:p w:rsidR="009C5B36" w:rsidRPr="001677C7" w:rsidRDefault="009C5B36" w:rsidP="007B779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1</w:t>
            </w:r>
          </w:p>
        </w:tc>
        <w:tc>
          <w:tcPr>
            <w:tcW w:w="2057" w:type="dxa"/>
          </w:tcPr>
          <w:p w:rsidR="009C5B36" w:rsidRPr="001677C7" w:rsidRDefault="009C5B36" w:rsidP="007B779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SANEDI</w:t>
            </w:r>
          </w:p>
        </w:tc>
        <w:tc>
          <w:tcPr>
            <w:tcW w:w="3809" w:type="dxa"/>
            <w:shd w:val="clear" w:color="auto" w:fill="auto"/>
            <w:vAlign w:val="center"/>
          </w:tcPr>
          <w:p w:rsidR="009C5B36" w:rsidRPr="001677C7" w:rsidRDefault="009C5B36" w:rsidP="007B779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None</w:t>
            </w:r>
          </w:p>
        </w:tc>
        <w:tc>
          <w:tcPr>
            <w:tcW w:w="2956" w:type="dxa"/>
            <w:shd w:val="clear" w:color="auto" w:fill="auto"/>
            <w:vAlign w:val="center"/>
          </w:tcPr>
          <w:p w:rsidR="009C5B36" w:rsidRPr="001677C7" w:rsidRDefault="009C5B36" w:rsidP="007B779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9C5B36" w:rsidRPr="001677C7" w:rsidRDefault="009C5B36" w:rsidP="007B7795">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3518" w:type="dxa"/>
            <w:shd w:val="clear" w:color="auto" w:fill="auto"/>
            <w:vAlign w:val="center"/>
          </w:tcPr>
          <w:p w:rsidR="009C5B36" w:rsidRPr="001677C7" w:rsidRDefault="009C5B36" w:rsidP="007B779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r>
      <w:tr w:rsidR="009C5B36" w:rsidRPr="001677C7" w:rsidTr="00F86CDF">
        <w:trPr>
          <w:trHeight w:val="300"/>
        </w:trPr>
        <w:tc>
          <w:tcPr>
            <w:tcW w:w="561" w:type="dxa"/>
            <w:shd w:val="clear" w:color="auto" w:fill="auto"/>
            <w:noWrap/>
            <w:vAlign w:val="center"/>
          </w:tcPr>
          <w:p w:rsidR="009C5B36" w:rsidRPr="001677C7" w:rsidRDefault="009C5B36" w:rsidP="009C5B36">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2</w:t>
            </w:r>
          </w:p>
        </w:tc>
        <w:tc>
          <w:tcPr>
            <w:tcW w:w="2057" w:type="dxa"/>
          </w:tcPr>
          <w:p w:rsidR="009C5B36" w:rsidRPr="001677C7" w:rsidRDefault="009C5B36" w:rsidP="009C5B36">
            <w:pPr>
              <w:spacing w:after="0" w:line="240" w:lineRule="auto"/>
              <w:rPr>
                <w:rFonts w:ascii="Arial Narrow" w:hAnsi="Arial Narrow" w:cs="Calibri"/>
                <w:bCs/>
                <w:sz w:val="28"/>
                <w:szCs w:val="28"/>
                <w:lang w:val="en-GB" w:eastAsia="en-GB"/>
              </w:rPr>
            </w:pPr>
            <w:r w:rsidRPr="001677C7">
              <w:rPr>
                <w:rFonts w:ascii="Arial Narrow" w:hAnsi="Arial Narrow" w:cs="Tunga"/>
                <w:sz w:val="28"/>
                <w:szCs w:val="28"/>
                <w:lang w:val="en-ZA"/>
              </w:rPr>
              <w:t xml:space="preserve">NRWDI </w:t>
            </w:r>
          </w:p>
        </w:tc>
        <w:tc>
          <w:tcPr>
            <w:tcW w:w="3809" w:type="dxa"/>
            <w:shd w:val="clear" w:color="auto" w:fill="auto"/>
            <w:vAlign w:val="center"/>
          </w:tcPr>
          <w:p w:rsidR="009C5B36" w:rsidRPr="001677C7" w:rsidRDefault="009C5B36" w:rsidP="009C5B36">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None</w:t>
            </w:r>
          </w:p>
        </w:tc>
        <w:tc>
          <w:tcPr>
            <w:tcW w:w="2956" w:type="dxa"/>
            <w:shd w:val="clear" w:color="auto" w:fill="auto"/>
            <w:vAlign w:val="center"/>
          </w:tcPr>
          <w:p w:rsidR="009C5B36" w:rsidRPr="001677C7" w:rsidRDefault="009C5B36" w:rsidP="009C5B36">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9C5B36" w:rsidRPr="001677C7" w:rsidRDefault="009C5B36" w:rsidP="009C5B36">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3518" w:type="dxa"/>
            <w:shd w:val="clear" w:color="auto" w:fill="auto"/>
            <w:vAlign w:val="center"/>
          </w:tcPr>
          <w:p w:rsidR="009C5B36" w:rsidRPr="001677C7" w:rsidRDefault="009C5B36" w:rsidP="009C5B36">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r>
      <w:tr w:rsidR="009E76A5" w:rsidRPr="001677C7" w:rsidTr="00F86CDF">
        <w:trPr>
          <w:trHeight w:val="300"/>
        </w:trPr>
        <w:tc>
          <w:tcPr>
            <w:tcW w:w="561" w:type="dxa"/>
            <w:shd w:val="clear" w:color="auto" w:fill="auto"/>
            <w:noWrap/>
            <w:vAlign w:val="center"/>
          </w:tcPr>
          <w:p w:rsidR="009E76A5" w:rsidRPr="001677C7" w:rsidRDefault="009E76A5" w:rsidP="009E76A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3</w:t>
            </w:r>
          </w:p>
        </w:tc>
        <w:tc>
          <w:tcPr>
            <w:tcW w:w="2057" w:type="dxa"/>
          </w:tcPr>
          <w:p w:rsidR="009E76A5" w:rsidRPr="001677C7" w:rsidRDefault="009E76A5" w:rsidP="009E76A5">
            <w:pPr>
              <w:spacing w:after="0" w:line="240" w:lineRule="auto"/>
              <w:rPr>
                <w:rFonts w:ascii="Arial Narrow" w:hAnsi="Arial Narrow" w:cs="Tunga"/>
                <w:sz w:val="28"/>
                <w:szCs w:val="28"/>
                <w:lang w:val="en-ZA"/>
              </w:rPr>
            </w:pPr>
            <w:r w:rsidRPr="001677C7">
              <w:rPr>
                <w:rFonts w:ascii="Arial Narrow" w:hAnsi="Arial Narrow" w:cs="Tunga"/>
                <w:sz w:val="28"/>
                <w:szCs w:val="28"/>
                <w:lang w:val="en-ZA"/>
              </w:rPr>
              <w:t>NERSA</w:t>
            </w:r>
          </w:p>
        </w:tc>
        <w:tc>
          <w:tcPr>
            <w:tcW w:w="3809" w:type="dxa"/>
            <w:shd w:val="clear" w:color="auto" w:fill="auto"/>
            <w:vAlign w:val="center"/>
          </w:tcPr>
          <w:p w:rsidR="009E76A5" w:rsidRPr="001677C7" w:rsidRDefault="00263BA8" w:rsidP="009E76A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Pretoria</w:t>
            </w:r>
          </w:p>
        </w:tc>
        <w:tc>
          <w:tcPr>
            <w:tcW w:w="2956" w:type="dxa"/>
            <w:shd w:val="clear" w:color="auto" w:fill="auto"/>
            <w:vAlign w:val="center"/>
          </w:tcPr>
          <w:p w:rsidR="009E76A5" w:rsidRPr="001677C7" w:rsidRDefault="00A31E43" w:rsidP="009E76A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9E76A5" w:rsidRPr="001677C7" w:rsidRDefault="009E76A5" w:rsidP="009E76A5">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2,552m²</w:t>
            </w:r>
          </w:p>
        </w:tc>
        <w:tc>
          <w:tcPr>
            <w:tcW w:w="3518" w:type="dxa"/>
            <w:shd w:val="clear" w:color="auto" w:fill="auto"/>
            <w:vAlign w:val="center"/>
          </w:tcPr>
          <w:p w:rsidR="009E76A5" w:rsidRPr="001677C7" w:rsidRDefault="009E76A5" w:rsidP="009E76A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NERSA’s office building (measuring 13,606m²)</w:t>
            </w:r>
          </w:p>
        </w:tc>
      </w:tr>
      <w:tr w:rsidR="009E76A5" w:rsidRPr="001677C7" w:rsidTr="00F86CDF">
        <w:trPr>
          <w:trHeight w:val="300"/>
        </w:trPr>
        <w:tc>
          <w:tcPr>
            <w:tcW w:w="561" w:type="dxa"/>
            <w:shd w:val="clear" w:color="auto" w:fill="auto"/>
            <w:noWrap/>
            <w:vAlign w:val="center"/>
          </w:tcPr>
          <w:p w:rsidR="009E76A5" w:rsidRPr="001677C7" w:rsidRDefault="009E76A5" w:rsidP="009E76A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4</w:t>
            </w:r>
          </w:p>
        </w:tc>
        <w:tc>
          <w:tcPr>
            <w:tcW w:w="2057" w:type="dxa"/>
          </w:tcPr>
          <w:p w:rsidR="009E76A5" w:rsidRPr="001677C7" w:rsidRDefault="009E76A5" w:rsidP="009E76A5">
            <w:pPr>
              <w:spacing w:after="0" w:line="240" w:lineRule="auto"/>
              <w:rPr>
                <w:rFonts w:ascii="Arial Narrow" w:hAnsi="Arial Narrow" w:cs="Tunga"/>
                <w:sz w:val="28"/>
                <w:szCs w:val="28"/>
                <w:lang w:val="en-ZA"/>
              </w:rPr>
            </w:pPr>
            <w:r w:rsidRPr="001677C7">
              <w:rPr>
                <w:rFonts w:ascii="Arial Narrow" w:hAnsi="Arial Narrow" w:cs="Tunga"/>
                <w:sz w:val="28"/>
                <w:szCs w:val="28"/>
                <w:lang w:val="en-ZA"/>
              </w:rPr>
              <w:t>NNR</w:t>
            </w:r>
          </w:p>
        </w:tc>
        <w:tc>
          <w:tcPr>
            <w:tcW w:w="3809" w:type="dxa"/>
            <w:shd w:val="clear" w:color="auto" w:fill="auto"/>
            <w:vAlign w:val="center"/>
          </w:tcPr>
          <w:p w:rsidR="009E76A5" w:rsidRPr="001677C7" w:rsidRDefault="00F86CDF" w:rsidP="00A31E43">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 xml:space="preserve">(b)(i) </w:t>
            </w:r>
            <w:r w:rsidR="00A31E43" w:rsidRPr="001677C7">
              <w:rPr>
                <w:rFonts w:ascii="Arial Narrow" w:hAnsi="Arial Narrow" w:cs="Calibri"/>
                <w:bCs/>
                <w:sz w:val="28"/>
                <w:szCs w:val="28"/>
                <w:lang w:val="en-GB" w:eastAsia="en-GB"/>
              </w:rPr>
              <w:t>Cape Town</w:t>
            </w:r>
          </w:p>
        </w:tc>
        <w:tc>
          <w:tcPr>
            <w:tcW w:w="2956" w:type="dxa"/>
            <w:shd w:val="clear" w:color="auto" w:fill="auto"/>
            <w:vAlign w:val="center"/>
          </w:tcPr>
          <w:p w:rsidR="009E76A5" w:rsidRPr="001677C7" w:rsidRDefault="00A31E43" w:rsidP="009E76A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A31E43" w:rsidRPr="001677C7" w:rsidRDefault="00A31E43" w:rsidP="00A31E43">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4525m2</w:t>
            </w:r>
          </w:p>
          <w:p w:rsidR="009E76A5" w:rsidRPr="001677C7" w:rsidRDefault="009E76A5" w:rsidP="009E76A5">
            <w:pPr>
              <w:spacing w:after="0" w:line="240" w:lineRule="auto"/>
              <w:jc w:val="center"/>
              <w:rPr>
                <w:rFonts w:ascii="Arial Narrow" w:hAnsi="Arial Narrow" w:cs="Calibri"/>
                <w:bCs/>
                <w:sz w:val="28"/>
                <w:szCs w:val="28"/>
                <w:lang w:val="en-GB" w:eastAsia="en-GB"/>
              </w:rPr>
            </w:pPr>
          </w:p>
        </w:tc>
        <w:tc>
          <w:tcPr>
            <w:tcW w:w="3518" w:type="dxa"/>
            <w:shd w:val="clear" w:color="auto" w:fill="auto"/>
            <w:vAlign w:val="center"/>
          </w:tcPr>
          <w:p w:rsidR="009E76A5" w:rsidRPr="001677C7" w:rsidRDefault="00A31E43" w:rsidP="009E76A5">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Office</w:t>
            </w:r>
          </w:p>
        </w:tc>
      </w:tr>
      <w:tr w:rsidR="00F30068" w:rsidRPr="001677C7" w:rsidTr="00F86CDF">
        <w:trPr>
          <w:trHeight w:val="300"/>
        </w:trPr>
        <w:tc>
          <w:tcPr>
            <w:tcW w:w="561" w:type="dxa"/>
            <w:vMerge w:val="restart"/>
            <w:shd w:val="clear" w:color="auto" w:fill="auto"/>
            <w:noWrap/>
            <w:vAlign w:val="center"/>
          </w:tcPr>
          <w:p w:rsidR="00F30068" w:rsidRPr="001677C7" w:rsidRDefault="009E76A5"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5</w:t>
            </w:r>
          </w:p>
        </w:tc>
        <w:tc>
          <w:tcPr>
            <w:tcW w:w="2057" w:type="dxa"/>
            <w:vMerge w:val="restart"/>
          </w:tcPr>
          <w:p w:rsidR="00F30068" w:rsidRPr="001677C7" w:rsidRDefault="00F30068" w:rsidP="00F30068">
            <w:pPr>
              <w:spacing w:after="0" w:line="240" w:lineRule="auto"/>
              <w:rPr>
                <w:rFonts w:ascii="Arial Narrow" w:hAnsi="Arial Narrow" w:cs="Tunga"/>
                <w:sz w:val="28"/>
                <w:szCs w:val="28"/>
                <w:lang w:val="en-ZA"/>
              </w:rPr>
            </w:pPr>
            <w:r w:rsidRPr="001677C7">
              <w:rPr>
                <w:rFonts w:ascii="Arial Narrow" w:hAnsi="Arial Narrow" w:cs="Tunga"/>
                <w:sz w:val="28"/>
                <w:szCs w:val="28"/>
                <w:lang w:val="en-ZA"/>
              </w:rPr>
              <w:t>CEF</w:t>
            </w:r>
          </w:p>
        </w:tc>
        <w:tc>
          <w:tcPr>
            <w:tcW w:w="3809" w:type="dxa"/>
            <w:shd w:val="clear" w:color="auto" w:fill="auto"/>
            <w:vAlign w:val="center"/>
          </w:tcPr>
          <w:p w:rsidR="00F30068" w:rsidRPr="001677C7" w:rsidRDefault="00EE2E96" w:rsidP="00EE2E96">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Johannesburg</w:t>
            </w:r>
          </w:p>
        </w:tc>
        <w:tc>
          <w:tcPr>
            <w:tcW w:w="2956" w:type="dxa"/>
            <w:shd w:val="clear" w:color="auto" w:fill="auto"/>
            <w:vAlign w:val="center"/>
          </w:tcPr>
          <w:p w:rsidR="00F30068" w:rsidRPr="001677C7" w:rsidRDefault="00A31E43"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F30068" w:rsidRPr="001677C7" w:rsidRDefault="00EE2E96" w:rsidP="00EE2E96">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3978</w:t>
            </w:r>
            <w:r w:rsidRPr="001677C7">
              <w:rPr>
                <w:rFonts w:ascii="Arial Narrow" w:hAnsi="Arial Narrow" w:cs="Calibri"/>
                <w:bCs/>
                <w:sz w:val="28"/>
                <w:szCs w:val="28"/>
                <w:lang w:val="en-GB" w:eastAsia="en-GB"/>
              </w:rPr>
              <w:t>m²</w:t>
            </w:r>
            <w:r>
              <w:rPr>
                <w:rFonts w:ascii="Arial Narrow" w:hAnsi="Arial Narrow" w:cs="Calibri"/>
                <w:bCs/>
                <w:sz w:val="28"/>
                <w:szCs w:val="28"/>
                <w:lang w:val="en-GB" w:eastAsia="en-GB"/>
              </w:rPr>
              <w:t xml:space="preserve"> </w:t>
            </w:r>
          </w:p>
        </w:tc>
        <w:tc>
          <w:tcPr>
            <w:tcW w:w="3518" w:type="dxa"/>
            <w:vMerge w:val="restart"/>
            <w:shd w:val="clear" w:color="auto" w:fill="auto"/>
            <w:vAlign w:val="center"/>
          </w:tcPr>
          <w:p w:rsidR="00F30068" w:rsidRPr="001677C7" w:rsidRDefault="00F30068"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 xml:space="preserve">The SFF Saldanha Tank Farm is used for the storing and distribution of crude oil. Saldanha Tank Farm is also responsible for the storage of Strategic Stock on behalf of the South African Government. The other tanks are rented out to </w:t>
            </w:r>
            <w:r w:rsidRPr="001677C7">
              <w:rPr>
                <w:rFonts w:ascii="Arial Narrow" w:hAnsi="Arial Narrow" w:cs="Calibri"/>
                <w:bCs/>
                <w:sz w:val="28"/>
                <w:szCs w:val="28"/>
                <w:lang w:val="en-GB" w:eastAsia="en-GB"/>
              </w:rPr>
              <w:lastRenderedPageBreak/>
              <w:t>Clients for the storing of crude oil and for trading. Saldanha also manages the crude on behalf of the Chevron Refinery, based in Milnerton, which is pumped to the Refinery via pipeline.</w:t>
            </w:r>
          </w:p>
        </w:tc>
      </w:tr>
      <w:tr w:rsidR="00F30068" w:rsidRPr="001677C7" w:rsidTr="00F86CDF">
        <w:trPr>
          <w:trHeight w:val="300"/>
        </w:trPr>
        <w:tc>
          <w:tcPr>
            <w:tcW w:w="561" w:type="dxa"/>
            <w:vMerge/>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Tunga"/>
                <w:sz w:val="28"/>
                <w:szCs w:val="28"/>
                <w:lang w:val="en-ZA"/>
              </w:rPr>
            </w:pPr>
          </w:p>
        </w:tc>
        <w:tc>
          <w:tcPr>
            <w:tcW w:w="3809" w:type="dxa"/>
            <w:shd w:val="clear" w:color="auto" w:fill="auto"/>
            <w:vAlign w:val="center"/>
          </w:tcPr>
          <w:p w:rsidR="00F30068" w:rsidRPr="001677C7" w:rsidRDefault="00EE2E96" w:rsidP="00F30068">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Saldanha Bay</w:t>
            </w:r>
          </w:p>
          <w:p w:rsidR="00F30068" w:rsidRPr="001677C7" w:rsidRDefault="00F30068" w:rsidP="00F30068">
            <w:pPr>
              <w:spacing w:after="0" w:line="240" w:lineRule="auto"/>
              <w:ind w:left="360"/>
              <w:jc w:val="both"/>
              <w:rPr>
                <w:rFonts w:ascii="Arial Narrow" w:hAnsi="Arial Narrow" w:cs="Calibri"/>
                <w:bCs/>
                <w:sz w:val="28"/>
                <w:szCs w:val="28"/>
                <w:lang w:val="en-GB" w:eastAsia="en-GB"/>
              </w:rPr>
            </w:pPr>
          </w:p>
        </w:tc>
        <w:tc>
          <w:tcPr>
            <w:tcW w:w="2956" w:type="dxa"/>
            <w:shd w:val="clear" w:color="auto" w:fill="auto"/>
            <w:vAlign w:val="center"/>
          </w:tcPr>
          <w:p w:rsidR="00F30068" w:rsidRPr="001677C7" w:rsidRDefault="00A31E43"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vMerge w:val="restart"/>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 xml:space="preserve">177,2263ha </w:t>
            </w:r>
          </w:p>
          <w:p w:rsidR="00F30068" w:rsidRPr="001677C7" w:rsidRDefault="00F30068" w:rsidP="00F30068">
            <w:pPr>
              <w:spacing w:after="0" w:line="240" w:lineRule="auto"/>
              <w:rPr>
                <w:rFonts w:ascii="Arial Narrow" w:hAnsi="Arial Narrow" w:cs="Calibri"/>
                <w:bCs/>
                <w:sz w:val="28"/>
                <w:szCs w:val="28"/>
                <w:lang w:val="en-GB" w:eastAsia="en-GB"/>
              </w:rPr>
            </w:pPr>
          </w:p>
          <w:p w:rsidR="00F30068" w:rsidRPr="001677C7" w:rsidRDefault="00F30068" w:rsidP="00F30068">
            <w:pPr>
              <w:spacing w:after="0" w:line="240" w:lineRule="auto"/>
              <w:jc w:val="center"/>
              <w:rPr>
                <w:rFonts w:ascii="Arial Narrow" w:hAnsi="Arial Narrow" w:cs="Calibri"/>
                <w:bCs/>
                <w:sz w:val="28"/>
                <w:szCs w:val="28"/>
                <w:lang w:val="en-GB" w:eastAsia="en-GB"/>
              </w:rPr>
            </w:pPr>
          </w:p>
          <w:p w:rsidR="00F30068" w:rsidRPr="001677C7" w:rsidRDefault="00F30068" w:rsidP="00F30068">
            <w:pPr>
              <w:spacing w:after="0" w:line="240" w:lineRule="auto"/>
              <w:jc w:val="center"/>
              <w:rPr>
                <w:rFonts w:ascii="Arial Narrow" w:hAnsi="Arial Narrow" w:cs="Calibri"/>
                <w:bCs/>
                <w:sz w:val="28"/>
                <w:szCs w:val="28"/>
                <w:lang w:val="en-GB" w:eastAsia="en-GB"/>
              </w:rPr>
            </w:pPr>
          </w:p>
        </w:tc>
        <w:tc>
          <w:tcPr>
            <w:tcW w:w="3518" w:type="dxa"/>
            <w:vMerge/>
            <w:shd w:val="clear" w:color="auto" w:fill="auto"/>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r>
      <w:tr w:rsidR="00F30068" w:rsidRPr="001677C7" w:rsidTr="00F86CDF">
        <w:trPr>
          <w:trHeight w:val="300"/>
        </w:trPr>
        <w:tc>
          <w:tcPr>
            <w:tcW w:w="561" w:type="dxa"/>
            <w:vMerge/>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Tunga"/>
                <w:sz w:val="28"/>
                <w:szCs w:val="28"/>
                <w:lang w:val="en-ZA"/>
              </w:rPr>
            </w:pPr>
          </w:p>
        </w:tc>
        <w:tc>
          <w:tcPr>
            <w:tcW w:w="3809" w:type="dxa"/>
            <w:shd w:val="clear" w:color="auto" w:fill="auto"/>
            <w:vAlign w:val="center"/>
          </w:tcPr>
          <w:p w:rsidR="00F30068" w:rsidRPr="001677C7" w:rsidRDefault="00F30068"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Sa</w:t>
            </w:r>
            <w:r w:rsidR="00EE2E96">
              <w:rPr>
                <w:rFonts w:ascii="Arial Narrow" w:hAnsi="Arial Narrow" w:cs="Calibri"/>
                <w:bCs/>
                <w:sz w:val="28"/>
                <w:szCs w:val="28"/>
                <w:lang w:val="en-GB" w:eastAsia="en-GB"/>
              </w:rPr>
              <w:t>ldanha Bay</w:t>
            </w:r>
          </w:p>
          <w:p w:rsidR="00F30068" w:rsidRPr="001677C7" w:rsidRDefault="00F30068" w:rsidP="00F30068">
            <w:pPr>
              <w:spacing w:after="0" w:line="240" w:lineRule="auto"/>
              <w:rPr>
                <w:rFonts w:ascii="Arial Narrow" w:hAnsi="Arial Narrow" w:cs="Calibri"/>
                <w:bCs/>
                <w:sz w:val="28"/>
                <w:szCs w:val="28"/>
                <w:lang w:val="en-GB" w:eastAsia="en-GB"/>
              </w:rPr>
            </w:pPr>
          </w:p>
          <w:p w:rsidR="00F30068" w:rsidRPr="001677C7" w:rsidRDefault="00F30068" w:rsidP="00F30068">
            <w:pPr>
              <w:spacing w:after="0" w:line="240" w:lineRule="auto"/>
              <w:rPr>
                <w:rFonts w:ascii="Arial Narrow" w:hAnsi="Arial Narrow" w:cs="Calibri"/>
                <w:bCs/>
                <w:sz w:val="28"/>
                <w:szCs w:val="28"/>
                <w:lang w:val="en-GB" w:eastAsia="en-GB"/>
              </w:rPr>
            </w:pPr>
          </w:p>
          <w:p w:rsidR="00F30068" w:rsidRPr="001677C7" w:rsidRDefault="00F30068" w:rsidP="00F30068">
            <w:pPr>
              <w:spacing w:after="0" w:line="240" w:lineRule="auto"/>
              <w:rPr>
                <w:rFonts w:ascii="Arial Narrow" w:hAnsi="Arial Narrow" w:cs="Calibri"/>
                <w:bCs/>
                <w:sz w:val="28"/>
                <w:szCs w:val="28"/>
                <w:lang w:val="en-GB" w:eastAsia="en-GB"/>
              </w:rPr>
            </w:pPr>
          </w:p>
        </w:tc>
        <w:tc>
          <w:tcPr>
            <w:tcW w:w="2956" w:type="dxa"/>
            <w:shd w:val="clear" w:color="auto" w:fill="auto"/>
            <w:vAlign w:val="center"/>
          </w:tcPr>
          <w:p w:rsidR="00F30068" w:rsidRPr="001677C7" w:rsidRDefault="00A31E43"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vMerge/>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c>
          <w:tcPr>
            <w:tcW w:w="3518" w:type="dxa"/>
            <w:vMerge/>
            <w:shd w:val="clear" w:color="auto" w:fill="auto"/>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r>
      <w:tr w:rsidR="00F30068" w:rsidRPr="001677C7" w:rsidTr="00F86CDF">
        <w:trPr>
          <w:trHeight w:val="300"/>
        </w:trPr>
        <w:tc>
          <w:tcPr>
            <w:tcW w:w="561" w:type="dxa"/>
            <w:vMerge/>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Tunga"/>
                <w:sz w:val="28"/>
                <w:szCs w:val="28"/>
                <w:lang w:val="en-ZA"/>
              </w:rPr>
            </w:pPr>
          </w:p>
        </w:tc>
        <w:tc>
          <w:tcPr>
            <w:tcW w:w="3809" w:type="dxa"/>
            <w:shd w:val="clear" w:color="auto" w:fill="auto"/>
            <w:vAlign w:val="center"/>
          </w:tcPr>
          <w:p w:rsidR="00EE2E96" w:rsidRPr="001677C7" w:rsidRDefault="00EE2E96" w:rsidP="00EE2E96">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Sa</w:t>
            </w:r>
            <w:r>
              <w:rPr>
                <w:rFonts w:ascii="Arial Narrow" w:hAnsi="Arial Narrow" w:cs="Calibri"/>
                <w:bCs/>
                <w:sz w:val="28"/>
                <w:szCs w:val="28"/>
                <w:lang w:val="en-GB" w:eastAsia="en-GB"/>
              </w:rPr>
              <w:t>ldanha Bay</w:t>
            </w:r>
          </w:p>
          <w:p w:rsidR="00F30068" w:rsidRPr="001677C7" w:rsidRDefault="00F30068" w:rsidP="00EE2E96">
            <w:pPr>
              <w:spacing w:after="0" w:line="240" w:lineRule="auto"/>
              <w:rPr>
                <w:rFonts w:ascii="Arial Narrow" w:hAnsi="Arial Narrow" w:cs="Calibri"/>
                <w:bCs/>
                <w:sz w:val="28"/>
                <w:szCs w:val="28"/>
                <w:lang w:val="en-GB" w:eastAsia="en-GB"/>
              </w:rPr>
            </w:pPr>
          </w:p>
        </w:tc>
        <w:tc>
          <w:tcPr>
            <w:tcW w:w="2956" w:type="dxa"/>
            <w:shd w:val="clear" w:color="auto" w:fill="auto"/>
            <w:vAlign w:val="center"/>
          </w:tcPr>
          <w:p w:rsidR="00F30068" w:rsidRPr="001677C7" w:rsidRDefault="00A31E43"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lastRenderedPageBreak/>
              <w:t>N/A</w:t>
            </w:r>
          </w:p>
        </w:tc>
        <w:tc>
          <w:tcPr>
            <w:tcW w:w="2409" w:type="dxa"/>
            <w:vMerge/>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c>
          <w:tcPr>
            <w:tcW w:w="3518" w:type="dxa"/>
            <w:vMerge/>
            <w:shd w:val="clear" w:color="auto" w:fill="auto"/>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r>
      <w:tr w:rsidR="00F30068" w:rsidRPr="001677C7" w:rsidTr="00F86CDF">
        <w:trPr>
          <w:trHeight w:val="300"/>
        </w:trPr>
        <w:tc>
          <w:tcPr>
            <w:tcW w:w="561" w:type="dxa"/>
            <w:vMerge/>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Tunga"/>
                <w:sz w:val="28"/>
                <w:szCs w:val="28"/>
                <w:lang w:val="en-ZA"/>
              </w:rPr>
            </w:pPr>
          </w:p>
        </w:tc>
        <w:tc>
          <w:tcPr>
            <w:tcW w:w="3809" w:type="dxa"/>
            <w:shd w:val="clear" w:color="auto" w:fill="auto"/>
            <w:vAlign w:val="center"/>
          </w:tcPr>
          <w:p w:rsidR="00EE2E96" w:rsidRPr="001677C7" w:rsidRDefault="00EE2E96" w:rsidP="00EE2E96">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Sa</w:t>
            </w:r>
            <w:r>
              <w:rPr>
                <w:rFonts w:ascii="Arial Narrow" w:hAnsi="Arial Narrow" w:cs="Calibri"/>
                <w:bCs/>
                <w:sz w:val="28"/>
                <w:szCs w:val="28"/>
                <w:lang w:val="en-GB" w:eastAsia="en-GB"/>
              </w:rPr>
              <w:t>ldanha Bay</w:t>
            </w:r>
          </w:p>
          <w:p w:rsidR="00F30068" w:rsidRPr="001677C7" w:rsidRDefault="00F30068" w:rsidP="00F30068">
            <w:pPr>
              <w:spacing w:after="0" w:line="240" w:lineRule="auto"/>
              <w:rPr>
                <w:rFonts w:ascii="Arial Narrow" w:hAnsi="Arial Narrow" w:cs="Calibri"/>
                <w:bCs/>
                <w:sz w:val="28"/>
                <w:szCs w:val="28"/>
                <w:lang w:val="en-GB" w:eastAsia="en-GB"/>
              </w:rPr>
            </w:pPr>
          </w:p>
        </w:tc>
        <w:tc>
          <w:tcPr>
            <w:tcW w:w="2956" w:type="dxa"/>
            <w:shd w:val="clear" w:color="auto" w:fill="auto"/>
            <w:vAlign w:val="center"/>
          </w:tcPr>
          <w:p w:rsidR="00F30068" w:rsidRPr="001677C7" w:rsidRDefault="00A31E43"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vMerge/>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c>
          <w:tcPr>
            <w:tcW w:w="3518" w:type="dxa"/>
            <w:vMerge/>
            <w:shd w:val="clear" w:color="auto" w:fill="auto"/>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r>
      <w:tr w:rsidR="00F30068" w:rsidRPr="001677C7" w:rsidTr="00F86CDF">
        <w:trPr>
          <w:trHeight w:val="300"/>
        </w:trPr>
        <w:tc>
          <w:tcPr>
            <w:tcW w:w="561" w:type="dxa"/>
            <w:vMerge/>
            <w:shd w:val="clear" w:color="auto" w:fill="auto"/>
            <w:noWrap/>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Tunga"/>
                <w:sz w:val="28"/>
                <w:szCs w:val="28"/>
                <w:lang w:val="en-ZA"/>
              </w:rPr>
            </w:pPr>
          </w:p>
        </w:tc>
        <w:tc>
          <w:tcPr>
            <w:tcW w:w="3809" w:type="dxa"/>
            <w:shd w:val="clear" w:color="auto" w:fill="auto"/>
            <w:vAlign w:val="center"/>
          </w:tcPr>
          <w:p w:rsidR="00EE2E96" w:rsidRPr="001677C7" w:rsidRDefault="00EE2E96" w:rsidP="00EE2E96">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Sa</w:t>
            </w:r>
            <w:r>
              <w:rPr>
                <w:rFonts w:ascii="Arial Narrow" w:hAnsi="Arial Narrow" w:cs="Calibri"/>
                <w:bCs/>
                <w:sz w:val="28"/>
                <w:szCs w:val="28"/>
                <w:lang w:val="en-GB" w:eastAsia="en-GB"/>
              </w:rPr>
              <w:t>ldanha Bay</w:t>
            </w:r>
          </w:p>
          <w:p w:rsidR="00F30068" w:rsidRPr="001677C7" w:rsidRDefault="00F30068" w:rsidP="00F30068">
            <w:pPr>
              <w:spacing w:after="0" w:line="240" w:lineRule="auto"/>
              <w:rPr>
                <w:rFonts w:ascii="Arial Narrow" w:hAnsi="Arial Narrow" w:cs="Calibri"/>
                <w:bCs/>
                <w:sz w:val="28"/>
                <w:szCs w:val="28"/>
                <w:lang w:val="en-GB" w:eastAsia="en-GB"/>
              </w:rPr>
            </w:pPr>
          </w:p>
          <w:p w:rsidR="00F30068" w:rsidRPr="001677C7" w:rsidRDefault="00F30068" w:rsidP="00F30068">
            <w:pPr>
              <w:spacing w:after="0" w:line="240" w:lineRule="auto"/>
              <w:rPr>
                <w:rFonts w:ascii="Arial Narrow" w:hAnsi="Arial Narrow" w:cs="Calibri"/>
                <w:bCs/>
                <w:sz w:val="28"/>
                <w:szCs w:val="28"/>
                <w:lang w:val="en-GB" w:eastAsia="en-GB"/>
              </w:rPr>
            </w:pPr>
          </w:p>
        </w:tc>
        <w:tc>
          <w:tcPr>
            <w:tcW w:w="2956" w:type="dxa"/>
            <w:shd w:val="clear" w:color="auto" w:fill="auto"/>
            <w:vAlign w:val="center"/>
          </w:tcPr>
          <w:p w:rsidR="00F30068" w:rsidRPr="001677C7" w:rsidRDefault="00A31E43"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F30068" w:rsidRPr="001677C7" w:rsidRDefault="00F30068" w:rsidP="00EE2E96">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76,3008ha</w:t>
            </w:r>
          </w:p>
        </w:tc>
        <w:tc>
          <w:tcPr>
            <w:tcW w:w="3518" w:type="dxa"/>
            <w:vMerge/>
            <w:shd w:val="clear" w:color="auto" w:fill="auto"/>
            <w:vAlign w:val="center"/>
          </w:tcPr>
          <w:p w:rsidR="00F30068" w:rsidRPr="001677C7" w:rsidRDefault="00F30068" w:rsidP="00F30068">
            <w:pPr>
              <w:spacing w:after="0" w:line="240" w:lineRule="auto"/>
              <w:rPr>
                <w:rFonts w:ascii="Arial Narrow" w:hAnsi="Arial Narrow" w:cs="Calibri"/>
                <w:bCs/>
                <w:sz w:val="28"/>
                <w:szCs w:val="28"/>
                <w:lang w:val="en-GB" w:eastAsia="en-GB"/>
              </w:rPr>
            </w:pPr>
          </w:p>
        </w:tc>
      </w:tr>
      <w:tr w:rsidR="00F30068" w:rsidRPr="001677C7" w:rsidTr="00F86CDF">
        <w:trPr>
          <w:trHeight w:val="300"/>
        </w:trPr>
        <w:tc>
          <w:tcPr>
            <w:tcW w:w="561" w:type="dxa"/>
            <w:vMerge w:val="restart"/>
            <w:shd w:val="clear" w:color="auto" w:fill="auto"/>
            <w:noWrap/>
            <w:vAlign w:val="center"/>
          </w:tcPr>
          <w:p w:rsidR="00F30068" w:rsidRPr="001677C7" w:rsidRDefault="000B00FB" w:rsidP="00F30068">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6</w:t>
            </w:r>
          </w:p>
        </w:tc>
        <w:tc>
          <w:tcPr>
            <w:tcW w:w="2057" w:type="dxa"/>
            <w:vMerge w:val="restart"/>
          </w:tcPr>
          <w:p w:rsidR="00F30068" w:rsidRPr="001677C7" w:rsidRDefault="00F30068" w:rsidP="00F30068">
            <w:pPr>
              <w:spacing w:after="0" w:line="240" w:lineRule="auto"/>
              <w:rPr>
                <w:rFonts w:ascii="Arial Narrow" w:hAnsi="Arial Narrow" w:cs="Calibri"/>
                <w:bCs/>
                <w:sz w:val="28"/>
                <w:szCs w:val="28"/>
                <w:lang w:val="en-GB" w:eastAsia="en-GB"/>
              </w:rPr>
            </w:pPr>
          </w:p>
          <w:p w:rsidR="00F30068" w:rsidRPr="001677C7" w:rsidRDefault="002D06BC"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NECSA</w:t>
            </w:r>
          </w:p>
        </w:tc>
        <w:tc>
          <w:tcPr>
            <w:tcW w:w="3809" w:type="dxa"/>
            <w:shd w:val="clear" w:color="auto" w:fill="auto"/>
            <w:vAlign w:val="center"/>
            <w:hideMark/>
          </w:tcPr>
          <w:p w:rsidR="00F30068" w:rsidRPr="001677C7" w:rsidRDefault="00EE2E96" w:rsidP="00F30068">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Pretoria</w:t>
            </w:r>
          </w:p>
        </w:tc>
        <w:tc>
          <w:tcPr>
            <w:tcW w:w="2956" w:type="dxa"/>
            <w:shd w:val="clear" w:color="auto" w:fill="auto"/>
            <w:vAlign w:val="center"/>
            <w:hideMark/>
          </w:tcPr>
          <w:p w:rsidR="00F30068" w:rsidRPr="001677C7" w:rsidRDefault="00F30068"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Pretoria</w:t>
            </w:r>
          </w:p>
        </w:tc>
        <w:tc>
          <w:tcPr>
            <w:tcW w:w="2409" w:type="dxa"/>
            <w:shd w:val="clear" w:color="auto" w:fill="auto"/>
            <w:noWrap/>
            <w:vAlign w:val="center"/>
            <w:hideMark/>
          </w:tcPr>
          <w:p w:rsidR="00F30068" w:rsidRPr="001677C7" w:rsidRDefault="00F30068" w:rsidP="00EE2E96">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2 362 Hectors</w:t>
            </w:r>
          </w:p>
        </w:tc>
        <w:tc>
          <w:tcPr>
            <w:tcW w:w="3518" w:type="dxa"/>
            <w:shd w:val="clear" w:color="auto" w:fill="auto"/>
            <w:vAlign w:val="center"/>
            <w:hideMark/>
          </w:tcPr>
          <w:p w:rsidR="00F30068" w:rsidRPr="001677C7" w:rsidRDefault="00F30068"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 xml:space="preserve">Multiple Buildings </w:t>
            </w:r>
          </w:p>
          <w:p w:rsidR="00F30068" w:rsidRPr="001677C7" w:rsidRDefault="00F30068" w:rsidP="00F30068">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 xml:space="preserve">(Necsa Facilities, Offices, And Staff Residential) </w:t>
            </w:r>
          </w:p>
        </w:tc>
      </w:tr>
      <w:tr w:rsidR="00F30068" w:rsidRPr="001677C7" w:rsidTr="00F86CDF">
        <w:trPr>
          <w:trHeight w:val="300"/>
        </w:trPr>
        <w:tc>
          <w:tcPr>
            <w:tcW w:w="561" w:type="dxa"/>
            <w:vMerge/>
            <w:shd w:val="clear" w:color="auto" w:fill="auto"/>
            <w:noWrap/>
            <w:vAlign w:val="bottom"/>
          </w:tcPr>
          <w:p w:rsidR="00F30068" w:rsidRPr="001677C7" w:rsidRDefault="00F30068" w:rsidP="00F30068">
            <w:pPr>
              <w:spacing w:after="0" w:line="240" w:lineRule="auto"/>
              <w:jc w:val="center"/>
              <w:rPr>
                <w:rFonts w:ascii="Arial Narrow" w:hAnsi="Arial Narrow" w:cs="Calibri"/>
                <w:color w:val="000000"/>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Calibri"/>
                <w:color w:val="000000"/>
                <w:sz w:val="28"/>
                <w:szCs w:val="28"/>
                <w:lang w:val="en-GB" w:eastAsia="en-GB"/>
              </w:rPr>
            </w:pPr>
          </w:p>
        </w:tc>
        <w:tc>
          <w:tcPr>
            <w:tcW w:w="3809" w:type="dxa"/>
            <w:shd w:val="clear" w:color="auto" w:fill="auto"/>
            <w:vAlign w:val="bottom"/>
            <w:hideMark/>
          </w:tcPr>
          <w:p w:rsidR="00F30068" w:rsidRPr="001677C7" w:rsidRDefault="00F86CDF" w:rsidP="00F30068">
            <w:pPr>
              <w:spacing w:after="0" w:line="240" w:lineRule="auto"/>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Four (4) Properties in</w:t>
            </w:r>
            <w:r w:rsidR="00F30068" w:rsidRPr="001677C7">
              <w:rPr>
                <w:rFonts w:ascii="Arial Narrow" w:hAnsi="Arial Narrow" w:cs="Calibri"/>
                <w:color w:val="000000"/>
                <w:sz w:val="28"/>
                <w:szCs w:val="28"/>
                <w:lang w:val="en-GB" w:eastAsia="en-GB"/>
              </w:rPr>
              <w:t xml:space="preserve"> Albertinia</w:t>
            </w:r>
          </w:p>
        </w:tc>
        <w:tc>
          <w:tcPr>
            <w:tcW w:w="2956" w:type="dxa"/>
            <w:shd w:val="clear" w:color="auto" w:fill="auto"/>
            <w:vAlign w:val="bottom"/>
            <w:hideMark/>
          </w:tcPr>
          <w:p w:rsidR="00F30068" w:rsidRPr="001677C7" w:rsidRDefault="00F30068" w:rsidP="00F30068">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Albertinia</w:t>
            </w:r>
          </w:p>
        </w:tc>
        <w:tc>
          <w:tcPr>
            <w:tcW w:w="2409" w:type="dxa"/>
            <w:shd w:val="clear" w:color="auto" w:fill="auto"/>
            <w:noWrap/>
            <w:vAlign w:val="bottom"/>
            <w:hideMark/>
          </w:tcPr>
          <w:p w:rsidR="00F30068" w:rsidRPr="001677C7" w:rsidRDefault="00F86CDF" w:rsidP="00EE2E96">
            <w:pPr>
              <w:spacing w:after="0" w:line="240" w:lineRule="auto"/>
              <w:jc w:val="center"/>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3 767 Hectares</w:t>
            </w:r>
          </w:p>
        </w:tc>
        <w:tc>
          <w:tcPr>
            <w:tcW w:w="3518" w:type="dxa"/>
            <w:shd w:val="clear" w:color="auto" w:fill="auto"/>
            <w:vAlign w:val="bottom"/>
            <w:hideMark/>
          </w:tcPr>
          <w:p w:rsidR="00F30068" w:rsidRPr="001677C7" w:rsidRDefault="00F30068" w:rsidP="00F30068">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Vacant Stand</w:t>
            </w:r>
          </w:p>
        </w:tc>
      </w:tr>
      <w:tr w:rsidR="00F30068" w:rsidRPr="001677C7" w:rsidTr="00F86CDF">
        <w:trPr>
          <w:trHeight w:val="300"/>
        </w:trPr>
        <w:tc>
          <w:tcPr>
            <w:tcW w:w="561" w:type="dxa"/>
            <w:vMerge/>
            <w:shd w:val="clear" w:color="auto" w:fill="auto"/>
            <w:noWrap/>
            <w:vAlign w:val="bottom"/>
          </w:tcPr>
          <w:p w:rsidR="00F30068" w:rsidRPr="001677C7" w:rsidRDefault="00F30068" w:rsidP="00F30068">
            <w:pPr>
              <w:spacing w:after="0" w:line="240" w:lineRule="auto"/>
              <w:jc w:val="center"/>
              <w:rPr>
                <w:rFonts w:ascii="Arial Narrow" w:hAnsi="Arial Narrow" w:cs="Calibri"/>
                <w:color w:val="000000"/>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Calibri"/>
                <w:color w:val="000000"/>
                <w:sz w:val="28"/>
                <w:szCs w:val="28"/>
                <w:lang w:val="en-GB" w:eastAsia="en-GB"/>
              </w:rPr>
            </w:pPr>
          </w:p>
        </w:tc>
        <w:tc>
          <w:tcPr>
            <w:tcW w:w="3809" w:type="dxa"/>
            <w:shd w:val="clear" w:color="auto" w:fill="auto"/>
            <w:vAlign w:val="bottom"/>
            <w:hideMark/>
          </w:tcPr>
          <w:p w:rsidR="00F30068" w:rsidRPr="001677C7" w:rsidRDefault="00F86CDF" w:rsidP="00F30068">
            <w:pPr>
              <w:spacing w:after="0" w:line="240" w:lineRule="auto"/>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 xml:space="preserve">Two (2) Properties in </w:t>
            </w:r>
            <w:r w:rsidR="00F30068" w:rsidRPr="001677C7">
              <w:rPr>
                <w:rFonts w:ascii="Arial Narrow" w:hAnsi="Arial Narrow" w:cs="Calibri"/>
                <w:color w:val="000000"/>
                <w:sz w:val="28"/>
                <w:szCs w:val="28"/>
                <w:lang w:val="en-GB" w:eastAsia="en-GB"/>
              </w:rPr>
              <w:t>Riversdale</w:t>
            </w:r>
          </w:p>
        </w:tc>
        <w:tc>
          <w:tcPr>
            <w:tcW w:w="2956" w:type="dxa"/>
            <w:shd w:val="clear" w:color="auto" w:fill="auto"/>
            <w:vAlign w:val="bottom"/>
            <w:hideMark/>
          </w:tcPr>
          <w:p w:rsidR="00F30068" w:rsidRPr="001677C7" w:rsidRDefault="00F30068" w:rsidP="00F30068">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Rivesrdale</w:t>
            </w:r>
          </w:p>
        </w:tc>
        <w:tc>
          <w:tcPr>
            <w:tcW w:w="2409" w:type="dxa"/>
            <w:shd w:val="clear" w:color="auto" w:fill="auto"/>
            <w:noWrap/>
            <w:vAlign w:val="bottom"/>
            <w:hideMark/>
          </w:tcPr>
          <w:p w:rsidR="00F30068" w:rsidRPr="001677C7" w:rsidRDefault="00F86CDF" w:rsidP="00EE2E96">
            <w:pPr>
              <w:spacing w:after="0" w:line="240" w:lineRule="auto"/>
              <w:jc w:val="center"/>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2 001</w:t>
            </w:r>
            <w:r w:rsidR="00F30068" w:rsidRPr="001677C7">
              <w:rPr>
                <w:rFonts w:ascii="Arial Narrow" w:hAnsi="Arial Narrow" w:cs="Calibri"/>
                <w:color w:val="000000"/>
                <w:sz w:val="28"/>
                <w:szCs w:val="28"/>
                <w:lang w:val="en-GB" w:eastAsia="en-GB"/>
              </w:rPr>
              <w:t xml:space="preserve"> M</w:t>
            </w:r>
            <w:r w:rsidR="00F30068" w:rsidRPr="001677C7">
              <w:rPr>
                <w:rFonts w:ascii="Arial Narrow" w:hAnsi="Arial Narrow" w:cs="Calibri"/>
                <w:color w:val="000000"/>
                <w:sz w:val="28"/>
                <w:szCs w:val="28"/>
                <w:vertAlign w:val="superscript"/>
                <w:lang w:val="en-GB" w:eastAsia="en-GB"/>
              </w:rPr>
              <w:t>2</w:t>
            </w:r>
          </w:p>
        </w:tc>
        <w:tc>
          <w:tcPr>
            <w:tcW w:w="3518" w:type="dxa"/>
            <w:shd w:val="clear" w:color="auto" w:fill="auto"/>
            <w:vAlign w:val="bottom"/>
            <w:hideMark/>
          </w:tcPr>
          <w:p w:rsidR="00F30068" w:rsidRPr="001677C7" w:rsidRDefault="00F30068" w:rsidP="00F30068">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Vacant Stand</w:t>
            </w:r>
          </w:p>
        </w:tc>
      </w:tr>
      <w:tr w:rsidR="00F30068" w:rsidRPr="001677C7" w:rsidTr="00F86CDF">
        <w:trPr>
          <w:trHeight w:val="300"/>
        </w:trPr>
        <w:tc>
          <w:tcPr>
            <w:tcW w:w="561" w:type="dxa"/>
            <w:vMerge/>
            <w:shd w:val="clear" w:color="auto" w:fill="auto"/>
            <w:noWrap/>
            <w:vAlign w:val="bottom"/>
          </w:tcPr>
          <w:p w:rsidR="00F30068" w:rsidRPr="001677C7" w:rsidRDefault="00F30068" w:rsidP="00F30068">
            <w:pPr>
              <w:spacing w:after="0" w:line="240" w:lineRule="auto"/>
              <w:jc w:val="center"/>
              <w:rPr>
                <w:rFonts w:ascii="Arial Narrow" w:hAnsi="Arial Narrow" w:cs="Calibri"/>
                <w:color w:val="000000"/>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Calibri"/>
                <w:color w:val="000000"/>
                <w:sz w:val="28"/>
                <w:szCs w:val="28"/>
                <w:lang w:val="en-GB" w:eastAsia="en-GB"/>
              </w:rPr>
            </w:pPr>
          </w:p>
        </w:tc>
        <w:tc>
          <w:tcPr>
            <w:tcW w:w="3809" w:type="dxa"/>
            <w:shd w:val="clear" w:color="auto" w:fill="auto"/>
            <w:vAlign w:val="bottom"/>
            <w:hideMark/>
          </w:tcPr>
          <w:p w:rsidR="00F30068" w:rsidRPr="001677C7" w:rsidRDefault="00F86CDF" w:rsidP="002D06BC">
            <w:pPr>
              <w:spacing w:after="0" w:line="240" w:lineRule="auto"/>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 xml:space="preserve">Eleven (11) Properties in </w:t>
            </w:r>
            <w:r w:rsidR="00F30068" w:rsidRPr="001677C7">
              <w:rPr>
                <w:rFonts w:ascii="Arial Narrow" w:hAnsi="Arial Narrow" w:cs="Calibri"/>
                <w:color w:val="000000"/>
                <w:sz w:val="28"/>
                <w:szCs w:val="28"/>
                <w:lang w:val="en-GB" w:eastAsia="en-GB"/>
              </w:rPr>
              <w:t>Springbok</w:t>
            </w:r>
            <w:r w:rsidR="002D06BC">
              <w:rPr>
                <w:rFonts w:ascii="Arial Narrow" w:hAnsi="Arial Narrow" w:cs="Calibri"/>
                <w:color w:val="000000"/>
                <w:sz w:val="28"/>
                <w:szCs w:val="28"/>
                <w:lang w:val="en-GB" w:eastAsia="en-GB"/>
              </w:rPr>
              <w:t xml:space="preserve"> </w:t>
            </w:r>
          </w:p>
        </w:tc>
        <w:tc>
          <w:tcPr>
            <w:tcW w:w="2956" w:type="dxa"/>
            <w:shd w:val="clear" w:color="auto" w:fill="auto"/>
            <w:vAlign w:val="bottom"/>
            <w:hideMark/>
          </w:tcPr>
          <w:p w:rsidR="00F30068" w:rsidRPr="001677C7" w:rsidRDefault="00F30068" w:rsidP="00F30068">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Springbok</w:t>
            </w:r>
          </w:p>
        </w:tc>
        <w:tc>
          <w:tcPr>
            <w:tcW w:w="2409" w:type="dxa"/>
            <w:shd w:val="clear" w:color="auto" w:fill="auto"/>
            <w:noWrap/>
            <w:vAlign w:val="bottom"/>
            <w:hideMark/>
          </w:tcPr>
          <w:p w:rsidR="00F30068" w:rsidRPr="001677C7" w:rsidRDefault="002D06BC" w:rsidP="00EE2E96">
            <w:pPr>
              <w:spacing w:after="0" w:line="240" w:lineRule="auto"/>
              <w:jc w:val="center"/>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6253</w:t>
            </w:r>
            <w:r w:rsidR="00F30068" w:rsidRPr="001677C7">
              <w:rPr>
                <w:rFonts w:ascii="Arial Narrow" w:hAnsi="Arial Narrow" w:cs="Calibri"/>
                <w:color w:val="000000"/>
                <w:sz w:val="28"/>
                <w:szCs w:val="28"/>
                <w:lang w:val="en-GB" w:eastAsia="en-GB"/>
              </w:rPr>
              <w:t>m2</w:t>
            </w:r>
          </w:p>
        </w:tc>
        <w:tc>
          <w:tcPr>
            <w:tcW w:w="3518" w:type="dxa"/>
            <w:shd w:val="clear" w:color="auto" w:fill="auto"/>
            <w:hideMark/>
          </w:tcPr>
          <w:p w:rsidR="00F30068" w:rsidRPr="001677C7" w:rsidRDefault="002D06BC" w:rsidP="00F30068">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 xml:space="preserve">10 </w:t>
            </w:r>
            <w:r w:rsidR="00F30068" w:rsidRPr="001677C7">
              <w:rPr>
                <w:rFonts w:ascii="Arial Narrow" w:hAnsi="Arial Narrow" w:cs="Calibri"/>
                <w:bCs/>
                <w:sz w:val="28"/>
                <w:szCs w:val="28"/>
                <w:lang w:val="en-GB" w:eastAsia="en-GB"/>
              </w:rPr>
              <w:t xml:space="preserve">Staff Residential </w:t>
            </w:r>
            <w:r>
              <w:rPr>
                <w:rFonts w:ascii="Arial Narrow" w:hAnsi="Arial Narrow" w:cs="Calibri"/>
                <w:bCs/>
                <w:sz w:val="28"/>
                <w:szCs w:val="28"/>
                <w:lang w:val="en-GB" w:eastAsia="en-GB"/>
              </w:rPr>
              <w:t>and 1 Vacant</w:t>
            </w:r>
          </w:p>
        </w:tc>
      </w:tr>
      <w:tr w:rsidR="00F30068" w:rsidRPr="001677C7" w:rsidTr="00F86CDF">
        <w:trPr>
          <w:trHeight w:val="725"/>
        </w:trPr>
        <w:tc>
          <w:tcPr>
            <w:tcW w:w="561" w:type="dxa"/>
            <w:vMerge/>
            <w:shd w:val="clear" w:color="auto" w:fill="auto"/>
            <w:noWrap/>
            <w:vAlign w:val="bottom"/>
            <w:hideMark/>
          </w:tcPr>
          <w:p w:rsidR="00F30068" w:rsidRPr="001677C7" w:rsidRDefault="00F30068" w:rsidP="00F30068">
            <w:pPr>
              <w:spacing w:after="0" w:line="240" w:lineRule="auto"/>
              <w:jc w:val="center"/>
              <w:rPr>
                <w:rFonts w:ascii="Arial Narrow" w:hAnsi="Arial Narrow" w:cs="Calibri"/>
                <w:color w:val="000000"/>
                <w:sz w:val="28"/>
                <w:szCs w:val="28"/>
                <w:lang w:val="en-GB" w:eastAsia="en-GB"/>
              </w:rPr>
            </w:pPr>
          </w:p>
        </w:tc>
        <w:tc>
          <w:tcPr>
            <w:tcW w:w="2057" w:type="dxa"/>
            <w:vMerge/>
          </w:tcPr>
          <w:p w:rsidR="00F30068" w:rsidRPr="001677C7" w:rsidRDefault="00F30068" w:rsidP="00F30068">
            <w:pPr>
              <w:spacing w:after="0" w:line="240" w:lineRule="auto"/>
              <w:rPr>
                <w:rFonts w:ascii="Arial Narrow" w:hAnsi="Arial Narrow" w:cs="Calibri"/>
                <w:color w:val="000000"/>
                <w:sz w:val="28"/>
                <w:szCs w:val="28"/>
                <w:lang w:val="en-GB" w:eastAsia="en-GB"/>
              </w:rPr>
            </w:pPr>
          </w:p>
        </w:tc>
        <w:tc>
          <w:tcPr>
            <w:tcW w:w="3809" w:type="dxa"/>
            <w:shd w:val="clear" w:color="auto" w:fill="auto"/>
            <w:vAlign w:val="bottom"/>
            <w:hideMark/>
          </w:tcPr>
          <w:p w:rsidR="00F30068" w:rsidRPr="001677C7" w:rsidRDefault="00F30068" w:rsidP="00F30068">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Namakwaland</w:t>
            </w:r>
          </w:p>
        </w:tc>
        <w:tc>
          <w:tcPr>
            <w:tcW w:w="2956" w:type="dxa"/>
            <w:shd w:val="clear" w:color="auto" w:fill="auto"/>
            <w:vAlign w:val="bottom"/>
            <w:hideMark/>
          </w:tcPr>
          <w:p w:rsidR="00F30068" w:rsidRPr="001677C7" w:rsidRDefault="00F30068" w:rsidP="00F30068">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Namakwaland</w:t>
            </w:r>
          </w:p>
        </w:tc>
        <w:tc>
          <w:tcPr>
            <w:tcW w:w="2409" w:type="dxa"/>
            <w:shd w:val="clear" w:color="auto" w:fill="auto"/>
            <w:noWrap/>
            <w:vAlign w:val="bottom"/>
            <w:hideMark/>
          </w:tcPr>
          <w:p w:rsidR="00F30068" w:rsidRPr="001677C7" w:rsidRDefault="00F30068" w:rsidP="00EE2E96">
            <w:pPr>
              <w:spacing w:after="0" w:line="240" w:lineRule="auto"/>
              <w:jc w:val="center"/>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10 869 Hectors</w:t>
            </w:r>
          </w:p>
        </w:tc>
        <w:tc>
          <w:tcPr>
            <w:tcW w:w="3518" w:type="dxa"/>
            <w:shd w:val="clear" w:color="auto" w:fill="auto"/>
            <w:vAlign w:val="bottom"/>
            <w:hideMark/>
          </w:tcPr>
          <w:p w:rsidR="00F30068" w:rsidRPr="001677C7" w:rsidRDefault="00F30068" w:rsidP="00F30068">
            <w:pPr>
              <w:spacing w:after="0" w:line="240" w:lineRule="auto"/>
              <w:rPr>
                <w:rFonts w:ascii="Arial Narrow" w:hAnsi="Arial Narrow" w:cs="Calibri"/>
                <w:color w:val="000000"/>
                <w:sz w:val="28"/>
                <w:szCs w:val="28"/>
                <w:lang w:val="en-GB" w:eastAsia="en-GB"/>
              </w:rPr>
            </w:pPr>
            <w:r w:rsidRPr="001677C7">
              <w:rPr>
                <w:rFonts w:ascii="Arial Narrow" w:hAnsi="Arial Narrow" w:cs="Calibri"/>
                <w:bCs/>
                <w:sz w:val="28"/>
                <w:szCs w:val="28"/>
                <w:lang w:val="en-GB" w:eastAsia="en-GB"/>
              </w:rPr>
              <w:t>Multiple Buildings</w:t>
            </w:r>
            <w:r w:rsidRPr="001677C7">
              <w:rPr>
                <w:rFonts w:ascii="Arial Narrow" w:hAnsi="Arial Narrow" w:cs="Calibri"/>
                <w:color w:val="000000"/>
                <w:sz w:val="28"/>
                <w:szCs w:val="28"/>
                <w:lang w:val="en-GB" w:eastAsia="en-GB"/>
              </w:rPr>
              <w:t xml:space="preserve"> (Necsa Facilities, Offices, And Staff Residential)</w:t>
            </w:r>
          </w:p>
        </w:tc>
      </w:tr>
    </w:tbl>
    <w:p w:rsidR="00807DC0" w:rsidRPr="001677C7" w:rsidRDefault="00807DC0" w:rsidP="00185192">
      <w:pPr>
        <w:spacing w:after="0" w:line="240" w:lineRule="auto"/>
        <w:jc w:val="both"/>
        <w:rPr>
          <w:rFonts w:ascii="Arial Narrow" w:hAnsi="Arial Narrow" w:cs="Tunga"/>
          <w:b/>
          <w:sz w:val="28"/>
          <w:szCs w:val="28"/>
          <w:lang w:val="en-ZA"/>
        </w:rPr>
      </w:pPr>
    </w:p>
    <w:sectPr w:rsidR="00807DC0" w:rsidRPr="001677C7" w:rsidSect="003F56F1">
      <w:footerReference w:type="default" r:id="rId9"/>
      <w:pgSz w:w="15840" w:h="12240" w:orient="landscape"/>
      <w:pgMar w:top="1440" w:right="1077" w:bottom="1185"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57" w:rsidRDefault="00532857" w:rsidP="00E149A9">
      <w:pPr>
        <w:spacing w:after="0" w:line="240" w:lineRule="auto"/>
      </w:pPr>
      <w:r>
        <w:separator/>
      </w:r>
    </w:p>
  </w:endnote>
  <w:endnote w:type="continuationSeparator" w:id="0">
    <w:p w:rsidR="00532857" w:rsidRDefault="00532857"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57" w:rsidRDefault="00532857" w:rsidP="00E149A9">
      <w:pPr>
        <w:spacing w:after="0" w:line="240" w:lineRule="auto"/>
      </w:pPr>
      <w:r>
        <w:separator/>
      </w:r>
    </w:p>
  </w:footnote>
  <w:footnote w:type="continuationSeparator" w:id="0">
    <w:p w:rsidR="00532857" w:rsidRDefault="00532857"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5A62D0"/>
    <w:multiLevelType w:val="hybridMultilevel"/>
    <w:tmpl w:val="F16A1E9A"/>
    <w:lvl w:ilvl="0" w:tplc="1C52B9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D97612C"/>
    <w:multiLevelType w:val="hybridMultilevel"/>
    <w:tmpl w:val="18C46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781EC8"/>
    <w:multiLevelType w:val="hybridMultilevel"/>
    <w:tmpl w:val="544E8FAC"/>
    <w:lvl w:ilvl="0" w:tplc="F42E40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A4D0FB9"/>
    <w:multiLevelType w:val="hybridMultilevel"/>
    <w:tmpl w:val="EE9A285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3"/>
  </w:num>
  <w:num w:numId="5">
    <w:abstractNumId w:val="28"/>
  </w:num>
  <w:num w:numId="6">
    <w:abstractNumId w:val="31"/>
  </w:num>
  <w:num w:numId="7">
    <w:abstractNumId w:val="25"/>
  </w:num>
  <w:num w:numId="8">
    <w:abstractNumId w:val="1"/>
  </w:num>
  <w:num w:numId="9">
    <w:abstractNumId w:val="16"/>
  </w:num>
  <w:num w:numId="10">
    <w:abstractNumId w:val="11"/>
  </w:num>
  <w:num w:numId="11">
    <w:abstractNumId w:val="14"/>
  </w:num>
  <w:num w:numId="12">
    <w:abstractNumId w:val="23"/>
  </w:num>
  <w:num w:numId="13">
    <w:abstractNumId w:val="12"/>
  </w:num>
  <w:num w:numId="14">
    <w:abstractNumId w:val="5"/>
  </w:num>
  <w:num w:numId="15">
    <w:abstractNumId w:val="32"/>
  </w:num>
  <w:num w:numId="16">
    <w:abstractNumId w:val="22"/>
  </w:num>
  <w:num w:numId="17">
    <w:abstractNumId w:val="13"/>
  </w:num>
  <w:num w:numId="18">
    <w:abstractNumId w:val="20"/>
  </w:num>
  <w:num w:numId="19">
    <w:abstractNumId w:val="29"/>
  </w:num>
  <w:num w:numId="20">
    <w:abstractNumId w:val="30"/>
  </w:num>
  <w:num w:numId="21">
    <w:abstractNumId w:val="4"/>
  </w:num>
  <w:num w:numId="22">
    <w:abstractNumId w:val="2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9"/>
  </w:num>
  <w:num w:numId="30">
    <w:abstractNumId w:val="6"/>
  </w:num>
  <w:num w:numId="31">
    <w:abstractNumId w:val="18"/>
  </w:num>
  <w:num w:numId="32">
    <w:abstractNumId w:val="19"/>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00FB"/>
    <w:rsid w:val="000B2A4E"/>
    <w:rsid w:val="000C4885"/>
    <w:rsid w:val="000C6359"/>
    <w:rsid w:val="000C6B01"/>
    <w:rsid w:val="000D518D"/>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56444"/>
    <w:rsid w:val="001627AA"/>
    <w:rsid w:val="001677C7"/>
    <w:rsid w:val="001704E3"/>
    <w:rsid w:val="00184563"/>
    <w:rsid w:val="00185192"/>
    <w:rsid w:val="0019327C"/>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4724D"/>
    <w:rsid w:val="00251B64"/>
    <w:rsid w:val="00253E29"/>
    <w:rsid w:val="002574AB"/>
    <w:rsid w:val="00260A1D"/>
    <w:rsid w:val="00261077"/>
    <w:rsid w:val="00262A82"/>
    <w:rsid w:val="00263BA8"/>
    <w:rsid w:val="00270AB2"/>
    <w:rsid w:val="00272568"/>
    <w:rsid w:val="0027579F"/>
    <w:rsid w:val="00276D65"/>
    <w:rsid w:val="00286F8A"/>
    <w:rsid w:val="00290A9D"/>
    <w:rsid w:val="00290F4A"/>
    <w:rsid w:val="002928CF"/>
    <w:rsid w:val="00295442"/>
    <w:rsid w:val="002956D0"/>
    <w:rsid w:val="00295F57"/>
    <w:rsid w:val="002A33EF"/>
    <w:rsid w:val="002A65CC"/>
    <w:rsid w:val="002A72AA"/>
    <w:rsid w:val="002B0151"/>
    <w:rsid w:val="002B0848"/>
    <w:rsid w:val="002B20D6"/>
    <w:rsid w:val="002B4021"/>
    <w:rsid w:val="002B4A83"/>
    <w:rsid w:val="002B69DF"/>
    <w:rsid w:val="002C55A5"/>
    <w:rsid w:val="002D06BC"/>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500BB"/>
    <w:rsid w:val="0035050E"/>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2F3"/>
    <w:rsid w:val="003C57BC"/>
    <w:rsid w:val="003D0704"/>
    <w:rsid w:val="003D73DB"/>
    <w:rsid w:val="003E246D"/>
    <w:rsid w:val="003E409E"/>
    <w:rsid w:val="003E6087"/>
    <w:rsid w:val="003E68D7"/>
    <w:rsid w:val="003F31C1"/>
    <w:rsid w:val="003F3492"/>
    <w:rsid w:val="003F5639"/>
    <w:rsid w:val="003F56F1"/>
    <w:rsid w:val="004012D7"/>
    <w:rsid w:val="0040562D"/>
    <w:rsid w:val="00411BF8"/>
    <w:rsid w:val="004227E5"/>
    <w:rsid w:val="00425E5B"/>
    <w:rsid w:val="00426E46"/>
    <w:rsid w:val="00442040"/>
    <w:rsid w:val="00442AED"/>
    <w:rsid w:val="00443058"/>
    <w:rsid w:val="00443A9F"/>
    <w:rsid w:val="004471C2"/>
    <w:rsid w:val="0044740A"/>
    <w:rsid w:val="00480996"/>
    <w:rsid w:val="004900DC"/>
    <w:rsid w:val="00491631"/>
    <w:rsid w:val="00492128"/>
    <w:rsid w:val="00495CE0"/>
    <w:rsid w:val="004A00D3"/>
    <w:rsid w:val="004A0EAE"/>
    <w:rsid w:val="004A36CD"/>
    <w:rsid w:val="004B0993"/>
    <w:rsid w:val="004B17FE"/>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2857"/>
    <w:rsid w:val="00533E97"/>
    <w:rsid w:val="005346BD"/>
    <w:rsid w:val="005348F8"/>
    <w:rsid w:val="0055062F"/>
    <w:rsid w:val="00555D0E"/>
    <w:rsid w:val="00564994"/>
    <w:rsid w:val="00565C98"/>
    <w:rsid w:val="00575796"/>
    <w:rsid w:val="0057794C"/>
    <w:rsid w:val="005815EF"/>
    <w:rsid w:val="00591434"/>
    <w:rsid w:val="005967CA"/>
    <w:rsid w:val="005B646A"/>
    <w:rsid w:val="005B7E7B"/>
    <w:rsid w:val="005C16E5"/>
    <w:rsid w:val="005C4C2F"/>
    <w:rsid w:val="005D019C"/>
    <w:rsid w:val="005D1166"/>
    <w:rsid w:val="005D17DB"/>
    <w:rsid w:val="005D5295"/>
    <w:rsid w:val="005E0545"/>
    <w:rsid w:val="005E3DE1"/>
    <w:rsid w:val="005E3F67"/>
    <w:rsid w:val="005E567C"/>
    <w:rsid w:val="005F3188"/>
    <w:rsid w:val="005F384D"/>
    <w:rsid w:val="005F48A6"/>
    <w:rsid w:val="006018B8"/>
    <w:rsid w:val="006025BC"/>
    <w:rsid w:val="00604937"/>
    <w:rsid w:val="006105DA"/>
    <w:rsid w:val="00620CCA"/>
    <w:rsid w:val="00630041"/>
    <w:rsid w:val="00630410"/>
    <w:rsid w:val="00632FDF"/>
    <w:rsid w:val="00637026"/>
    <w:rsid w:val="006405E0"/>
    <w:rsid w:val="00643C7F"/>
    <w:rsid w:val="00651A3F"/>
    <w:rsid w:val="006545D2"/>
    <w:rsid w:val="00655D84"/>
    <w:rsid w:val="00663588"/>
    <w:rsid w:val="00664624"/>
    <w:rsid w:val="00670C72"/>
    <w:rsid w:val="0067380D"/>
    <w:rsid w:val="00681969"/>
    <w:rsid w:val="00684F7E"/>
    <w:rsid w:val="00684F8A"/>
    <w:rsid w:val="00686AF9"/>
    <w:rsid w:val="00692020"/>
    <w:rsid w:val="00692CBE"/>
    <w:rsid w:val="006A1D6E"/>
    <w:rsid w:val="006A2D81"/>
    <w:rsid w:val="006A6B56"/>
    <w:rsid w:val="006A7797"/>
    <w:rsid w:val="006A7880"/>
    <w:rsid w:val="006B05E2"/>
    <w:rsid w:val="006B1CD3"/>
    <w:rsid w:val="006B5082"/>
    <w:rsid w:val="006C1629"/>
    <w:rsid w:val="006C6B03"/>
    <w:rsid w:val="006D14FA"/>
    <w:rsid w:val="006D1A64"/>
    <w:rsid w:val="006D7806"/>
    <w:rsid w:val="006E6F2F"/>
    <w:rsid w:val="006F2271"/>
    <w:rsid w:val="006F38FF"/>
    <w:rsid w:val="006F47CE"/>
    <w:rsid w:val="006F5D88"/>
    <w:rsid w:val="006F62B7"/>
    <w:rsid w:val="00703B2E"/>
    <w:rsid w:val="0071131D"/>
    <w:rsid w:val="00713A2F"/>
    <w:rsid w:val="00714DFA"/>
    <w:rsid w:val="007227E8"/>
    <w:rsid w:val="00723991"/>
    <w:rsid w:val="007308D1"/>
    <w:rsid w:val="00736863"/>
    <w:rsid w:val="00741388"/>
    <w:rsid w:val="00744E4E"/>
    <w:rsid w:val="00746119"/>
    <w:rsid w:val="00751757"/>
    <w:rsid w:val="0075252F"/>
    <w:rsid w:val="007602A5"/>
    <w:rsid w:val="00762D11"/>
    <w:rsid w:val="00767CBC"/>
    <w:rsid w:val="0077598E"/>
    <w:rsid w:val="00775DC4"/>
    <w:rsid w:val="007778A6"/>
    <w:rsid w:val="00780158"/>
    <w:rsid w:val="00781314"/>
    <w:rsid w:val="0078525E"/>
    <w:rsid w:val="00792FDA"/>
    <w:rsid w:val="00793474"/>
    <w:rsid w:val="007A3217"/>
    <w:rsid w:val="007A740E"/>
    <w:rsid w:val="007B0910"/>
    <w:rsid w:val="007B7795"/>
    <w:rsid w:val="007C1CF7"/>
    <w:rsid w:val="007E0308"/>
    <w:rsid w:val="007E247D"/>
    <w:rsid w:val="007E3707"/>
    <w:rsid w:val="007E3FE1"/>
    <w:rsid w:val="007F2CF4"/>
    <w:rsid w:val="007F7D74"/>
    <w:rsid w:val="00800166"/>
    <w:rsid w:val="00804DD7"/>
    <w:rsid w:val="00804E12"/>
    <w:rsid w:val="00807DC0"/>
    <w:rsid w:val="008119D0"/>
    <w:rsid w:val="008124A5"/>
    <w:rsid w:val="00815265"/>
    <w:rsid w:val="00822659"/>
    <w:rsid w:val="0082652C"/>
    <w:rsid w:val="0082782B"/>
    <w:rsid w:val="00831A14"/>
    <w:rsid w:val="008453AB"/>
    <w:rsid w:val="00847999"/>
    <w:rsid w:val="00847F2F"/>
    <w:rsid w:val="008614FE"/>
    <w:rsid w:val="00870CA8"/>
    <w:rsid w:val="00870D16"/>
    <w:rsid w:val="00877EB3"/>
    <w:rsid w:val="00885331"/>
    <w:rsid w:val="008952C8"/>
    <w:rsid w:val="008A05DE"/>
    <w:rsid w:val="008A7A4A"/>
    <w:rsid w:val="008B2406"/>
    <w:rsid w:val="008B5C19"/>
    <w:rsid w:val="008C6D8B"/>
    <w:rsid w:val="008C736B"/>
    <w:rsid w:val="008C7A37"/>
    <w:rsid w:val="008D2999"/>
    <w:rsid w:val="008D620D"/>
    <w:rsid w:val="008E1507"/>
    <w:rsid w:val="008E7D17"/>
    <w:rsid w:val="008F2678"/>
    <w:rsid w:val="00905752"/>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332"/>
    <w:rsid w:val="00983535"/>
    <w:rsid w:val="009838E5"/>
    <w:rsid w:val="009926B5"/>
    <w:rsid w:val="0099288F"/>
    <w:rsid w:val="00992AA4"/>
    <w:rsid w:val="00993310"/>
    <w:rsid w:val="00997F13"/>
    <w:rsid w:val="009A307C"/>
    <w:rsid w:val="009A7257"/>
    <w:rsid w:val="009A7629"/>
    <w:rsid w:val="009B43A9"/>
    <w:rsid w:val="009C088C"/>
    <w:rsid w:val="009C4FF5"/>
    <w:rsid w:val="009C5B36"/>
    <w:rsid w:val="009C6C12"/>
    <w:rsid w:val="009D147D"/>
    <w:rsid w:val="009D387C"/>
    <w:rsid w:val="009D44CB"/>
    <w:rsid w:val="009D46A2"/>
    <w:rsid w:val="009D6BF7"/>
    <w:rsid w:val="009D7338"/>
    <w:rsid w:val="009E3BAB"/>
    <w:rsid w:val="009E76A5"/>
    <w:rsid w:val="009E7D7E"/>
    <w:rsid w:val="009F1541"/>
    <w:rsid w:val="009F24FF"/>
    <w:rsid w:val="009F3328"/>
    <w:rsid w:val="009F45CA"/>
    <w:rsid w:val="00A11DF3"/>
    <w:rsid w:val="00A11EE9"/>
    <w:rsid w:val="00A15220"/>
    <w:rsid w:val="00A16878"/>
    <w:rsid w:val="00A16B45"/>
    <w:rsid w:val="00A20164"/>
    <w:rsid w:val="00A23DF0"/>
    <w:rsid w:val="00A2623F"/>
    <w:rsid w:val="00A26EB5"/>
    <w:rsid w:val="00A278B6"/>
    <w:rsid w:val="00A30A0F"/>
    <w:rsid w:val="00A31E43"/>
    <w:rsid w:val="00A43AE1"/>
    <w:rsid w:val="00A43EC8"/>
    <w:rsid w:val="00A51EAE"/>
    <w:rsid w:val="00A73D19"/>
    <w:rsid w:val="00A73D2B"/>
    <w:rsid w:val="00A756F5"/>
    <w:rsid w:val="00A905BE"/>
    <w:rsid w:val="00A9170C"/>
    <w:rsid w:val="00A92CBC"/>
    <w:rsid w:val="00A9490A"/>
    <w:rsid w:val="00A9738B"/>
    <w:rsid w:val="00AA0D36"/>
    <w:rsid w:val="00AA18F5"/>
    <w:rsid w:val="00AA4508"/>
    <w:rsid w:val="00AA5031"/>
    <w:rsid w:val="00AA6631"/>
    <w:rsid w:val="00AB3AE7"/>
    <w:rsid w:val="00AB6592"/>
    <w:rsid w:val="00AC3E1E"/>
    <w:rsid w:val="00AC4053"/>
    <w:rsid w:val="00AC58AE"/>
    <w:rsid w:val="00AE1436"/>
    <w:rsid w:val="00AE1698"/>
    <w:rsid w:val="00AE4535"/>
    <w:rsid w:val="00AE646F"/>
    <w:rsid w:val="00AE7E18"/>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663"/>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5B3C"/>
    <w:rsid w:val="00BC6483"/>
    <w:rsid w:val="00BD19CB"/>
    <w:rsid w:val="00BD7E42"/>
    <w:rsid w:val="00BE2E4D"/>
    <w:rsid w:val="00BE6AE4"/>
    <w:rsid w:val="00BF01FA"/>
    <w:rsid w:val="00BF0ACD"/>
    <w:rsid w:val="00BF29AE"/>
    <w:rsid w:val="00C028F2"/>
    <w:rsid w:val="00C0389E"/>
    <w:rsid w:val="00C11295"/>
    <w:rsid w:val="00C123DE"/>
    <w:rsid w:val="00C1256C"/>
    <w:rsid w:val="00C134B7"/>
    <w:rsid w:val="00C23BEE"/>
    <w:rsid w:val="00C26E48"/>
    <w:rsid w:val="00C31510"/>
    <w:rsid w:val="00C36032"/>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C433B"/>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59D6"/>
    <w:rsid w:val="00D56F30"/>
    <w:rsid w:val="00D67B3E"/>
    <w:rsid w:val="00D72CD7"/>
    <w:rsid w:val="00D755A0"/>
    <w:rsid w:val="00D8247D"/>
    <w:rsid w:val="00D82AB0"/>
    <w:rsid w:val="00D83368"/>
    <w:rsid w:val="00D83B10"/>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4508E"/>
    <w:rsid w:val="00E506A3"/>
    <w:rsid w:val="00E55A04"/>
    <w:rsid w:val="00E618DC"/>
    <w:rsid w:val="00E63AF7"/>
    <w:rsid w:val="00E66CC7"/>
    <w:rsid w:val="00E679BC"/>
    <w:rsid w:val="00E70845"/>
    <w:rsid w:val="00E87C4F"/>
    <w:rsid w:val="00E92C4C"/>
    <w:rsid w:val="00EA2097"/>
    <w:rsid w:val="00EA40D4"/>
    <w:rsid w:val="00EA52B1"/>
    <w:rsid w:val="00EB2A2E"/>
    <w:rsid w:val="00EC3F52"/>
    <w:rsid w:val="00EC4E80"/>
    <w:rsid w:val="00ED0457"/>
    <w:rsid w:val="00ED0CE4"/>
    <w:rsid w:val="00ED4735"/>
    <w:rsid w:val="00EE2E96"/>
    <w:rsid w:val="00EF09D6"/>
    <w:rsid w:val="00EF5FED"/>
    <w:rsid w:val="00EF6549"/>
    <w:rsid w:val="00F06953"/>
    <w:rsid w:val="00F1279F"/>
    <w:rsid w:val="00F154FA"/>
    <w:rsid w:val="00F17402"/>
    <w:rsid w:val="00F2186B"/>
    <w:rsid w:val="00F30068"/>
    <w:rsid w:val="00F3176C"/>
    <w:rsid w:val="00F328FE"/>
    <w:rsid w:val="00F5600F"/>
    <w:rsid w:val="00F70A5A"/>
    <w:rsid w:val="00F70AAB"/>
    <w:rsid w:val="00F72728"/>
    <w:rsid w:val="00F76D3C"/>
    <w:rsid w:val="00F82770"/>
    <w:rsid w:val="00F844CA"/>
    <w:rsid w:val="00F86325"/>
    <w:rsid w:val="00F86CDF"/>
    <w:rsid w:val="00F93AC8"/>
    <w:rsid w:val="00FA783D"/>
    <w:rsid w:val="00FB2ED0"/>
    <w:rsid w:val="00FB3F45"/>
    <w:rsid w:val="00FB4DA2"/>
    <w:rsid w:val="00FB7EB8"/>
    <w:rsid w:val="00FC7B17"/>
    <w:rsid w:val="00FD7C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paragraph" w:customStyle="1" w:styleId="Default">
    <w:name w:val="Default"/>
    <w:rsid w:val="002118E3"/>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link w:val="CommentText"/>
    <w:uiPriority w:val="99"/>
    <w:semiHidden/>
    <w:rsid w:val="00D8336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link w:val="CommentSubject"/>
    <w:uiPriority w:val="99"/>
    <w:semiHidden/>
    <w:rsid w:val="00D83368"/>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2642457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F0FB-9203-4F2E-9653-8BCA7C67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2018-04-03T10:01:00Z</cp:lastPrinted>
  <dcterms:created xsi:type="dcterms:W3CDTF">2018-04-12T10:46:00Z</dcterms:created>
  <dcterms:modified xsi:type="dcterms:W3CDTF">2018-04-12T10:46:00Z</dcterms:modified>
</cp:coreProperties>
</file>