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CD" w:rsidRPr="004F42CD" w:rsidRDefault="004F42CD" w:rsidP="004F42CD">
      <w:pPr>
        <w:rPr>
          <w:rFonts w:ascii="Arial" w:hAnsi="Arial" w:cs="Arial"/>
          <w:lang w:eastAsia="en-ZA"/>
        </w:rPr>
      </w:pPr>
      <w:r w:rsidRPr="004F42CD">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4F42CD" w:rsidRPr="004F42CD" w:rsidRDefault="004F42CD" w:rsidP="004F42CD">
      <w:pPr>
        <w:autoSpaceDE w:val="0"/>
        <w:autoSpaceDN w:val="0"/>
        <w:adjustRightInd w:val="0"/>
        <w:rPr>
          <w:rFonts w:ascii="Arial" w:hAnsi="Arial" w:cs="Arial"/>
        </w:rPr>
      </w:pPr>
    </w:p>
    <w:p w:rsidR="004F42CD" w:rsidRPr="004F42CD" w:rsidRDefault="004F42CD" w:rsidP="004F42CD">
      <w:pPr>
        <w:rPr>
          <w:rFonts w:ascii="Arial" w:hAnsi="Arial" w:cs="Arial"/>
          <w:b/>
          <w:bCs/>
          <w:color w:val="4F6228"/>
          <w:lang w:eastAsia="en-ZA"/>
        </w:rPr>
      </w:pPr>
    </w:p>
    <w:p w:rsidR="004F42CD" w:rsidRPr="004F42CD" w:rsidRDefault="004F42CD" w:rsidP="004F42CD">
      <w:pPr>
        <w:rPr>
          <w:rFonts w:ascii="Arial" w:hAnsi="Arial" w:cs="Arial"/>
          <w:b/>
          <w:bCs/>
          <w:color w:val="4F6228"/>
          <w:lang w:eastAsia="en-ZA"/>
        </w:rPr>
      </w:pPr>
    </w:p>
    <w:p w:rsidR="004F42CD" w:rsidRPr="004F42CD" w:rsidRDefault="004F42CD" w:rsidP="004F42CD">
      <w:pPr>
        <w:jc w:val="center"/>
        <w:rPr>
          <w:rFonts w:ascii="Arial" w:hAnsi="Arial" w:cs="Arial"/>
          <w:b/>
          <w:bCs/>
          <w:color w:val="4F6228"/>
          <w:lang w:eastAsia="en-ZA"/>
        </w:rPr>
      </w:pPr>
    </w:p>
    <w:p w:rsidR="004F42CD" w:rsidRPr="004F42CD" w:rsidRDefault="004F42CD" w:rsidP="004F42CD">
      <w:pPr>
        <w:jc w:val="center"/>
        <w:rPr>
          <w:rFonts w:ascii="Arial" w:hAnsi="Arial" w:cs="Arial"/>
          <w:b/>
          <w:bCs/>
          <w:color w:val="4F6228"/>
          <w:lang w:eastAsia="en-ZA"/>
        </w:rPr>
      </w:pPr>
    </w:p>
    <w:p w:rsidR="004F42CD" w:rsidRPr="004F42CD" w:rsidRDefault="004F42CD" w:rsidP="004F42CD">
      <w:pPr>
        <w:jc w:val="center"/>
        <w:rPr>
          <w:rFonts w:ascii="Arial" w:hAnsi="Arial" w:cs="Arial"/>
          <w:b/>
          <w:bCs/>
          <w:color w:val="4F6228"/>
          <w:lang w:eastAsia="en-ZA"/>
        </w:rPr>
      </w:pPr>
    </w:p>
    <w:p w:rsidR="004F42CD" w:rsidRPr="004F42CD" w:rsidRDefault="004F42CD" w:rsidP="004F42CD">
      <w:pPr>
        <w:jc w:val="center"/>
        <w:rPr>
          <w:rFonts w:ascii="Arial" w:hAnsi="Arial" w:cs="Arial"/>
          <w:b/>
          <w:bCs/>
          <w:color w:val="4F6228"/>
          <w:lang w:eastAsia="en-ZA"/>
        </w:rPr>
      </w:pPr>
    </w:p>
    <w:p w:rsidR="004F42CD" w:rsidRPr="004F42CD" w:rsidRDefault="004F42CD" w:rsidP="004F42CD">
      <w:pPr>
        <w:jc w:val="center"/>
        <w:rPr>
          <w:rFonts w:ascii="Arial" w:hAnsi="Arial" w:cs="Arial"/>
          <w:b/>
          <w:bCs/>
          <w:color w:val="4F6228"/>
          <w:lang w:eastAsia="en-ZA"/>
        </w:rPr>
      </w:pPr>
      <w:r w:rsidRPr="004F42CD">
        <w:rPr>
          <w:rFonts w:ascii="Arial" w:hAnsi="Arial" w:cs="Arial"/>
          <w:b/>
          <w:bCs/>
          <w:color w:val="4F6228"/>
          <w:lang w:eastAsia="en-ZA"/>
        </w:rPr>
        <w:t>MINISTRY</w:t>
      </w:r>
    </w:p>
    <w:p w:rsidR="004F42CD" w:rsidRPr="004F42CD" w:rsidRDefault="004F42CD" w:rsidP="004F42CD">
      <w:pPr>
        <w:jc w:val="center"/>
        <w:rPr>
          <w:rFonts w:ascii="Arial" w:hAnsi="Arial" w:cs="Arial"/>
          <w:b/>
          <w:bCs/>
          <w:color w:val="4F6228"/>
          <w:lang w:eastAsia="en-ZA"/>
        </w:rPr>
      </w:pPr>
      <w:r w:rsidRPr="004F42CD">
        <w:rPr>
          <w:rFonts w:ascii="Arial" w:hAnsi="Arial" w:cs="Arial"/>
          <w:b/>
          <w:bCs/>
          <w:color w:val="4F6228"/>
          <w:lang w:eastAsia="en-ZA"/>
        </w:rPr>
        <w:t>HUMAN SETTLEMENTS</w:t>
      </w:r>
    </w:p>
    <w:p w:rsidR="004F42CD" w:rsidRPr="004F42CD" w:rsidRDefault="004F42CD" w:rsidP="004F42CD">
      <w:pPr>
        <w:tabs>
          <w:tab w:val="center" w:pos="4513"/>
          <w:tab w:val="left" w:pos="6660"/>
        </w:tabs>
        <w:rPr>
          <w:rFonts w:ascii="Arial" w:hAnsi="Arial" w:cs="Arial"/>
          <w:b/>
          <w:bCs/>
          <w:color w:val="4F6228"/>
          <w:lang w:eastAsia="en-ZA"/>
        </w:rPr>
      </w:pPr>
      <w:r w:rsidRPr="004F42CD">
        <w:rPr>
          <w:rFonts w:ascii="Arial" w:hAnsi="Arial" w:cs="Arial"/>
          <w:b/>
          <w:bCs/>
          <w:color w:val="4F6228"/>
          <w:lang w:eastAsia="en-ZA"/>
        </w:rPr>
        <w:tab/>
        <w:t xml:space="preserve">REPUBLIC OF SOUTH AFRICA </w:t>
      </w:r>
      <w:r w:rsidRPr="004F42CD">
        <w:rPr>
          <w:rFonts w:ascii="Arial" w:hAnsi="Arial" w:cs="Arial"/>
          <w:b/>
          <w:bCs/>
          <w:color w:val="4F6228"/>
          <w:lang w:eastAsia="en-ZA"/>
        </w:rPr>
        <w:tab/>
      </w:r>
    </w:p>
    <w:p w:rsidR="004F42CD" w:rsidRPr="004F42CD" w:rsidRDefault="004F42CD" w:rsidP="004F42CD">
      <w:pPr>
        <w:jc w:val="center"/>
        <w:outlineLvl w:val="0"/>
        <w:rPr>
          <w:rFonts w:ascii="Arial" w:hAnsi="Arial" w:cs="Arial"/>
          <w:color w:val="000000"/>
          <w:lang w:eastAsia="en-ZA"/>
        </w:rPr>
      </w:pPr>
      <w:r w:rsidRPr="004F42CD">
        <w:rPr>
          <w:rFonts w:ascii="Arial" w:hAnsi="Arial" w:cs="Arial"/>
          <w:color w:val="000000"/>
          <w:lang w:eastAsia="en-ZA"/>
        </w:rPr>
        <w:t xml:space="preserve">Private Bag X645, Pretoria, 0001. Tel: (012) 421 1309, Fax: (012) 341 8513  </w:t>
      </w:r>
    </w:p>
    <w:p w:rsidR="004F42CD" w:rsidRPr="004F42CD" w:rsidRDefault="004F42CD" w:rsidP="004F42CD">
      <w:pPr>
        <w:jc w:val="center"/>
        <w:outlineLvl w:val="0"/>
        <w:rPr>
          <w:rFonts w:ascii="Arial" w:hAnsi="Arial" w:cs="Arial"/>
          <w:lang w:eastAsia="en-ZA"/>
        </w:rPr>
      </w:pPr>
      <w:r w:rsidRPr="004F42CD">
        <w:rPr>
          <w:rFonts w:ascii="Arial" w:hAnsi="Arial" w:cs="Arial"/>
          <w:color w:val="000000"/>
          <w:lang w:eastAsia="en-ZA"/>
        </w:rPr>
        <w:t xml:space="preserve">Private Bag X9029, Cape Town, 8000. Tel (021) 466 7603, </w:t>
      </w:r>
      <w:r w:rsidRPr="004F42CD">
        <w:rPr>
          <w:rFonts w:ascii="Arial" w:hAnsi="Arial" w:cs="Arial"/>
          <w:lang w:eastAsia="en-ZA"/>
        </w:rPr>
        <w:t xml:space="preserve">Fax: (021) 466 3610 </w:t>
      </w:r>
    </w:p>
    <w:p w:rsidR="00145113" w:rsidRDefault="00145113" w:rsidP="00BE245E">
      <w:pPr>
        <w:tabs>
          <w:tab w:val="left" w:pos="432"/>
          <w:tab w:val="left" w:pos="864"/>
        </w:tabs>
        <w:spacing w:before="100" w:beforeAutospacing="1" w:line="360" w:lineRule="auto"/>
        <w:jc w:val="center"/>
        <w:rPr>
          <w:b/>
        </w:rPr>
      </w:pPr>
    </w:p>
    <w:p w:rsidR="00BE245E" w:rsidRPr="004F42CD" w:rsidRDefault="00BE245E" w:rsidP="00BE245E">
      <w:pPr>
        <w:tabs>
          <w:tab w:val="left" w:pos="432"/>
          <w:tab w:val="left" w:pos="864"/>
        </w:tabs>
        <w:spacing w:before="100" w:beforeAutospacing="1" w:line="360" w:lineRule="auto"/>
        <w:jc w:val="center"/>
        <w:rPr>
          <w:rFonts w:ascii="Arial" w:hAnsi="Arial" w:cs="Arial"/>
          <w:b/>
        </w:rPr>
      </w:pPr>
      <w:bookmarkStart w:id="0" w:name="_GoBack"/>
      <w:bookmarkEnd w:id="0"/>
    </w:p>
    <w:p w:rsidR="001433AE" w:rsidRPr="004F42CD" w:rsidRDefault="001433AE" w:rsidP="004F42CD">
      <w:pPr>
        <w:tabs>
          <w:tab w:val="left" w:pos="432"/>
          <w:tab w:val="left" w:pos="864"/>
        </w:tabs>
        <w:spacing w:before="100" w:beforeAutospacing="1"/>
        <w:rPr>
          <w:rFonts w:ascii="Arial" w:hAnsi="Arial" w:cs="Arial"/>
          <w:b/>
        </w:rPr>
      </w:pPr>
      <w:r w:rsidRPr="004F42CD">
        <w:rPr>
          <w:rFonts w:ascii="Arial" w:hAnsi="Arial" w:cs="Arial"/>
          <w:b/>
        </w:rPr>
        <w:t xml:space="preserve">NATIONAL </w:t>
      </w:r>
      <w:r w:rsidR="00D43AE9" w:rsidRPr="004F42CD">
        <w:rPr>
          <w:rFonts w:ascii="Arial" w:hAnsi="Arial" w:cs="Arial"/>
          <w:b/>
        </w:rPr>
        <w:t>ASSEMBLY</w:t>
      </w:r>
      <w:r w:rsidR="00296DDA" w:rsidRPr="004F42CD">
        <w:rPr>
          <w:rFonts w:ascii="Arial" w:hAnsi="Arial" w:cs="Arial"/>
          <w:b/>
        </w:rPr>
        <w:t xml:space="preserve"> </w:t>
      </w:r>
    </w:p>
    <w:p w:rsidR="001433AE" w:rsidRPr="004F42CD" w:rsidRDefault="001433AE" w:rsidP="004F42CD">
      <w:pPr>
        <w:tabs>
          <w:tab w:val="left" w:pos="432"/>
          <w:tab w:val="left" w:pos="864"/>
        </w:tabs>
        <w:spacing w:before="100" w:beforeAutospacing="1"/>
        <w:ind w:left="720" w:hanging="720"/>
        <w:rPr>
          <w:rFonts w:ascii="Arial" w:hAnsi="Arial" w:cs="Arial"/>
          <w:b/>
        </w:rPr>
      </w:pPr>
      <w:r w:rsidRPr="004F42CD">
        <w:rPr>
          <w:rFonts w:ascii="Arial" w:hAnsi="Arial" w:cs="Arial"/>
          <w:b/>
        </w:rPr>
        <w:t xml:space="preserve">QUESTION FOR </w:t>
      </w:r>
      <w:r w:rsidR="00D43AE9" w:rsidRPr="004F42CD">
        <w:rPr>
          <w:rFonts w:ascii="Arial" w:hAnsi="Arial" w:cs="Arial"/>
          <w:b/>
        </w:rPr>
        <w:t>WRITTEN</w:t>
      </w:r>
      <w:r w:rsidR="004F31C3" w:rsidRPr="004F42CD">
        <w:rPr>
          <w:rFonts w:ascii="Arial" w:hAnsi="Arial" w:cs="Arial"/>
          <w:b/>
        </w:rPr>
        <w:t xml:space="preserve"> </w:t>
      </w:r>
      <w:r w:rsidRPr="004F42CD">
        <w:rPr>
          <w:rFonts w:ascii="Arial" w:hAnsi="Arial" w:cs="Arial"/>
          <w:b/>
        </w:rPr>
        <w:t>REPLY</w:t>
      </w:r>
    </w:p>
    <w:p w:rsidR="001433AE" w:rsidRPr="004F42CD" w:rsidRDefault="006A194B" w:rsidP="004F42CD">
      <w:pPr>
        <w:tabs>
          <w:tab w:val="left" w:pos="432"/>
          <w:tab w:val="left" w:pos="864"/>
        </w:tabs>
        <w:spacing w:before="100" w:beforeAutospacing="1"/>
        <w:ind w:left="720" w:hanging="720"/>
        <w:rPr>
          <w:rFonts w:ascii="Arial" w:hAnsi="Arial" w:cs="Arial"/>
          <w:b/>
        </w:rPr>
      </w:pPr>
      <w:r w:rsidRPr="004F42CD">
        <w:rPr>
          <w:rFonts w:ascii="Arial" w:hAnsi="Arial" w:cs="Arial"/>
          <w:b/>
        </w:rPr>
        <w:t>QUESTION NUMBER</w:t>
      </w:r>
      <w:r w:rsidR="002A5B1D" w:rsidRPr="004F42CD">
        <w:rPr>
          <w:rFonts w:ascii="Arial" w:hAnsi="Arial" w:cs="Arial"/>
          <w:b/>
        </w:rPr>
        <w:t>:</w:t>
      </w:r>
      <w:r w:rsidR="00C63350" w:rsidRPr="004F42CD">
        <w:rPr>
          <w:rFonts w:ascii="Arial" w:hAnsi="Arial" w:cs="Arial"/>
          <w:b/>
        </w:rPr>
        <w:t xml:space="preserve"> </w:t>
      </w:r>
      <w:r w:rsidR="00963407" w:rsidRPr="004F42CD">
        <w:rPr>
          <w:rFonts w:ascii="Arial" w:hAnsi="Arial" w:cs="Arial"/>
          <w:b/>
        </w:rPr>
        <w:t>1504</w:t>
      </w:r>
      <w:r w:rsidR="0018726A" w:rsidRPr="004F42CD">
        <w:rPr>
          <w:rFonts w:ascii="Arial" w:hAnsi="Arial" w:cs="Arial"/>
          <w:b/>
          <w:lang w:val="en-ZA"/>
        </w:rPr>
        <w:t xml:space="preserve"> </w:t>
      </w:r>
      <w:r w:rsidR="0018726A" w:rsidRPr="004F42CD">
        <w:rPr>
          <w:rFonts w:ascii="Arial" w:hAnsi="Arial" w:cs="Arial"/>
          <w:b/>
        </w:rPr>
        <w:t>[</w:t>
      </w:r>
      <w:r w:rsidR="00D43AE9" w:rsidRPr="004F42CD">
        <w:rPr>
          <w:rFonts w:ascii="Arial" w:hAnsi="Arial" w:cs="Arial"/>
          <w:b/>
        </w:rPr>
        <w:t>NW</w:t>
      </w:r>
      <w:r w:rsidR="00CF4554" w:rsidRPr="004F42CD">
        <w:rPr>
          <w:rFonts w:ascii="Arial" w:hAnsi="Arial" w:cs="Arial"/>
          <w:b/>
        </w:rPr>
        <w:t>1826</w:t>
      </w:r>
      <w:r w:rsidR="00705971" w:rsidRPr="004F42CD">
        <w:rPr>
          <w:rFonts w:ascii="Arial" w:hAnsi="Arial" w:cs="Arial"/>
          <w:b/>
        </w:rPr>
        <w:t>E</w:t>
      </w:r>
      <w:r w:rsidR="0018726A" w:rsidRPr="004F42CD">
        <w:rPr>
          <w:rFonts w:ascii="Arial" w:hAnsi="Arial" w:cs="Arial"/>
          <w:b/>
        </w:rPr>
        <w:t>]</w:t>
      </w:r>
    </w:p>
    <w:p w:rsidR="001433AE" w:rsidRPr="004F42CD" w:rsidRDefault="00310C5A" w:rsidP="004F42CD">
      <w:pPr>
        <w:pStyle w:val="Heading1"/>
        <w:ind w:hanging="720"/>
        <w:jc w:val="left"/>
        <w:rPr>
          <w:rFonts w:ascii="Arial" w:hAnsi="Arial" w:cs="Arial"/>
        </w:rPr>
      </w:pPr>
      <w:r w:rsidRPr="004F42CD">
        <w:rPr>
          <w:rFonts w:ascii="Arial" w:hAnsi="Arial" w:cs="Arial"/>
        </w:rPr>
        <w:t>DATE OF PUBLICATION:</w:t>
      </w:r>
      <w:r w:rsidR="003023BD" w:rsidRPr="004F42CD">
        <w:rPr>
          <w:rFonts w:ascii="Arial" w:hAnsi="Arial" w:cs="Arial"/>
        </w:rPr>
        <w:t xml:space="preserve"> </w:t>
      </w:r>
      <w:r w:rsidR="00CF4554" w:rsidRPr="004F42CD">
        <w:rPr>
          <w:rFonts w:ascii="Arial" w:hAnsi="Arial" w:cs="Arial"/>
        </w:rPr>
        <w:t>2</w:t>
      </w:r>
      <w:r w:rsidR="00F15675" w:rsidRPr="004F42CD">
        <w:rPr>
          <w:rFonts w:ascii="Arial" w:hAnsi="Arial" w:cs="Arial"/>
        </w:rPr>
        <w:t>9</w:t>
      </w:r>
      <w:r w:rsidR="00D43AE9" w:rsidRPr="004F42CD">
        <w:rPr>
          <w:rFonts w:ascii="Arial" w:hAnsi="Arial" w:cs="Arial"/>
        </w:rPr>
        <w:t xml:space="preserve"> </w:t>
      </w:r>
      <w:r w:rsidR="00CF4554" w:rsidRPr="004F42CD">
        <w:rPr>
          <w:rFonts w:ascii="Arial" w:hAnsi="Arial" w:cs="Arial"/>
        </w:rPr>
        <w:t>APRIL</w:t>
      </w:r>
      <w:r w:rsidR="00D43AE9" w:rsidRPr="004F42CD">
        <w:rPr>
          <w:rFonts w:ascii="Arial" w:hAnsi="Arial" w:cs="Arial"/>
        </w:rPr>
        <w:t xml:space="preserve"> </w:t>
      </w:r>
      <w:r w:rsidR="00807821" w:rsidRPr="004F42CD">
        <w:rPr>
          <w:rFonts w:ascii="Arial" w:hAnsi="Arial" w:cs="Arial"/>
        </w:rPr>
        <w:t>202</w:t>
      </w:r>
      <w:r w:rsidR="00CF4554" w:rsidRPr="004F42CD">
        <w:rPr>
          <w:rFonts w:ascii="Arial" w:hAnsi="Arial" w:cs="Arial"/>
        </w:rPr>
        <w:t>2</w:t>
      </w:r>
    </w:p>
    <w:p w:rsidR="001433AE" w:rsidRPr="004F42CD" w:rsidRDefault="001433AE" w:rsidP="00BE245E">
      <w:pPr>
        <w:tabs>
          <w:tab w:val="left" w:pos="432"/>
          <w:tab w:val="left" w:pos="864"/>
        </w:tabs>
        <w:spacing w:line="360" w:lineRule="auto"/>
        <w:ind w:left="720"/>
        <w:rPr>
          <w:rFonts w:ascii="Arial" w:hAnsi="Arial" w:cs="Arial"/>
          <w:b/>
        </w:rPr>
      </w:pPr>
    </w:p>
    <w:p w:rsidR="00020D51" w:rsidRPr="004F42CD" w:rsidRDefault="00020D51" w:rsidP="00BE245E">
      <w:pPr>
        <w:tabs>
          <w:tab w:val="left" w:pos="432"/>
          <w:tab w:val="left" w:pos="864"/>
        </w:tabs>
        <w:spacing w:line="360" w:lineRule="auto"/>
        <w:ind w:left="720"/>
        <w:rPr>
          <w:rFonts w:ascii="Arial" w:hAnsi="Arial" w:cs="Arial"/>
          <w:b/>
        </w:rPr>
      </w:pPr>
    </w:p>
    <w:p w:rsidR="00EF536C" w:rsidRPr="004F42CD" w:rsidRDefault="00580FCB" w:rsidP="00AF04F2">
      <w:pPr>
        <w:spacing w:before="100" w:beforeAutospacing="1" w:after="100" w:afterAutospacing="1" w:line="360" w:lineRule="auto"/>
        <w:ind w:left="709" w:hanging="709"/>
        <w:jc w:val="both"/>
        <w:rPr>
          <w:rFonts w:ascii="Arial" w:hAnsi="Arial" w:cs="Arial"/>
          <w:lang w:val="en-ZA"/>
        </w:rPr>
      </w:pPr>
      <w:r w:rsidRPr="004F42CD">
        <w:rPr>
          <w:rFonts w:ascii="Arial" w:hAnsi="Arial" w:cs="Arial"/>
          <w:b/>
          <w:lang w:val="en-ZA"/>
        </w:rPr>
        <w:t>1504</w:t>
      </w:r>
      <w:r w:rsidR="00EF536C" w:rsidRPr="004F42CD">
        <w:rPr>
          <w:rFonts w:ascii="Arial" w:hAnsi="Arial" w:cs="Arial"/>
          <w:b/>
          <w:lang w:val="en-ZA"/>
        </w:rPr>
        <w:t>.</w:t>
      </w:r>
      <w:r w:rsidR="00EF536C" w:rsidRPr="004F42CD">
        <w:rPr>
          <w:rFonts w:ascii="Arial" w:hAnsi="Arial" w:cs="Arial"/>
          <w:b/>
          <w:lang w:val="en-ZA"/>
        </w:rPr>
        <w:tab/>
      </w:r>
      <w:r w:rsidR="00F15675" w:rsidRPr="004F42CD">
        <w:rPr>
          <w:rFonts w:ascii="Arial" w:hAnsi="Arial" w:cs="Arial"/>
          <w:b/>
        </w:rPr>
        <w:t>Mr</w:t>
      </w:r>
      <w:r w:rsidR="001E2455" w:rsidRPr="004F42CD">
        <w:rPr>
          <w:rFonts w:ascii="Arial" w:hAnsi="Arial" w:cs="Arial"/>
          <w:b/>
        </w:rPr>
        <w:t xml:space="preserve"> F Jacobs </w:t>
      </w:r>
      <w:r w:rsidR="00F15675" w:rsidRPr="004F42CD">
        <w:rPr>
          <w:rFonts w:ascii="Arial" w:hAnsi="Arial" w:cs="Arial"/>
          <w:b/>
        </w:rPr>
        <w:t>(</w:t>
      </w:r>
      <w:r w:rsidR="001E2455" w:rsidRPr="004F42CD">
        <w:rPr>
          <w:rFonts w:ascii="Arial" w:hAnsi="Arial" w:cs="Arial"/>
          <w:b/>
        </w:rPr>
        <w:t>ANC</w:t>
      </w:r>
      <w:r w:rsidR="00F15675" w:rsidRPr="004F42CD">
        <w:rPr>
          <w:rFonts w:ascii="Arial" w:hAnsi="Arial" w:cs="Arial"/>
          <w:b/>
        </w:rPr>
        <w:t xml:space="preserve">) </w:t>
      </w:r>
      <w:r w:rsidR="00EF536C" w:rsidRPr="004F42CD">
        <w:rPr>
          <w:rFonts w:ascii="Arial" w:hAnsi="Arial" w:cs="Arial"/>
          <w:b/>
          <w:lang w:val="en-ZA"/>
        </w:rPr>
        <w:t xml:space="preserve">to ask the Minister of Human Settlements: </w:t>
      </w:r>
    </w:p>
    <w:p w:rsidR="00CF1DEE" w:rsidRPr="004F42CD" w:rsidRDefault="001E2455" w:rsidP="00F15675">
      <w:pPr>
        <w:pStyle w:val="Default"/>
        <w:spacing w:before="100" w:beforeAutospacing="1" w:after="100" w:afterAutospacing="1" w:line="360" w:lineRule="auto"/>
        <w:jc w:val="both"/>
      </w:pPr>
      <w:r w:rsidRPr="004F42CD">
        <w:t xml:space="preserve">(1) Given the recent fires </w:t>
      </w:r>
      <w:r w:rsidR="00CF1DEE" w:rsidRPr="004F42CD">
        <w:t xml:space="preserve">in Joe Slovo informal settlements in Langa, which is an annual occurrence over the past 10 years in the City of Cape Town, what total number of informal settlements are recorded in the City of Cape Town Metropolitan </w:t>
      </w:r>
      <w:r w:rsidR="008F3FBD" w:rsidRPr="004F42CD">
        <w:t>Municipality</w:t>
      </w:r>
      <w:r w:rsidR="00CF1DEE" w:rsidRPr="004F42CD">
        <w:t>;</w:t>
      </w:r>
    </w:p>
    <w:p w:rsidR="00CF1DEE" w:rsidRPr="004F42CD" w:rsidRDefault="00CF1DEE" w:rsidP="00F15675">
      <w:pPr>
        <w:pStyle w:val="Default"/>
        <w:spacing w:before="100" w:beforeAutospacing="1" w:after="100" w:afterAutospacing="1" w:line="360" w:lineRule="auto"/>
        <w:jc w:val="both"/>
      </w:pPr>
      <w:r w:rsidRPr="004F42CD">
        <w:t>(2) what steps has her department taken to upgrade informal settlements in the past 10 years;</w:t>
      </w:r>
    </w:p>
    <w:p w:rsidR="00F15675" w:rsidRPr="004F42CD" w:rsidRDefault="00CF1DEE" w:rsidP="00F15675">
      <w:pPr>
        <w:pStyle w:val="Default"/>
        <w:spacing w:before="100" w:beforeAutospacing="1" w:after="100" w:afterAutospacing="1" w:line="360" w:lineRule="auto"/>
        <w:jc w:val="both"/>
      </w:pPr>
      <w:r w:rsidRPr="004F42CD">
        <w:t>(3) whether her department allocated any monies for the upgrade of informal settlements in the City of Cape Town in the past 10 years; if not, why not; if so, what is the (a) reason that the settlements</w:t>
      </w:r>
      <w:r w:rsidR="008F3FBD" w:rsidRPr="004F42CD">
        <w:t xml:space="preserve"> have not been upgraded and (b) plan of her department to deal with the crisis of informal settlements and backyard dwellers in Cape Town?                          </w:t>
      </w:r>
      <w:r w:rsidRPr="004F42CD">
        <w:t xml:space="preserve"> </w:t>
      </w:r>
      <w:r w:rsidR="00F15675" w:rsidRPr="004F42CD">
        <w:tab/>
        <w:t xml:space="preserve"> NW</w:t>
      </w:r>
      <w:r w:rsidR="001E2455" w:rsidRPr="004F42CD">
        <w:t>1826</w:t>
      </w:r>
      <w:r w:rsidR="00F15675" w:rsidRPr="004F42CD">
        <w:t>E</w:t>
      </w:r>
    </w:p>
    <w:p w:rsidR="00D43AE9" w:rsidRPr="004F42CD" w:rsidRDefault="00D43AE9" w:rsidP="00136FA3">
      <w:pPr>
        <w:pStyle w:val="Default"/>
        <w:spacing w:before="100" w:beforeAutospacing="1" w:after="100" w:afterAutospacing="1" w:line="360" w:lineRule="auto"/>
        <w:ind w:left="709"/>
        <w:jc w:val="both"/>
      </w:pPr>
      <w:r w:rsidRPr="004F42CD">
        <w:tab/>
      </w:r>
      <w:r w:rsidRPr="004F42CD">
        <w:tab/>
        <w:t xml:space="preserve">              </w:t>
      </w:r>
      <w:r w:rsidR="00DC38EF" w:rsidRPr="004F42CD">
        <w:t xml:space="preserve">                              </w:t>
      </w:r>
      <w:r w:rsidRPr="004F42CD">
        <w:t xml:space="preserve">                                                                        </w:t>
      </w:r>
      <w:r w:rsidR="00136FA3" w:rsidRPr="004F42CD">
        <w:t xml:space="preserve">  </w:t>
      </w:r>
    </w:p>
    <w:p w:rsidR="00E21B11" w:rsidRPr="004F42CD" w:rsidRDefault="00EF536C" w:rsidP="00D82BB0">
      <w:pPr>
        <w:spacing w:before="100" w:beforeAutospacing="1" w:after="100" w:afterAutospacing="1" w:line="360" w:lineRule="auto"/>
        <w:ind w:left="1418" w:hanging="709"/>
        <w:jc w:val="both"/>
        <w:rPr>
          <w:rFonts w:ascii="Arial" w:hAnsi="Arial" w:cs="Arial"/>
          <w:b/>
        </w:rPr>
      </w:pPr>
      <w:r w:rsidRPr="004F42CD">
        <w:rPr>
          <w:rFonts w:ascii="Arial" w:hAnsi="Arial" w:cs="Arial"/>
          <w:lang w:val="en-ZA"/>
        </w:rPr>
        <w:lastRenderedPageBreak/>
        <w:tab/>
      </w:r>
      <w:r w:rsidRPr="004F42CD">
        <w:rPr>
          <w:rFonts w:ascii="Arial" w:hAnsi="Arial" w:cs="Arial"/>
          <w:lang w:val="en-ZA"/>
        </w:rPr>
        <w:tab/>
      </w:r>
      <w:r w:rsidRPr="004F42CD">
        <w:rPr>
          <w:rFonts w:ascii="Arial" w:hAnsi="Arial" w:cs="Arial"/>
          <w:lang w:val="en-ZA"/>
        </w:rPr>
        <w:tab/>
      </w:r>
      <w:r w:rsidRPr="004F42CD">
        <w:rPr>
          <w:rFonts w:ascii="Arial" w:hAnsi="Arial" w:cs="Arial"/>
          <w:lang w:val="en-ZA"/>
        </w:rPr>
        <w:tab/>
      </w:r>
      <w:r w:rsidRPr="004F42CD">
        <w:rPr>
          <w:rFonts w:ascii="Arial" w:hAnsi="Arial" w:cs="Arial"/>
          <w:lang w:val="en-ZA"/>
        </w:rPr>
        <w:tab/>
      </w:r>
      <w:r w:rsidR="0056318D" w:rsidRPr="004F42CD">
        <w:rPr>
          <w:rFonts w:ascii="Arial" w:hAnsi="Arial" w:cs="Arial"/>
          <w:b/>
        </w:rPr>
        <w:t>R</w:t>
      </w:r>
      <w:r w:rsidR="00020D51" w:rsidRPr="004F42CD">
        <w:rPr>
          <w:rFonts w:ascii="Arial" w:hAnsi="Arial" w:cs="Arial"/>
          <w:b/>
        </w:rPr>
        <w:t>EPLY</w:t>
      </w:r>
    </w:p>
    <w:p w:rsidR="004247B7" w:rsidRPr="004F42CD" w:rsidRDefault="00E12495" w:rsidP="00362123">
      <w:pPr>
        <w:pStyle w:val="ListParagraph"/>
        <w:numPr>
          <w:ilvl w:val="0"/>
          <w:numId w:val="10"/>
        </w:numPr>
        <w:spacing w:line="360" w:lineRule="auto"/>
        <w:ind w:hanging="720"/>
        <w:rPr>
          <w:rFonts w:ascii="Arial" w:hAnsi="Arial" w:cs="Arial"/>
        </w:rPr>
      </w:pPr>
      <w:r w:rsidRPr="004F42CD">
        <w:rPr>
          <w:rFonts w:ascii="Arial" w:hAnsi="Arial" w:cs="Arial"/>
        </w:rPr>
        <w:t>The total n</w:t>
      </w:r>
      <w:r w:rsidR="00D82BB0" w:rsidRPr="004F42CD">
        <w:rPr>
          <w:rFonts w:ascii="Arial" w:hAnsi="Arial" w:cs="Arial"/>
        </w:rPr>
        <w:t>umber of Informal Settlements:</w:t>
      </w:r>
    </w:p>
    <w:p w:rsidR="00DC38EF" w:rsidRPr="004F42CD" w:rsidRDefault="00DC38EF" w:rsidP="00DC38EF">
      <w:pPr>
        <w:spacing w:line="360" w:lineRule="auto"/>
        <w:rPr>
          <w:rFonts w:ascii="Arial" w:hAnsi="Arial" w:cs="Arial"/>
        </w:rPr>
      </w:pPr>
    </w:p>
    <w:tbl>
      <w:tblPr>
        <w:tblStyle w:val="TableGrid"/>
        <w:tblW w:w="0" w:type="auto"/>
        <w:tblLook w:val="04A0"/>
      </w:tblPr>
      <w:tblGrid>
        <w:gridCol w:w="3021"/>
        <w:gridCol w:w="3021"/>
        <w:gridCol w:w="3021"/>
      </w:tblGrid>
      <w:tr w:rsidR="00DC38EF" w:rsidRPr="004F42CD" w:rsidTr="00DC38EF">
        <w:tc>
          <w:tcPr>
            <w:tcW w:w="3021" w:type="dxa"/>
          </w:tcPr>
          <w:p w:rsidR="00DC38EF" w:rsidRPr="004F42CD" w:rsidRDefault="00DC38EF" w:rsidP="00DC38EF">
            <w:pPr>
              <w:spacing w:line="360" w:lineRule="auto"/>
              <w:jc w:val="center"/>
              <w:rPr>
                <w:rFonts w:ascii="Arial" w:hAnsi="Arial" w:cs="Arial"/>
                <w:b/>
              </w:rPr>
            </w:pPr>
            <w:r w:rsidRPr="004F42CD">
              <w:rPr>
                <w:rFonts w:ascii="Arial" w:hAnsi="Arial" w:cs="Arial"/>
                <w:b/>
              </w:rPr>
              <w:t>TYPES - AREAS OF INFORMALITY</w:t>
            </w:r>
          </w:p>
        </w:tc>
        <w:tc>
          <w:tcPr>
            <w:tcW w:w="3021" w:type="dxa"/>
          </w:tcPr>
          <w:p w:rsidR="00DC38EF" w:rsidRPr="004F42CD" w:rsidRDefault="00DC38EF" w:rsidP="00DC38EF">
            <w:pPr>
              <w:spacing w:line="360" w:lineRule="auto"/>
              <w:jc w:val="center"/>
              <w:rPr>
                <w:rFonts w:ascii="Arial" w:hAnsi="Arial" w:cs="Arial"/>
                <w:b/>
              </w:rPr>
            </w:pPr>
            <w:r w:rsidRPr="004F42CD">
              <w:rPr>
                <w:rFonts w:ascii="Arial" w:hAnsi="Arial" w:cs="Arial"/>
                <w:b/>
              </w:rPr>
              <w:t>SETTLEMENTS</w:t>
            </w:r>
          </w:p>
        </w:tc>
        <w:tc>
          <w:tcPr>
            <w:tcW w:w="3021" w:type="dxa"/>
          </w:tcPr>
          <w:p w:rsidR="00DC38EF" w:rsidRPr="004F42CD" w:rsidRDefault="00DC38EF" w:rsidP="00DC38EF">
            <w:pPr>
              <w:spacing w:line="360" w:lineRule="auto"/>
              <w:jc w:val="center"/>
              <w:rPr>
                <w:rFonts w:ascii="Arial" w:hAnsi="Arial" w:cs="Arial"/>
              </w:rPr>
            </w:pPr>
            <w:r w:rsidRPr="004F42CD">
              <w:rPr>
                <w:rFonts w:ascii="Arial" w:hAnsi="Arial" w:cs="Arial"/>
                <w:b/>
                <w:bCs/>
              </w:rPr>
              <w:t>STRUCTURES</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Backyarder Settlement</w:t>
            </w:r>
          </w:p>
        </w:tc>
        <w:tc>
          <w:tcPr>
            <w:tcW w:w="3021" w:type="dxa"/>
          </w:tcPr>
          <w:p w:rsidR="00DC38EF" w:rsidRPr="004F42CD" w:rsidRDefault="00DC38EF" w:rsidP="00DC38EF">
            <w:pPr>
              <w:jc w:val="center"/>
              <w:rPr>
                <w:rFonts w:ascii="Arial" w:hAnsi="Arial" w:cs="Arial"/>
              </w:rPr>
            </w:pPr>
            <w:r w:rsidRPr="004F42CD">
              <w:rPr>
                <w:rFonts w:ascii="Arial" w:hAnsi="Arial" w:cs="Arial"/>
              </w:rPr>
              <w:t>31</w:t>
            </w:r>
          </w:p>
        </w:tc>
        <w:tc>
          <w:tcPr>
            <w:tcW w:w="3021" w:type="dxa"/>
          </w:tcPr>
          <w:p w:rsidR="00DC38EF" w:rsidRPr="004F42CD" w:rsidRDefault="00DC38EF" w:rsidP="00DC38EF">
            <w:pPr>
              <w:jc w:val="center"/>
              <w:rPr>
                <w:rFonts w:ascii="Arial" w:hAnsi="Arial" w:cs="Arial"/>
              </w:rPr>
            </w:pPr>
            <w:r w:rsidRPr="004F42CD">
              <w:rPr>
                <w:rFonts w:ascii="Arial" w:hAnsi="Arial" w:cs="Arial"/>
              </w:rPr>
              <w:t>1 419</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Informal Settlement</w:t>
            </w:r>
          </w:p>
        </w:tc>
        <w:tc>
          <w:tcPr>
            <w:tcW w:w="3021" w:type="dxa"/>
          </w:tcPr>
          <w:p w:rsidR="00DC38EF" w:rsidRPr="004F42CD" w:rsidRDefault="00DC38EF" w:rsidP="00DC38EF">
            <w:pPr>
              <w:jc w:val="center"/>
              <w:rPr>
                <w:rFonts w:ascii="Arial" w:hAnsi="Arial" w:cs="Arial"/>
              </w:rPr>
            </w:pPr>
            <w:r w:rsidRPr="004F42CD">
              <w:rPr>
                <w:rFonts w:ascii="Arial" w:hAnsi="Arial" w:cs="Arial"/>
              </w:rPr>
              <w:t>497</w:t>
            </w:r>
          </w:p>
        </w:tc>
        <w:tc>
          <w:tcPr>
            <w:tcW w:w="3021" w:type="dxa"/>
          </w:tcPr>
          <w:p w:rsidR="00DC38EF" w:rsidRPr="004F42CD" w:rsidRDefault="00DC38EF" w:rsidP="00DC38EF">
            <w:pPr>
              <w:jc w:val="center"/>
              <w:rPr>
                <w:rFonts w:ascii="Arial" w:hAnsi="Arial" w:cs="Arial"/>
              </w:rPr>
            </w:pPr>
            <w:r w:rsidRPr="004F42CD">
              <w:rPr>
                <w:rFonts w:ascii="Arial" w:hAnsi="Arial" w:cs="Arial"/>
              </w:rPr>
              <w:t>201 151</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IDA/TRA/ Re-blocked</w:t>
            </w:r>
          </w:p>
        </w:tc>
        <w:tc>
          <w:tcPr>
            <w:tcW w:w="3021" w:type="dxa"/>
          </w:tcPr>
          <w:p w:rsidR="00DC38EF" w:rsidRPr="004F42CD" w:rsidRDefault="00DC38EF" w:rsidP="00DC38EF">
            <w:pPr>
              <w:jc w:val="center"/>
              <w:rPr>
                <w:rFonts w:ascii="Arial" w:hAnsi="Arial" w:cs="Arial"/>
              </w:rPr>
            </w:pPr>
            <w:r w:rsidRPr="004F42CD">
              <w:rPr>
                <w:rFonts w:ascii="Arial" w:hAnsi="Arial" w:cs="Arial"/>
              </w:rPr>
              <w:t>33</w:t>
            </w:r>
          </w:p>
        </w:tc>
        <w:tc>
          <w:tcPr>
            <w:tcW w:w="3021" w:type="dxa"/>
          </w:tcPr>
          <w:p w:rsidR="00DC38EF" w:rsidRPr="004F42CD" w:rsidRDefault="00DC38EF" w:rsidP="00DC38EF">
            <w:pPr>
              <w:jc w:val="center"/>
              <w:rPr>
                <w:rFonts w:ascii="Arial" w:hAnsi="Arial" w:cs="Arial"/>
              </w:rPr>
            </w:pPr>
            <w:r w:rsidRPr="004F42CD">
              <w:rPr>
                <w:rFonts w:ascii="Arial" w:hAnsi="Arial" w:cs="Arial"/>
              </w:rPr>
              <w:t>12 361</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Rental Stock Settlements</w:t>
            </w:r>
          </w:p>
        </w:tc>
        <w:tc>
          <w:tcPr>
            <w:tcW w:w="3021" w:type="dxa"/>
          </w:tcPr>
          <w:p w:rsidR="00DC38EF" w:rsidRPr="004F42CD" w:rsidRDefault="00DC38EF" w:rsidP="00DC38EF">
            <w:pPr>
              <w:jc w:val="center"/>
              <w:rPr>
                <w:rFonts w:ascii="Arial" w:hAnsi="Arial" w:cs="Arial"/>
              </w:rPr>
            </w:pPr>
            <w:r w:rsidRPr="004F42CD">
              <w:rPr>
                <w:rFonts w:ascii="Arial" w:hAnsi="Arial" w:cs="Arial"/>
              </w:rPr>
              <w:t>71</w:t>
            </w:r>
          </w:p>
        </w:tc>
        <w:tc>
          <w:tcPr>
            <w:tcW w:w="3021" w:type="dxa"/>
          </w:tcPr>
          <w:p w:rsidR="00DC38EF" w:rsidRPr="004F42CD" w:rsidRDefault="00DC38EF" w:rsidP="00DC38EF">
            <w:pPr>
              <w:jc w:val="center"/>
              <w:rPr>
                <w:rFonts w:ascii="Arial" w:hAnsi="Arial" w:cs="Arial"/>
              </w:rPr>
            </w:pPr>
            <w:r w:rsidRPr="004F42CD">
              <w:rPr>
                <w:rFonts w:ascii="Arial" w:hAnsi="Arial" w:cs="Arial"/>
              </w:rPr>
              <w:t>9 478</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Small Farmers/ Rural Settlement</w:t>
            </w:r>
          </w:p>
        </w:tc>
        <w:tc>
          <w:tcPr>
            <w:tcW w:w="3021" w:type="dxa"/>
          </w:tcPr>
          <w:p w:rsidR="00DC38EF" w:rsidRPr="004F42CD" w:rsidRDefault="00DC38EF" w:rsidP="00DC38EF">
            <w:pPr>
              <w:jc w:val="center"/>
              <w:rPr>
                <w:rFonts w:ascii="Arial" w:hAnsi="Arial" w:cs="Arial"/>
              </w:rPr>
            </w:pPr>
            <w:r w:rsidRPr="004F42CD">
              <w:rPr>
                <w:rFonts w:ascii="Arial" w:hAnsi="Arial" w:cs="Arial"/>
              </w:rPr>
              <w:t>17</w:t>
            </w:r>
          </w:p>
        </w:tc>
        <w:tc>
          <w:tcPr>
            <w:tcW w:w="3021" w:type="dxa"/>
          </w:tcPr>
          <w:p w:rsidR="00DC38EF" w:rsidRPr="004F42CD" w:rsidRDefault="00DC38EF" w:rsidP="00DC38EF">
            <w:pPr>
              <w:jc w:val="center"/>
              <w:rPr>
                <w:rFonts w:ascii="Arial" w:hAnsi="Arial" w:cs="Arial"/>
              </w:rPr>
            </w:pPr>
            <w:r w:rsidRPr="004F42CD">
              <w:rPr>
                <w:rFonts w:ascii="Arial" w:hAnsi="Arial" w:cs="Arial"/>
              </w:rPr>
              <w:t>2 863</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New settlements  (i.e. Land invasions March 2020 to October 2021)</w:t>
            </w:r>
          </w:p>
        </w:tc>
        <w:tc>
          <w:tcPr>
            <w:tcW w:w="3021" w:type="dxa"/>
          </w:tcPr>
          <w:p w:rsidR="00DC38EF" w:rsidRPr="004F42CD" w:rsidRDefault="00DC38EF" w:rsidP="00DC38EF">
            <w:pPr>
              <w:jc w:val="center"/>
              <w:rPr>
                <w:rFonts w:ascii="Arial" w:hAnsi="Arial" w:cs="Arial"/>
              </w:rPr>
            </w:pPr>
            <w:r w:rsidRPr="004F42CD">
              <w:rPr>
                <w:rFonts w:ascii="Arial" w:hAnsi="Arial" w:cs="Arial"/>
              </w:rPr>
              <w:t>186</w:t>
            </w:r>
          </w:p>
        </w:tc>
        <w:tc>
          <w:tcPr>
            <w:tcW w:w="3021" w:type="dxa"/>
          </w:tcPr>
          <w:p w:rsidR="00DC38EF" w:rsidRPr="004F42CD" w:rsidRDefault="00DC38EF" w:rsidP="00DC38EF">
            <w:pPr>
              <w:jc w:val="center"/>
              <w:rPr>
                <w:rFonts w:ascii="Arial" w:hAnsi="Arial" w:cs="Arial"/>
              </w:rPr>
            </w:pPr>
            <w:r w:rsidRPr="004F42CD">
              <w:rPr>
                <w:rFonts w:ascii="Arial" w:hAnsi="Arial" w:cs="Arial"/>
              </w:rPr>
              <w:t>59 192</w:t>
            </w:r>
          </w:p>
        </w:tc>
      </w:tr>
      <w:tr w:rsidR="00DC38EF" w:rsidRPr="004F42CD" w:rsidTr="00DC38EF">
        <w:tc>
          <w:tcPr>
            <w:tcW w:w="3021" w:type="dxa"/>
          </w:tcPr>
          <w:p w:rsidR="00DC38EF" w:rsidRPr="004F42CD" w:rsidRDefault="00DC38EF" w:rsidP="00DC38EF">
            <w:pPr>
              <w:rPr>
                <w:rFonts w:ascii="Arial" w:hAnsi="Arial" w:cs="Arial"/>
              </w:rPr>
            </w:pPr>
            <w:r w:rsidRPr="004F42CD">
              <w:rPr>
                <w:rFonts w:ascii="Arial" w:hAnsi="Arial" w:cs="Arial"/>
              </w:rPr>
              <w:t>TOTAL</w:t>
            </w:r>
          </w:p>
        </w:tc>
        <w:tc>
          <w:tcPr>
            <w:tcW w:w="3021" w:type="dxa"/>
          </w:tcPr>
          <w:p w:rsidR="00DC38EF" w:rsidRPr="004F42CD" w:rsidRDefault="00DC38EF" w:rsidP="00DC38EF">
            <w:pPr>
              <w:jc w:val="center"/>
              <w:rPr>
                <w:rFonts w:ascii="Arial" w:hAnsi="Arial" w:cs="Arial"/>
              </w:rPr>
            </w:pPr>
            <w:r w:rsidRPr="004F42CD">
              <w:rPr>
                <w:rFonts w:ascii="Arial" w:hAnsi="Arial" w:cs="Arial"/>
              </w:rPr>
              <w:t>835</w:t>
            </w:r>
          </w:p>
        </w:tc>
        <w:tc>
          <w:tcPr>
            <w:tcW w:w="3021" w:type="dxa"/>
          </w:tcPr>
          <w:p w:rsidR="00DC38EF" w:rsidRPr="004F42CD" w:rsidRDefault="00DC38EF" w:rsidP="00DC38EF">
            <w:pPr>
              <w:jc w:val="center"/>
              <w:rPr>
                <w:rFonts w:ascii="Arial" w:hAnsi="Arial" w:cs="Arial"/>
              </w:rPr>
            </w:pPr>
            <w:r w:rsidRPr="004F42CD">
              <w:rPr>
                <w:rFonts w:ascii="Arial" w:hAnsi="Arial" w:cs="Arial"/>
              </w:rPr>
              <w:t>286 464</w:t>
            </w:r>
          </w:p>
        </w:tc>
      </w:tr>
    </w:tbl>
    <w:p w:rsidR="00DC38EF" w:rsidRPr="004F42CD" w:rsidRDefault="00DC38EF" w:rsidP="00DC38EF">
      <w:pPr>
        <w:spacing w:line="360" w:lineRule="auto"/>
        <w:rPr>
          <w:rFonts w:ascii="Arial" w:hAnsi="Arial" w:cs="Arial"/>
        </w:rPr>
      </w:pPr>
    </w:p>
    <w:p w:rsidR="004E5620" w:rsidRPr="004F42CD" w:rsidRDefault="004E5620" w:rsidP="004E5620">
      <w:pPr>
        <w:spacing w:line="360" w:lineRule="auto"/>
        <w:jc w:val="both"/>
        <w:rPr>
          <w:rFonts w:ascii="Arial" w:hAnsi="Arial" w:cs="Arial"/>
        </w:rPr>
      </w:pPr>
    </w:p>
    <w:p w:rsidR="00D82BB0" w:rsidRPr="004F42CD" w:rsidRDefault="00D82BB0" w:rsidP="004E5620">
      <w:pPr>
        <w:spacing w:line="360" w:lineRule="auto"/>
        <w:jc w:val="both"/>
        <w:rPr>
          <w:rFonts w:ascii="Arial" w:hAnsi="Arial" w:cs="Arial"/>
        </w:rPr>
      </w:pPr>
    </w:p>
    <w:p w:rsidR="00D82BB0" w:rsidRPr="004F42CD" w:rsidRDefault="00D82BB0" w:rsidP="00D82BB0">
      <w:pPr>
        <w:spacing w:line="360" w:lineRule="auto"/>
        <w:jc w:val="both"/>
        <w:rPr>
          <w:rFonts w:ascii="Arial" w:hAnsi="Arial" w:cs="Arial"/>
        </w:rPr>
      </w:pPr>
      <w:r w:rsidRPr="004F42CD">
        <w:rPr>
          <w:rFonts w:ascii="Arial" w:hAnsi="Arial" w:cs="Arial"/>
        </w:rPr>
        <w:t xml:space="preserve">The data is collected form aerial photography or drone footage with individual structure counts, physical surveys in some instances and solid waste door to door survey information.  Data is updated on an annual basis. </w:t>
      </w:r>
    </w:p>
    <w:p w:rsidR="00D82BB0" w:rsidRPr="004F42CD" w:rsidRDefault="00D82BB0" w:rsidP="00D82BB0">
      <w:pPr>
        <w:spacing w:line="360" w:lineRule="auto"/>
        <w:jc w:val="both"/>
        <w:rPr>
          <w:rFonts w:ascii="Arial" w:hAnsi="Arial" w:cs="Arial"/>
        </w:rPr>
      </w:pPr>
    </w:p>
    <w:p w:rsidR="00F31780" w:rsidRPr="004F42CD" w:rsidRDefault="00F31780" w:rsidP="00F31780">
      <w:pPr>
        <w:spacing w:line="360" w:lineRule="auto"/>
        <w:jc w:val="both"/>
        <w:rPr>
          <w:rFonts w:ascii="Arial" w:hAnsi="Arial" w:cs="Arial"/>
        </w:rPr>
      </w:pPr>
    </w:p>
    <w:p w:rsidR="009A4C2B" w:rsidRPr="004F42CD" w:rsidRDefault="009A4C2B" w:rsidP="00682620">
      <w:pPr>
        <w:pStyle w:val="ListParagraph"/>
        <w:numPr>
          <w:ilvl w:val="0"/>
          <w:numId w:val="10"/>
        </w:numPr>
        <w:spacing w:line="360" w:lineRule="auto"/>
        <w:ind w:hanging="720"/>
        <w:rPr>
          <w:rFonts w:ascii="Arial" w:hAnsi="Arial" w:cs="Arial"/>
        </w:rPr>
      </w:pPr>
      <w:r w:rsidRPr="004F42CD">
        <w:rPr>
          <w:rFonts w:ascii="Arial" w:hAnsi="Arial" w:cs="Arial"/>
        </w:rPr>
        <w:t xml:space="preserve">The analysis of each settlement resulted in the most likely development pathway for that specific settlement.  The steps taken can be one of the following options: </w:t>
      </w:r>
    </w:p>
    <w:p w:rsidR="009A4C2B" w:rsidRPr="004F42CD" w:rsidRDefault="009A4C2B" w:rsidP="009A4C2B">
      <w:pPr>
        <w:pStyle w:val="ListParagraph"/>
        <w:spacing w:line="360" w:lineRule="auto"/>
        <w:ind w:left="567"/>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Basic Access Improvement:</w:t>
      </w:r>
      <w:r w:rsidRPr="004F42CD">
        <w:rPr>
          <w:rFonts w:ascii="Arial" w:hAnsi="Arial" w:cs="Arial"/>
          <w:bCs/>
          <w:i/>
          <w:iCs/>
        </w:rPr>
        <w:t xml:space="preserve"> </w:t>
      </w:r>
      <w:r w:rsidRPr="004F42CD">
        <w:rPr>
          <w:rFonts w:ascii="Arial" w:hAnsi="Arial" w:cs="Arial"/>
          <w:b/>
          <w:bCs/>
          <w:i/>
          <w:iCs/>
        </w:rPr>
        <w:t xml:space="preserve"> </w:t>
      </w:r>
      <w:r w:rsidRPr="004F42CD">
        <w:rPr>
          <w:rFonts w:ascii="Arial" w:hAnsi="Arial" w:cs="Arial"/>
        </w:rPr>
        <w:t xml:space="preserve">Rolling out of basic access frameworks (i.e. improved roads &amp; pedestrian movement) as part of the basic service package to informal settlements.  </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De-densification:</w:t>
      </w:r>
      <w:r w:rsidRPr="004F42CD">
        <w:rPr>
          <w:rFonts w:ascii="Arial" w:hAnsi="Arial" w:cs="Arial"/>
          <w:b/>
          <w:bCs/>
          <w:i/>
          <w:iCs/>
        </w:rPr>
        <w:t xml:space="preserve">  </w:t>
      </w:r>
      <w:r w:rsidRPr="004F42CD">
        <w:rPr>
          <w:rFonts w:ascii="Arial" w:hAnsi="Arial" w:cs="Arial"/>
        </w:rPr>
        <w:t xml:space="preserve">Settlements which will be required to be de-densified prior to any in-situ (UISP or Superblock) development can be implemented.  Basic services provided in interim. </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Superblock:</w:t>
      </w:r>
      <w:r w:rsidRPr="004F42CD">
        <w:rPr>
          <w:rFonts w:ascii="Arial" w:hAnsi="Arial" w:cs="Arial"/>
          <w:b/>
          <w:bCs/>
          <w:i/>
          <w:iCs/>
        </w:rPr>
        <w:t xml:space="preserve">  </w:t>
      </w:r>
      <w:r w:rsidRPr="004F42CD">
        <w:rPr>
          <w:rFonts w:ascii="Arial" w:hAnsi="Arial" w:cs="Arial"/>
        </w:rPr>
        <w:t xml:space="preserve">Provide formal access roads with formal services infrastructure but no individual serviced sites and only shared services – no or minimal relocation </w:t>
      </w:r>
      <w:r w:rsidRPr="004F42CD">
        <w:rPr>
          <w:rFonts w:ascii="Arial" w:hAnsi="Arial" w:cs="Arial"/>
          <w:bCs/>
        </w:rPr>
        <w:t xml:space="preserve">initially </w:t>
      </w:r>
      <w:r w:rsidRPr="004F42CD">
        <w:rPr>
          <w:rFonts w:ascii="Arial" w:hAnsi="Arial" w:cs="Arial"/>
        </w:rPr>
        <w:t>required.  Settlement is suitable for a superblock approach which can comprise of residential blocks of approximately 90m x 30m with the provision of shared water (1:25 ratio) and sanitation (1:5 ratio), door-to-door waste collection and individual electrification.</w:t>
      </w:r>
      <w:r w:rsidR="00873024" w:rsidRPr="004F42CD">
        <w:rPr>
          <w:rFonts w:ascii="Arial" w:hAnsi="Arial" w:cs="Arial"/>
        </w:rPr>
        <w:t xml:space="preserve"> </w:t>
      </w:r>
      <w:r w:rsidRPr="004F42CD">
        <w:rPr>
          <w:rFonts w:ascii="Arial" w:hAnsi="Arial" w:cs="Arial"/>
        </w:rPr>
        <w:t xml:space="preserve"> All roads, storm water and pedestrian access ways to be developed to an “A-Grade” standard.</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UISP:</w:t>
      </w:r>
      <w:r w:rsidRPr="004F42CD">
        <w:rPr>
          <w:rFonts w:ascii="Arial" w:hAnsi="Arial" w:cs="Arial"/>
          <w:b/>
          <w:bCs/>
          <w:i/>
          <w:iCs/>
        </w:rPr>
        <w:t xml:space="preserve">  </w:t>
      </w:r>
      <w:r w:rsidRPr="004F42CD">
        <w:rPr>
          <w:rFonts w:ascii="Arial" w:hAnsi="Arial" w:cs="Arial"/>
        </w:rPr>
        <w:t>Provide every household in informal settlement with own individual serviced site when upgrading to formality – no top structures provided and no or limited relocation required.  Settlements which will be developed as a UISP type of project with individual erven with each erf having its own water and sanitation points (1:1 ratio), waste collection, formal roads, storm water management and electrification.</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Re-blocked</w:t>
      </w:r>
      <w:r w:rsidRPr="004F42CD">
        <w:rPr>
          <w:rFonts w:ascii="Arial" w:hAnsi="Arial" w:cs="Arial"/>
        </w:rPr>
        <w:t xml:space="preserve"> </w:t>
      </w:r>
      <w:r w:rsidRPr="004F42CD">
        <w:rPr>
          <w:rFonts w:ascii="Arial" w:hAnsi="Arial" w:cs="Arial"/>
          <w:bCs/>
          <w:iCs/>
        </w:rPr>
        <w:t>&amp; Enhanced Re-blocking:</w:t>
      </w:r>
      <w:r w:rsidRPr="004F42CD">
        <w:rPr>
          <w:rFonts w:ascii="Arial" w:hAnsi="Arial" w:cs="Arial"/>
          <w:b/>
          <w:bCs/>
          <w:i/>
          <w:iCs/>
        </w:rPr>
        <w:t xml:space="preserve">  </w:t>
      </w:r>
      <w:r w:rsidRPr="004F42CD">
        <w:rPr>
          <w:rFonts w:ascii="Arial" w:hAnsi="Arial" w:cs="Arial"/>
        </w:rPr>
        <w:t>Settlements which can potentially be Re-blocked where it meets the density and settlement size criteria.  Those settlements where the city has established and confirmed the interest and willingness from the community to participate and support a re-blocking type of project.</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Managed Settlement Programme:</w:t>
      </w:r>
      <w:r w:rsidRPr="004F42CD">
        <w:rPr>
          <w:rFonts w:ascii="Arial" w:hAnsi="Arial" w:cs="Arial"/>
          <w:b/>
          <w:bCs/>
          <w:i/>
          <w:iCs/>
        </w:rPr>
        <w:t xml:space="preserve">  </w:t>
      </w:r>
      <w:r w:rsidRPr="004F42CD">
        <w:rPr>
          <w:rFonts w:ascii="Arial" w:hAnsi="Arial" w:cs="Arial"/>
        </w:rPr>
        <w:t>Greenfield site prepared for rapid occupation with shared services initially but with potential to upgrade to individual serviced sites over time &amp; owner construction of top structure.</w:t>
      </w:r>
    </w:p>
    <w:p w:rsidR="009A4C2B" w:rsidRPr="004F42CD" w:rsidRDefault="009A4C2B" w:rsidP="009A4C2B">
      <w:pPr>
        <w:pStyle w:val="ListParagraph"/>
        <w:spacing w:line="360" w:lineRule="auto"/>
        <w:ind w:left="1134" w:hanging="567"/>
        <w:jc w:val="both"/>
        <w:rPr>
          <w:rFonts w:ascii="Arial" w:hAnsi="Arial" w:cs="Arial"/>
        </w:rPr>
      </w:pPr>
    </w:p>
    <w:p w:rsidR="009A4C2B" w:rsidRPr="004F42CD" w:rsidRDefault="009A4C2B" w:rsidP="00682620">
      <w:pPr>
        <w:pStyle w:val="ListParagraph"/>
        <w:spacing w:after="160" w:line="360" w:lineRule="auto"/>
        <w:ind w:left="1134"/>
        <w:jc w:val="both"/>
        <w:rPr>
          <w:rFonts w:ascii="Arial" w:hAnsi="Arial" w:cs="Arial"/>
        </w:rPr>
      </w:pPr>
      <w:r w:rsidRPr="004F42CD">
        <w:rPr>
          <w:rFonts w:ascii="Arial" w:hAnsi="Arial" w:cs="Arial"/>
          <w:bCs/>
          <w:iCs/>
        </w:rPr>
        <w:t>Total Relocation:</w:t>
      </w:r>
      <w:r w:rsidRPr="004F42CD">
        <w:rPr>
          <w:rFonts w:ascii="Arial" w:hAnsi="Arial" w:cs="Arial"/>
          <w:b/>
          <w:bCs/>
          <w:i/>
          <w:iCs/>
        </w:rPr>
        <w:t xml:space="preserve">  </w:t>
      </w:r>
      <w:r w:rsidRPr="004F42CD">
        <w:rPr>
          <w:rFonts w:ascii="Arial" w:hAnsi="Arial" w:cs="Arial"/>
        </w:rPr>
        <w:t>Certain settlements will be required to be relocated in totality due to various factors such as location in areas prone to flooding, under power lines in road reserves</w:t>
      </w:r>
      <w:r w:rsidR="00682620" w:rsidRPr="004F42CD">
        <w:rPr>
          <w:rFonts w:ascii="Arial" w:hAnsi="Arial" w:cs="Arial"/>
        </w:rPr>
        <w:t xml:space="preserve"> and located </w:t>
      </w:r>
      <w:r w:rsidRPr="004F42CD">
        <w:rPr>
          <w:rFonts w:ascii="Arial" w:hAnsi="Arial" w:cs="Arial"/>
        </w:rPr>
        <w:t xml:space="preserve">on landfill sites.  The locational risk factors of the settlement require relocation to a safer environment.  Basic services </w:t>
      </w:r>
      <w:r w:rsidR="00682620" w:rsidRPr="004F42CD">
        <w:rPr>
          <w:rFonts w:ascii="Arial" w:hAnsi="Arial" w:cs="Arial"/>
        </w:rPr>
        <w:t xml:space="preserve">is </w:t>
      </w:r>
      <w:r w:rsidRPr="004F42CD">
        <w:rPr>
          <w:rFonts w:ascii="Arial" w:hAnsi="Arial" w:cs="Arial"/>
        </w:rPr>
        <w:t>provided in interim.</w:t>
      </w:r>
    </w:p>
    <w:p w:rsidR="009A4C2B" w:rsidRPr="004F42CD" w:rsidRDefault="009A4C2B" w:rsidP="009A4C2B">
      <w:pPr>
        <w:pStyle w:val="ListParagraph"/>
        <w:ind w:left="567" w:hanging="567"/>
        <w:rPr>
          <w:rFonts w:ascii="Arial" w:hAnsi="Arial" w:cs="Arial"/>
          <w:b/>
        </w:rPr>
      </w:pPr>
    </w:p>
    <w:p w:rsidR="00572885" w:rsidRPr="004F42CD" w:rsidRDefault="00692DB5" w:rsidP="00682620">
      <w:pPr>
        <w:pStyle w:val="ListParagraph"/>
        <w:numPr>
          <w:ilvl w:val="0"/>
          <w:numId w:val="10"/>
        </w:numPr>
        <w:spacing w:line="360" w:lineRule="auto"/>
        <w:ind w:hanging="720"/>
        <w:jc w:val="both"/>
        <w:rPr>
          <w:rFonts w:ascii="Arial" w:hAnsi="Arial" w:cs="Arial"/>
          <w:lang w:eastAsia="en-ZA"/>
        </w:rPr>
      </w:pPr>
      <w:r w:rsidRPr="004F42CD">
        <w:rPr>
          <w:rFonts w:ascii="Arial" w:hAnsi="Arial" w:cs="Arial"/>
          <w:lang w:eastAsia="en-ZA"/>
        </w:rPr>
        <w:t>Yes, the following budget allocation</w:t>
      </w:r>
      <w:r w:rsidR="00797DB9" w:rsidRPr="004F42CD">
        <w:rPr>
          <w:rFonts w:ascii="Arial" w:hAnsi="Arial" w:cs="Arial"/>
          <w:lang w:eastAsia="en-ZA"/>
        </w:rPr>
        <w:t>s were received</w:t>
      </w:r>
      <w:r w:rsidRPr="004F42CD">
        <w:rPr>
          <w:rFonts w:ascii="Arial" w:hAnsi="Arial" w:cs="Arial"/>
          <w:lang w:eastAsia="en-ZA"/>
        </w:rPr>
        <w:t xml:space="preserve"> for the upgrading of informal settlements:</w:t>
      </w:r>
    </w:p>
    <w:p w:rsidR="00797DB9" w:rsidRPr="004F42CD" w:rsidRDefault="00797DB9" w:rsidP="00797DB9">
      <w:pPr>
        <w:pStyle w:val="ListParagraph"/>
        <w:spacing w:line="360" w:lineRule="auto"/>
        <w:jc w:val="both"/>
        <w:rPr>
          <w:rFonts w:ascii="Arial" w:hAnsi="Arial" w:cs="Arial"/>
          <w:lang w:eastAsia="en-ZA"/>
        </w:rPr>
      </w:pPr>
    </w:p>
    <w:tbl>
      <w:tblPr>
        <w:tblStyle w:val="TableGrid"/>
        <w:tblW w:w="0" w:type="auto"/>
        <w:tblInd w:w="720" w:type="dxa"/>
        <w:tblLook w:val="04A0"/>
      </w:tblPr>
      <w:tblGrid>
        <w:gridCol w:w="4191"/>
        <w:gridCol w:w="4152"/>
      </w:tblGrid>
      <w:tr w:rsidR="00797DB9" w:rsidRPr="004F42CD" w:rsidTr="00797DB9">
        <w:tc>
          <w:tcPr>
            <w:tcW w:w="4191" w:type="dxa"/>
          </w:tcPr>
          <w:p w:rsidR="00797DB9" w:rsidRPr="004F42CD" w:rsidRDefault="00797DB9" w:rsidP="00797DB9">
            <w:pPr>
              <w:pStyle w:val="ListParagraph"/>
              <w:spacing w:line="360" w:lineRule="auto"/>
              <w:ind w:left="0"/>
              <w:jc w:val="center"/>
              <w:rPr>
                <w:rFonts w:ascii="Arial" w:hAnsi="Arial" w:cs="Arial"/>
                <w:b/>
                <w:lang w:eastAsia="en-ZA"/>
              </w:rPr>
            </w:pPr>
            <w:r w:rsidRPr="004F42CD">
              <w:rPr>
                <w:rFonts w:ascii="Arial" w:hAnsi="Arial" w:cs="Arial"/>
                <w:b/>
                <w:lang w:eastAsia="en-ZA"/>
              </w:rPr>
              <w:t>FINANCIAL YEAR</w:t>
            </w:r>
          </w:p>
        </w:tc>
        <w:tc>
          <w:tcPr>
            <w:tcW w:w="4152" w:type="dxa"/>
          </w:tcPr>
          <w:p w:rsidR="00797DB9" w:rsidRPr="004F42CD" w:rsidRDefault="00797DB9" w:rsidP="00797DB9">
            <w:pPr>
              <w:pStyle w:val="ListParagraph"/>
              <w:spacing w:line="360" w:lineRule="auto"/>
              <w:ind w:left="0"/>
              <w:jc w:val="center"/>
              <w:rPr>
                <w:rFonts w:ascii="Arial" w:hAnsi="Arial" w:cs="Arial"/>
                <w:b/>
                <w:lang w:eastAsia="en-ZA"/>
              </w:rPr>
            </w:pPr>
            <w:r w:rsidRPr="004F42CD">
              <w:rPr>
                <w:rFonts w:ascii="Arial" w:hAnsi="Arial" w:cs="Arial"/>
                <w:b/>
                <w:lang w:eastAsia="en-ZA"/>
              </w:rPr>
              <w:t>BUDGET</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2021/22</w:t>
            </w:r>
          </w:p>
        </w:tc>
        <w:tc>
          <w:tcPr>
            <w:tcW w:w="4152" w:type="dxa"/>
          </w:tcPr>
          <w:p w:rsidR="00797DB9" w:rsidRPr="004F42CD" w:rsidRDefault="00797DB9" w:rsidP="00797DB9">
            <w:pPr>
              <w:rPr>
                <w:rFonts w:ascii="Arial" w:hAnsi="Arial" w:cs="Arial"/>
              </w:rPr>
            </w:pPr>
            <w:r w:rsidRPr="004F42CD">
              <w:rPr>
                <w:rFonts w:ascii="Arial" w:hAnsi="Arial" w:cs="Arial"/>
              </w:rPr>
              <w:t>R316 521 045</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2020/21</w:t>
            </w:r>
          </w:p>
        </w:tc>
        <w:tc>
          <w:tcPr>
            <w:tcW w:w="4152" w:type="dxa"/>
          </w:tcPr>
          <w:p w:rsidR="00797DB9" w:rsidRPr="004F42CD" w:rsidRDefault="00797DB9" w:rsidP="00797DB9">
            <w:pPr>
              <w:rPr>
                <w:rFonts w:ascii="Arial" w:hAnsi="Arial" w:cs="Arial"/>
              </w:rPr>
            </w:pPr>
            <w:r w:rsidRPr="004F42CD">
              <w:rPr>
                <w:rFonts w:ascii="Arial" w:hAnsi="Arial" w:cs="Arial"/>
              </w:rPr>
              <w:t>R242 535 817</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2019/20</w:t>
            </w:r>
          </w:p>
        </w:tc>
        <w:tc>
          <w:tcPr>
            <w:tcW w:w="4152" w:type="dxa"/>
          </w:tcPr>
          <w:p w:rsidR="00797DB9" w:rsidRPr="004F42CD" w:rsidRDefault="00797DB9" w:rsidP="00797DB9">
            <w:pPr>
              <w:rPr>
                <w:rFonts w:ascii="Arial" w:hAnsi="Arial" w:cs="Arial"/>
              </w:rPr>
            </w:pPr>
            <w:r w:rsidRPr="004F42CD">
              <w:rPr>
                <w:rFonts w:ascii="Arial" w:hAnsi="Arial" w:cs="Arial"/>
              </w:rPr>
              <w:t>R204 423 506</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2018/19</w:t>
            </w:r>
          </w:p>
        </w:tc>
        <w:tc>
          <w:tcPr>
            <w:tcW w:w="4152" w:type="dxa"/>
          </w:tcPr>
          <w:p w:rsidR="00797DB9" w:rsidRPr="004F42CD" w:rsidRDefault="00797DB9" w:rsidP="00797DB9">
            <w:pPr>
              <w:rPr>
                <w:rFonts w:ascii="Arial" w:hAnsi="Arial" w:cs="Arial"/>
              </w:rPr>
            </w:pPr>
            <w:r w:rsidRPr="004F42CD">
              <w:rPr>
                <w:rFonts w:ascii="Arial" w:hAnsi="Arial" w:cs="Arial"/>
              </w:rPr>
              <w:t>R159 409 166</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2017/18</w:t>
            </w:r>
          </w:p>
        </w:tc>
        <w:tc>
          <w:tcPr>
            <w:tcW w:w="4152" w:type="dxa"/>
          </w:tcPr>
          <w:p w:rsidR="00797DB9" w:rsidRPr="004F42CD" w:rsidRDefault="00797DB9" w:rsidP="00797DB9">
            <w:pPr>
              <w:rPr>
                <w:rFonts w:ascii="Arial" w:hAnsi="Arial" w:cs="Arial"/>
              </w:rPr>
            </w:pPr>
            <w:r w:rsidRPr="004F42CD">
              <w:rPr>
                <w:rFonts w:ascii="Arial" w:hAnsi="Arial" w:cs="Arial"/>
              </w:rPr>
              <w:t>R194 899 707</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2016/17</w:t>
            </w:r>
          </w:p>
        </w:tc>
        <w:tc>
          <w:tcPr>
            <w:tcW w:w="4152" w:type="dxa"/>
          </w:tcPr>
          <w:p w:rsidR="00797DB9" w:rsidRPr="004F42CD" w:rsidRDefault="00797DB9" w:rsidP="00797DB9">
            <w:pPr>
              <w:rPr>
                <w:rFonts w:ascii="Arial" w:hAnsi="Arial" w:cs="Arial"/>
              </w:rPr>
            </w:pPr>
            <w:r w:rsidRPr="004F42CD">
              <w:rPr>
                <w:rFonts w:ascii="Arial" w:hAnsi="Arial" w:cs="Arial"/>
              </w:rPr>
              <w:t>R117 546 392</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2015/16</w:t>
            </w:r>
          </w:p>
        </w:tc>
        <w:tc>
          <w:tcPr>
            <w:tcW w:w="4152" w:type="dxa"/>
          </w:tcPr>
          <w:p w:rsidR="00797DB9" w:rsidRPr="004F42CD" w:rsidRDefault="00797DB9" w:rsidP="00797DB9">
            <w:pPr>
              <w:rPr>
                <w:rFonts w:ascii="Arial" w:hAnsi="Arial" w:cs="Arial"/>
              </w:rPr>
            </w:pPr>
            <w:r w:rsidRPr="004F42CD">
              <w:rPr>
                <w:rFonts w:ascii="Arial" w:hAnsi="Arial" w:cs="Arial"/>
              </w:rPr>
              <w:t>R58 600 165</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2014/15</w:t>
            </w:r>
          </w:p>
        </w:tc>
        <w:tc>
          <w:tcPr>
            <w:tcW w:w="4152" w:type="dxa"/>
          </w:tcPr>
          <w:p w:rsidR="00797DB9" w:rsidRPr="004F42CD" w:rsidRDefault="00797DB9" w:rsidP="00797DB9">
            <w:pPr>
              <w:rPr>
                <w:rFonts w:ascii="Arial" w:hAnsi="Arial" w:cs="Arial"/>
              </w:rPr>
            </w:pPr>
            <w:r w:rsidRPr="004F42CD">
              <w:rPr>
                <w:rFonts w:ascii="Arial" w:hAnsi="Arial" w:cs="Arial"/>
              </w:rPr>
              <w:t>R85 917 567</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2013/14</w:t>
            </w:r>
          </w:p>
        </w:tc>
        <w:tc>
          <w:tcPr>
            <w:tcW w:w="4152" w:type="dxa"/>
          </w:tcPr>
          <w:p w:rsidR="00797DB9" w:rsidRPr="004F42CD" w:rsidRDefault="00797DB9" w:rsidP="00797DB9">
            <w:pPr>
              <w:rPr>
                <w:rFonts w:ascii="Arial" w:hAnsi="Arial" w:cs="Arial"/>
              </w:rPr>
            </w:pPr>
            <w:r w:rsidRPr="004F42CD">
              <w:rPr>
                <w:rFonts w:ascii="Arial" w:hAnsi="Arial" w:cs="Arial"/>
              </w:rPr>
              <w:t>R97 658 338</w:t>
            </w:r>
          </w:p>
        </w:tc>
      </w:tr>
      <w:tr w:rsidR="00797DB9" w:rsidRPr="004F42CD" w:rsidTr="00797DB9">
        <w:tc>
          <w:tcPr>
            <w:tcW w:w="4191" w:type="dxa"/>
          </w:tcPr>
          <w:p w:rsidR="00797DB9" w:rsidRPr="004F42CD" w:rsidRDefault="00797DB9" w:rsidP="00797DB9">
            <w:pPr>
              <w:rPr>
                <w:rFonts w:ascii="Arial" w:hAnsi="Arial" w:cs="Arial"/>
              </w:rPr>
            </w:pPr>
            <w:r w:rsidRPr="004F42CD">
              <w:rPr>
                <w:rFonts w:ascii="Arial" w:hAnsi="Arial" w:cs="Arial"/>
              </w:rPr>
              <w:t>2012/13</w:t>
            </w:r>
          </w:p>
        </w:tc>
        <w:tc>
          <w:tcPr>
            <w:tcW w:w="4152" w:type="dxa"/>
          </w:tcPr>
          <w:p w:rsidR="00797DB9" w:rsidRPr="004F42CD" w:rsidRDefault="00797DB9" w:rsidP="00797DB9">
            <w:pPr>
              <w:rPr>
                <w:rFonts w:ascii="Arial" w:hAnsi="Arial" w:cs="Arial"/>
              </w:rPr>
            </w:pPr>
            <w:r w:rsidRPr="004F42CD">
              <w:rPr>
                <w:rFonts w:ascii="Arial" w:hAnsi="Arial" w:cs="Arial"/>
              </w:rPr>
              <w:t>R27 654 000</w:t>
            </w:r>
          </w:p>
        </w:tc>
      </w:tr>
    </w:tbl>
    <w:p w:rsidR="00797DB9" w:rsidRPr="004F42CD" w:rsidRDefault="00797DB9" w:rsidP="00797DB9">
      <w:pPr>
        <w:pStyle w:val="ListParagraph"/>
        <w:spacing w:line="360" w:lineRule="auto"/>
        <w:jc w:val="both"/>
        <w:rPr>
          <w:rFonts w:ascii="Arial" w:hAnsi="Arial" w:cs="Arial"/>
          <w:lang w:eastAsia="en-ZA"/>
        </w:rPr>
      </w:pPr>
    </w:p>
    <w:p w:rsidR="00BF3FD3" w:rsidRPr="004F42CD" w:rsidRDefault="00744EF5" w:rsidP="00744EF5">
      <w:pPr>
        <w:pStyle w:val="ListParagraph"/>
        <w:numPr>
          <w:ilvl w:val="0"/>
          <w:numId w:val="12"/>
        </w:numPr>
        <w:spacing w:line="360" w:lineRule="auto"/>
        <w:jc w:val="both"/>
        <w:rPr>
          <w:rFonts w:ascii="Arial" w:hAnsi="Arial" w:cs="Arial"/>
          <w:lang w:eastAsia="en-ZA"/>
        </w:rPr>
      </w:pPr>
      <w:r w:rsidRPr="004F42CD">
        <w:rPr>
          <w:rFonts w:ascii="Arial" w:hAnsi="Arial" w:cs="Arial"/>
          <w:lang w:eastAsia="en-ZA"/>
        </w:rPr>
        <w:t xml:space="preserve">The funding received for the upgrading of informal settlements were utilised for settlements where planning approvals were obtained, de-densification could be achieved for in-situ upgrading as per the UISP approach.  Not all settlements are suitable </w:t>
      </w:r>
      <w:r w:rsidR="00873024" w:rsidRPr="004F42CD">
        <w:rPr>
          <w:rFonts w:ascii="Arial" w:hAnsi="Arial" w:cs="Arial"/>
          <w:lang w:eastAsia="en-ZA"/>
        </w:rPr>
        <w:t>for</w:t>
      </w:r>
      <w:r w:rsidRPr="004F42CD">
        <w:rPr>
          <w:rFonts w:ascii="Arial" w:hAnsi="Arial" w:cs="Arial"/>
          <w:lang w:eastAsia="en-ZA"/>
        </w:rPr>
        <w:t xml:space="preserve"> upgrading and a vast number is inappropriately located e.g. in rail reserve, over bulk infrastructure line, under ESKOM power lines or in flood prone locations.   These types of settlements will need to be relocated in totality.  The other factor is to find well located land suitable for residential development which is not necessarily located on the outskirts of the city far away from any job opportunity of social facility.</w:t>
      </w:r>
    </w:p>
    <w:p w:rsidR="00744EF5" w:rsidRPr="004F42CD" w:rsidRDefault="00744EF5" w:rsidP="00744EF5">
      <w:pPr>
        <w:pStyle w:val="ListParagraph"/>
        <w:numPr>
          <w:ilvl w:val="0"/>
          <w:numId w:val="12"/>
        </w:numPr>
        <w:spacing w:line="360" w:lineRule="auto"/>
        <w:jc w:val="both"/>
        <w:rPr>
          <w:rFonts w:ascii="Arial" w:hAnsi="Arial" w:cs="Arial"/>
          <w:lang w:eastAsia="en-ZA"/>
        </w:rPr>
      </w:pPr>
      <w:r w:rsidRPr="004F42CD">
        <w:rPr>
          <w:rFonts w:ascii="Arial" w:hAnsi="Arial" w:cs="Arial"/>
          <w:lang w:eastAsia="en-ZA"/>
        </w:rPr>
        <w:t xml:space="preserve">The growth in informality is part of the urbanisation process taking place across all urban centres in the country.  The growth in the demand for housing in </w:t>
      </w:r>
      <w:r w:rsidR="00873024" w:rsidRPr="004F42CD">
        <w:rPr>
          <w:rFonts w:ascii="Arial" w:hAnsi="Arial" w:cs="Arial"/>
          <w:lang w:eastAsia="en-ZA"/>
        </w:rPr>
        <w:t xml:space="preserve">the City of </w:t>
      </w:r>
      <w:r w:rsidRPr="004F42CD">
        <w:rPr>
          <w:rFonts w:ascii="Arial" w:hAnsi="Arial" w:cs="Arial"/>
          <w:lang w:eastAsia="en-ZA"/>
        </w:rPr>
        <w:t>Cape Town outstrip the production of housing opportunities by the city, province and the private sector.  Lastly the negative economic conditions</w:t>
      </w:r>
      <w:r w:rsidR="00873024" w:rsidRPr="004F42CD">
        <w:rPr>
          <w:rFonts w:ascii="Arial" w:hAnsi="Arial" w:cs="Arial"/>
          <w:lang w:eastAsia="en-ZA"/>
        </w:rPr>
        <w:t>, such as the</w:t>
      </w:r>
      <w:r w:rsidRPr="004F42CD">
        <w:rPr>
          <w:rFonts w:ascii="Arial" w:hAnsi="Arial" w:cs="Arial"/>
          <w:lang w:eastAsia="en-ZA"/>
        </w:rPr>
        <w:t xml:space="preserve"> increase in job losses under Covid</w:t>
      </w:r>
      <w:r w:rsidR="00873024" w:rsidRPr="004F42CD">
        <w:rPr>
          <w:rFonts w:ascii="Arial" w:hAnsi="Arial" w:cs="Arial"/>
          <w:lang w:eastAsia="en-ZA"/>
        </w:rPr>
        <w:t xml:space="preserve"> 19</w:t>
      </w:r>
      <w:r w:rsidRPr="004F42CD">
        <w:rPr>
          <w:rFonts w:ascii="Arial" w:hAnsi="Arial" w:cs="Arial"/>
          <w:lang w:eastAsia="en-ZA"/>
        </w:rPr>
        <w:t xml:space="preserve"> the country has been experiencing has led to more people not being in a position to pay rent for formal or informal locations and thus resulting in growth of informal settlements.   </w:t>
      </w:r>
    </w:p>
    <w:p w:rsidR="00E17977" w:rsidRDefault="00E17977" w:rsidP="00B72461">
      <w:pPr>
        <w:pStyle w:val="ListParagraph"/>
        <w:spacing w:line="360" w:lineRule="auto"/>
        <w:ind w:left="810" w:hanging="450"/>
        <w:jc w:val="both"/>
        <w:rPr>
          <w:lang w:eastAsia="en-ZA"/>
        </w:rPr>
      </w:pPr>
    </w:p>
    <w:p w:rsidR="00E17977" w:rsidRDefault="00E17977" w:rsidP="00B72461">
      <w:pPr>
        <w:pStyle w:val="ListParagraph"/>
        <w:spacing w:line="360" w:lineRule="auto"/>
        <w:ind w:left="810" w:hanging="450"/>
        <w:jc w:val="both"/>
        <w:rPr>
          <w:lang w:eastAsia="en-ZA"/>
        </w:rPr>
      </w:pPr>
    </w:p>
    <w:p w:rsidR="00E17977" w:rsidRDefault="00E17977" w:rsidP="00B72461">
      <w:pPr>
        <w:pStyle w:val="ListParagraph"/>
        <w:spacing w:line="360" w:lineRule="auto"/>
        <w:ind w:left="810" w:hanging="450"/>
        <w:jc w:val="both"/>
        <w:rPr>
          <w:lang w:eastAsia="en-ZA"/>
        </w:rPr>
      </w:pPr>
    </w:p>
    <w:p w:rsidR="003E69BC" w:rsidRDefault="003E69BC" w:rsidP="00B72461">
      <w:pPr>
        <w:pStyle w:val="ListParagraph"/>
        <w:spacing w:line="360" w:lineRule="auto"/>
        <w:ind w:left="810" w:hanging="450"/>
        <w:jc w:val="both"/>
        <w:rPr>
          <w:lang w:eastAsia="en-ZA"/>
        </w:rPr>
      </w:pPr>
    </w:p>
    <w:p w:rsidR="004247B7" w:rsidRDefault="004247B7" w:rsidP="00B72461">
      <w:pPr>
        <w:pStyle w:val="ListParagraph"/>
        <w:spacing w:line="360" w:lineRule="auto"/>
        <w:ind w:left="810" w:hanging="450"/>
        <w:jc w:val="both"/>
        <w:rPr>
          <w:lang w:eastAsia="en-ZA"/>
        </w:rPr>
      </w:pPr>
    </w:p>
    <w:p w:rsidR="004247B7" w:rsidRDefault="004247B7" w:rsidP="00B72461">
      <w:pPr>
        <w:pStyle w:val="ListParagraph"/>
        <w:spacing w:line="360" w:lineRule="auto"/>
        <w:ind w:left="810" w:hanging="450"/>
        <w:jc w:val="both"/>
        <w:rPr>
          <w:lang w:eastAsia="en-ZA"/>
        </w:rPr>
      </w:pPr>
    </w:p>
    <w:p w:rsidR="004247B7" w:rsidRDefault="004247B7" w:rsidP="00B72461">
      <w:pPr>
        <w:pStyle w:val="ListParagraph"/>
        <w:spacing w:line="360" w:lineRule="auto"/>
        <w:ind w:left="810" w:hanging="450"/>
        <w:jc w:val="both"/>
        <w:rPr>
          <w:lang w:eastAsia="en-ZA"/>
        </w:rPr>
      </w:pPr>
    </w:p>
    <w:p w:rsidR="00744EF5" w:rsidRDefault="00744EF5" w:rsidP="00C753E6">
      <w:pPr>
        <w:tabs>
          <w:tab w:val="left" w:pos="432"/>
          <w:tab w:val="left" w:pos="864"/>
        </w:tabs>
        <w:spacing w:before="100" w:beforeAutospacing="1" w:line="360" w:lineRule="auto"/>
        <w:jc w:val="center"/>
        <w:rPr>
          <w:b/>
        </w:rPr>
      </w:pPr>
    </w:p>
    <w:p w:rsidR="003B072C" w:rsidRPr="00BE245E" w:rsidRDefault="003B072C" w:rsidP="00BE245E">
      <w:pPr>
        <w:spacing w:line="360" w:lineRule="auto"/>
        <w:jc w:val="both"/>
        <w:rPr>
          <w:b/>
        </w:rPr>
      </w:pPr>
    </w:p>
    <w:sectPr w:rsidR="003B072C" w:rsidRPr="00BE245E" w:rsidSect="006D7226">
      <w:pgSz w:w="11909" w:h="16834" w:code="9"/>
      <w:pgMar w:top="899" w:right="1418" w:bottom="719"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3F0"/>
    <w:multiLevelType w:val="hybridMultilevel"/>
    <w:tmpl w:val="4A1C7DE8"/>
    <w:lvl w:ilvl="0" w:tplc="4134B56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FE2091"/>
    <w:multiLevelType w:val="hybridMultilevel"/>
    <w:tmpl w:val="9224E9BA"/>
    <w:lvl w:ilvl="0" w:tplc="3A8A307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23A09"/>
    <w:multiLevelType w:val="hybridMultilevel"/>
    <w:tmpl w:val="B32AD4D4"/>
    <w:lvl w:ilvl="0" w:tplc="64569744">
      <w:start w:val="1"/>
      <w:numFmt w:val="lowerLetter"/>
      <w:lvlText w:val="(%1)"/>
      <w:lvlJc w:val="left"/>
      <w:pPr>
        <w:ind w:left="928" w:hanging="360"/>
      </w:pPr>
      <w:rPr>
        <w:rFonts w:hint="default"/>
      </w:rPr>
    </w:lvl>
    <w:lvl w:ilvl="1" w:tplc="1C090019" w:tentative="1">
      <w:start w:val="1"/>
      <w:numFmt w:val="lowerLetter"/>
      <w:lvlText w:val="%2."/>
      <w:lvlJc w:val="left"/>
      <w:pPr>
        <w:ind w:left="1648" w:hanging="360"/>
      </w:pPr>
    </w:lvl>
    <w:lvl w:ilvl="2" w:tplc="1C09001B" w:tentative="1">
      <w:start w:val="1"/>
      <w:numFmt w:val="lowerRoman"/>
      <w:lvlText w:val="%3."/>
      <w:lvlJc w:val="right"/>
      <w:pPr>
        <w:ind w:left="2368" w:hanging="180"/>
      </w:pPr>
    </w:lvl>
    <w:lvl w:ilvl="3" w:tplc="1C09000F" w:tentative="1">
      <w:start w:val="1"/>
      <w:numFmt w:val="decimal"/>
      <w:lvlText w:val="%4."/>
      <w:lvlJc w:val="left"/>
      <w:pPr>
        <w:ind w:left="3088" w:hanging="360"/>
      </w:pPr>
    </w:lvl>
    <w:lvl w:ilvl="4" w:tplc="1C090019" w:tentative="1">
      <w:start w:val="1"/>
      <w:numFmt w:val="lowerLetter"/>
      <w:lvlText w:val="%5."/>
      <w:lvlJc w:val="left"/>
      <w:pPr>
        <w:ind w:left="3808" w:hanging="360"/>
      </w:pPr>
    </w:lvl>
    <w:lvl w:ilvl="5" w:tplc="1C09001B" w:tentative="1">
      <w:start w:val="1"/>
      <w:numFmt w:val="lowerRoman"/>
      <w:lvlText w:val="%6."/>
      <w:lvlJc w:val="right"/>
      <w:pPr>
        <w:ind w:left="4528" w:hanging="180"/>
      </w:pPr>
    </w:lvl>
    <w:lvl w:ilvl="6" w:tplc="1C09000F" w:tentative="1">
      <w:start w:val="1"/>
      <w:numFmt w:val="decimal"/>
      <w:lvlText w:val="%7."/>
      <w:lvlJc w:val="left"/>
      <w:pPr>
        <w:ind w:left="5248" w:hanging="360"/>
      </w:pPr>
    </w:lvl>
    <w:lvl w:ilvl="7" w:tplc="1C090019" w:tentative="1">
      <w:start w:val="1"/>
      <w:numFmt w:val="lowerLetter"/>
      <w:lvlText w:val="%8."/>
      <w:lvlJc w:val="left"/>
      <w:pPr>
        <w:ind w:left="5968" w:hanging="360"/>
      </w:pPr>
    </w:lvl>
    <w:lvl w:ilvl="8" w:tplc="1C09001B" w:tentative="1">
      <w:start w:val="1"/>
      <w:numFmt w:val="lowerRoman"/>
      <w:lvlText w:val="%9."/>
      <w:lvlJc w:val="right"/>
      <w:pPr>
        <w:ind w:left="6688" w:hanging="180"/>
      </w:pPr>
    </w:lvl>
  </w:abstractNum>
  <w:abstractNum w:abstractNumId="3">
    <w:nsid w:val="43E5714D"/>
    <w:multiLevelType w:val="hybridMultilevel"/>
    <w:tmpl w:val="C1AA22FA"/>
    <w:lvl w:ilvl="0" w:tplc="581C7E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A17070F"/>
    <w:multiLevelType w:val="hybridMultilevel"/>
    <w:tmpl w:val="29423F90"/>
    <w:lvl w:ilvl="0" w:tplc="FCEEF58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E6A88"/>
    <w:multiLevelType w:val="hybridMultilevel"/>
    <w:tmpl w:val="BE1A97F0"/>
    <w:lvl w:ilvl="0" w:tplc="0FAEFC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6DD2E12"/>
    <w:multiLevelType w:val="hybridMultilevel"/>
    <w:tmpl w:val="563000C4"/>
    <w:lvl w:ilvl="0" w:tplc="E258EDB4">
      <w:start w:val="286"/>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BA75523"/>
    <w:multiLevelType w:val="hybridMultilevel"/>
    <w:tmpl w:val="662C3D7A"/>
    <w:lvl w:ilvl="0" w:tplc="5BCE6AF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F931AE"/>
    <w:multiLevelType w:val="hybridMultilevel"/>
    <w:tmpl w:val="DC1A95AC"/>
    <w:lvl w:ilvl="0" w:tplc="22F8DE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46CDD"/>
    <w:multiLevelType w:val="hybridMultilevel"/>
    <w:tmpl w:val="8D987194"/>
    <w:lvl w:ilvl="0" w:tplc="5192CD9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730A1C71"/>
    <w:multiLevelType w:val="hybridMultilevel"/>
    <w:tmpl w:val="89528BA0"/>
    <w:lvl w:ilvl="0" w:tplc="8E98EC6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B45FCB"/>
    <w:multiLevelType w:val="hybridMultilevel"/>
    <w:tmpl w:val="8928254C"/>
    <w:lvl w:ilvl="0" w:tplc="C100C2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4"/>
  </w:num>
  <w:num w:numId="3">
    <w:abstractNumId w:val="2"/>
  </w:num>
  <w:num w:numId="4">
    <w:abstractNumId w:val="8"/>
  </w:num>
  <w:num w:numId="5">
    <w:abstractNumId w:val="0"/>
  </w:num>
  <w:num w:numId="6">
    <w:abstractNumId w:val="5"/>
  </w:num>
  <w:num w:numId="7">
    <w:abstractNumId w:val="9"/>
  </w:num>
  <w:num w:numId="8">
    <w:abstractNumId w:val="1"/>
  </w:num>
  <w:num w:numId="9">
    <w:abstractNumId w:val="7"/>
  </w:num>
  <w:num w:numId="10">
    <w:abstractNumId w:val="11"/>
  </w:num>
  <w:num w:numId="11">
    <w:abstractNumId w:val="6"/>
  </w:num>
  <w:num w:numId="1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savePreviewPicture/>
  <w:compat/>
  <w:rsids>
    <w:rsidRoot w:val="001433AE"/>
    <w:rsid w:val="000174E5"/>
    <w:rsid w:val="00020D51"/>
    <w:rsid w:val="00022171"/>
    <w:rsid w:val="00026757"/>
    <w:rsid w:val="00045F9D"/>
    <w:rsid w:val="00050301"/>
    <w:rsid w:val="00053132"/>
    <w:rsid w:val="000576F3"/>
    <w:rsid w:val="00063069"/>
    <w:rsid w:val="00063BEC"/>
    <w:rsid w:val="000652CF"/>
    <w:rsid w:val="00071799"/>
    <w:rsid w:val="00071845"/>
    <w:rsid w:val="0007292E"/>
    <w:rsid w:val="00074776"/>
    <w:rsid w:val="00075BCC"/>
    <w:rsid w:val="00080D68"/>
    <w:rsid w:val="00087A5E"/>
    <w:rsid w:val="00096501"/>
    <w:rsid w:val="000A03E4"/>
    <w:rsid w:val="000A0798"/>
    <w:rsid w:val="000A77BE"/>
    <w:rsid w:val="000B0B7B"/>
    <w:rsid w:val="000B0E98"/>
    <w:rsid w:val="000B234D"/>
    <w:rsid w:val="000B3B21"/>
    <w:rsid w:val="000C0817"/>
    <w:rsid w:val="000C41F5"/>
    <w:rsid w:val="000C503F"/>
    <w:rsid w:val="000D06AF"/>
    <w:rsid w:val="000D59A0"/>
    <w:rsid w:val="000D7C55"/>
    <w:rsid w:val="000E1CD9"/>
    <w:rsid w:val="000E2111"/>
    <w:rsid w:val="000E2630"/>
    <w:rsid w:val="000E351B"/>
    <w:rsid w:val="000E44A0"/>
    <w:rsid w:val="000E5DDF"/>
    <w:rsid w:val="000F480A"/>
    <w:rsid w:val="00102AC1"/>
    <w:rsid w:val="001047DD"/>
    <w:rsid w:val="0010488F"/>
    <w:rsid w:val="0010698C"/>
    <w:rsid w:val="00110A8D"/>
    <w:rsid w:val="001126AD"/>
    <w:rsid w:val="001131D9"/>
    <w:rsid w:val="00115721"/>
    <w:rsid w:val="00120022"/>
    <w:rsid w:val="00123B58"/>
    <w:rsid w:val="00131044"/>
    <w:rsid w:val="00132035"/>
    <w:rsid w:val="00132165"/>
    <w:rsid w:val="00134EAF"/>
    <w:rsid w:val="00136FA3"/>
    <w:rsid w:val="00136FAA"/>
    <w:rsid w:val="001377E4"/>
    <w:rsid w:val="001433AE"/>
    <w:rsid w:val="00145113"/>
    <w:rsid w:val="0016035C"/>
    <w:rsid w:val="001630D3"/>
    <w:rsid w:val="00166953"/>
    <w:rsid w:val="001701FC"/>
    <w:rsid w:val="00173318"/>
    <w:rsid w:val="00182F5E"/>
    <w:rsid w:val="001841CE"/>
    <w:rsid w:val="0018726A"/>
    <w:rsid w:val="00187B76"/>
    <w:rsid w:val="001912E4"/>
    <w:rsid w:val="001A63B6"/>
    <w:rsid w:val="001B2946"/>
    <w:rsid w:val="001C77F9"/>
    <w:rsid w:val="001E19F0"/>
    <w:rsid w:val="001E23CA"/>
    <w:rsid w:val="001E2455"/>
    <w:rsid w:val="001E6902"/>
    <w:rsid w:val="001F1E97"/>
    <w:rsid w:val="001F223B"/>
    <w:rsid w:val="001F7B2C"/>
    <w:rsid w:val="002016F3"/>
    <w:rsid w:val="00204862"/>
    <w:rsid w:val="00204FF3"/>
    <w:rsid w:val="0020542D"/>
    <w:rsid w:val="002064A5"/>
    <w:rsid w:val="00206C1A"/>
    <w:rsid w:val="0021081B"/>
    <w:rsid w:val="002108D9"/>
    <w:rsid w:val="00211947"/>
    <w:rsid w:val="0021673A"/>
    <w:rsid w:val="002202C0"/>
    <w:rsid w:val="00220A80"/>
    <w:rsid w:val="00232C84"/>
    <w:rsid w:val="002339EB"/>
    <w:rsid w:val="0023735A"/>
    <w:rsid w:val="00241FF0"/>
    <w:rsid w:val="00243194"/>
    <w:rsid w:val="00247658"/>
    <w:rsid w:val="00252C87"/>
    <w:rsid w:val="00253548"/>
    <w:rsid w:val="002549F9"/>
    <w:rsid w:val="002576FA"/>
    <w:rsid w:val="00260F40"/>
    <w:rsid w:val="002615E8"/>
    <w:rsid w:val="00270EFD"/>
    <w:rsid w:val="00281592"/>
    <w:rsid w:val="00281699"/>
    <w:rsid w:val="0028289F"/>
    <w:rsid w:val="0028754A"/>
    <w:rsid w:val="002956E3"/>
    <w:rsid w:val="002964BE"/>
    <w:rsid w:val="00296AED"/>
    <w:rsid w:val="00296DDA"/>
    <w:rsid w:val="002A3C5D"/>
    <w:rsid w:val="002A5054"/>
    <w:rsid w:val="002A5B1D"/>
    <w:rsid w:val="002A5BD6"/>
    <w:rsid w:val="002A603C"/>
    <w:rsid w:val="002A67BC"/>
    <w:rsid w:val="002B0E22"/>
    <w:rsid w:val="002B2A5A"/>
    <w:rsid w:val="002B2A6C"/>
    <w:rsid w:val="002B35F4"/>
    <w:rsid w:val="002B71FA"/>
    <w:rsid w:val="002C02A3"/>
    <w:rsid w:val="002C0739"/>
    <w:rsid w:val="002C24CE"/>
    <w:rsid w:val="002C631D"/>
    <w:rsid w:val="002C6C90"/>
    <w:rsid w:val="002D008B"/>
    <w:rsid w:val="002D0799"/>
    <w:rsid w:val="002D0F46"/>
    <w:rsid w:val="002D5902"/>
    <w:rsid w:val="002E2EB5"/>
    <w:rsid w:val="002E7D24"/>
    <w:rsid w:val="002F23E4"/>
    <w:rsid w:val="002F5614"/>
    <w:rsid w:val="002F5E69"/>
    <w:rsid w:val="003014D4"/>
    <w:rsid w:val="003023BD"/>
    <w:rsid w:val="00303310"/>
    <w:rsid w:val="0030386E"/>
    <w:rsid w:val="00307F7E"/>
    <w:rsid w:val="00310087"/>
    <w:rsid w:val="00310AE4"/>
    <w:rsid w:val="00310C5A"/>
    <w:rsid w:val="00312EAF"/>
    <w:rsid w:val="00316502"/>
    <w:rsid w:val="003229DE"/>
    <w:rsid w:val="0032410D"/>
    <w:rsid w:val="00327F7B"/>
    <w:rsid w:val="00345DF8"/>
    <w:rsid w:val="0035038D"/>
    <w:rsid w:val="00356530"/>
    <w:rsid w:val="00357C23"/>
    <w:rsid w:val="00357D0D"/>
    <w:rsid w:val="00362123"/>
    <w:rsid w:val="003713FA"/>
    <w:rsid w:val="00377298"/>
    <w:rsid w:val="00382C77"/>
    <w:rsid w:val="00384F30"/>
    <w:rsid w:val="00395B3E"/>
    <w:rsid w:val="003A2E1F"/>
    <w:rsid w:val="003A7A5F"/>
    <w:rsid w:val="003B072C"/>
    <w:rsid w:val="003B70C7"/>
    <w:rsid w:val="003C08B6"/>
    <w:rsid w:val="003C3D38"/>
    <w:rsid w:val="003C47FC"/>
    <w:rsid w:val="003C76D2"/>
    <w:rsid w:val="003D4C63"/>
    <w:rsid w:val="003D73C1"/>
    <w:rsid w:val="003E1DCB"/>
    <w:rsid w:val="003E69BC"/>
    <w:rsid w:val="003E740E"/>
    <w:rsid w:val="003F0AC4"/>
    <w:rsid w:val="003F4E00"/>
    <w:rsid w:val="00402A66"/>
    <w:rsid w:val="004032FB"/>
    <w:rsid w:val="004247B7"/>
    <w:rsid w:val="004273F4"/>
    <w:rsid w:val="00427411"/>
    <w:rsid w:val="0043086E"/>
    <w:rsid w:val="00433463"/>
    <w:rsid w:val="004334EE"/>
    <w:rsid w:val="0045212C"/>
    <w:rsid w:val="0045353D"/>
    <w:rsid w:val="00454205"/>
    <w:rsid w:val="00461060"/>
    <w:rsid w:val="00463681"/>
    <w:rsid w:val="0046543B"/>
    <w:rsid w:val="00467CB5"/>
    <w:rsid w:val="00471B54"/>
    <w:rsid w:val="00473D21"/>
    <w:rsid w:val="0048061D"/>
    <w:rsid w:val="00490796"/>
    <w:rsid w:val="00496B53"/>
    <w:rsid w:val="004A096E"/>
    <w:rsid w:val="004C1E13"/>
    <w:rsid w:val="004C62D7"/>
    <w:rsid w:val="004C6411"/>
    <w:rsid w:val="004D3238"/>
    <w:rsid w:val="004D4607"/>
    <w:rsid w:val="004E0FE4"/>
    <w:rsid w:val="004E2B4E"/>
    <w:rsid w:val="004E5620"/>
    <w:rsid w:val="004E78A1"/>
    <w:rsid w:val="004F31C3"/>
    <w:rsid w:val="004F3E21"/>
    <w:rsid w:val="004F42CD"/>
    <w:rsid w:val="004F4EE8"/>
    <w:rsid w:val="005054FF"/>
    <w:rsid w:val="00513E65"/>
    <w:rsid w:val="005141B3"/>
    <w:rsid w:val="0052147D"/>
    <w:rsid w:val="00521621"/>
    <w:rsid w:val="0052245E"/>
    <w:rsid w:val="00524983"/>
    <w:rsid w:val="005249F1"/>
    <w:rsid w:val="005260B0"/>
    <w:rsid w:val="0052772E"/>
    <w:rsid w:val="00536BCB"/>
    <w:rsid w:val="005370B3"/>
    <w:rsid w:val="005518C8"/>
    <w:rsid w:val="0055475C"/>
    <w:rsid w:val="00554EE1"/>
    <w:rsid w:val="0056055F"/>
    <w:rsid w:val="0056318D"/>
    <w:rsid w:val="005638C5"/>
    <w:rsid w:val="00572885"/>
    <w:rsid w:val="00575E94"/>
    <w:rsid w:val="00580FCB"/>
    <w:rsid w:val="005853FE"/>
    <w:rsid w:val="0058640A"/>
    <w:rsid w:val="00592F77"/>
    <w:rsid w:val="005A1958"/>
    <w:rsid w:val="005A6D5E"/>
    <w:rsid w:val="005B0003"/>
    <w:rsid w:val="005B0FFA"/>
    <w:rsid w:val="005B1257"/>
    <w:rsid w:val="005B1288"/>
    <w:rsid w:val="005B3543"/>
    <w:rsid w:val="005B4FC8"/>
    <w:rsid w:val="005C49B0"/>
    <w:rsid w:val="005D0171"/>
    <w:rsid w:val="005E71A9"/>
    <w:rsid w:val="005F0E0D"/>
    <w:rsid w:val="005F1545"/>
    <w:rsid w:val="005F2221"/>
    <w:rsid w:val="005F5605"/>
    <w:rsid w:val="00600D90"/>
    <w:rsid w:val="006029C9"/>
    <w:rsid w:val="00603762"/>
    <w:rsid w:val="0060632C"/>
    <w:rsid w:val="006138FC"/>
    <w:rsid w:val="00613FC6"/>
    <w:rsid w:val="006223BC"/>
    <w:rsid w:val="00630FF4"/>
    <w:rsid w:val="006326C5"/>
    <w:rsid w:val="00633968"/>
    <w:rsid w:val="006409DB"/>
    <w:rsid w:val="00642372"/>
    <w:rsid w:val="006434B7"/>
    <w:rsid w:val="006449EA"/>
    <w:rsid w:val="00644B5E"/>
    <w:rsid w:val="00646FC2"/>
    <w:rsid w:val="0065428D"/>
    <w:rsid w:val="00662C25"/>
    <w:rsid w:val="00663F97"/>
    <w:rsid w:val="0067599F"/>
    <w:rsid w:val="00682620"/>
    <w:rsid w:val="0068459F"/>
    <w:rsid w:val="00691B97"/>
    <w:rsid w:val="00692DB5"/>
    <w:rsid w:val="00695A9A"/>
    <w:rsid w:val="00696317"/>
    <w:rsid w:val="006A194B"/>
    <w:rsid w:val="006B1504"/>
    <w:rsid w:val="006D1B00"/>
    <w:rsid w:val="006D28F8"/>
    <w:rsid w:val="006D7226"/>
    <w:rsid w:val="006D7B1B"/>
    <w:rsid w:val="006E06C1"/>
    <w:rsid w:val="006E44D1"/>
    <w:rsid w:val="006F1EBA"/>
    <w:rsid w:val="006F2CEE"/>
    <w:rsid w:val="006F37B1"/>
    <w:rsid w:val="006F3DE0"/>
    <w:rsid w:val="006F4102"/>
    <w:rsid w:val="006F481A"/>
    <w:rsid w:val="006F7AE8"/>
    <w:rsid w:val="00700800"/>
    <w:rsid w:val="00702034"/>
    <w:rsid w:val="00705971"/>
    <w:rsid w:val="00705F07"/>
    <w:rsid w:val="00706627"/>
    <w:rsid w:val="0071378E"/>
    <w:rsid w:val="00715818"/>
    <w:rsid w:val="00716189"/>
    <w:rsid w:val="0071634B"/>
    <w:rsid w:val="0071735E"/>
    <w:rsid w:val="00723CCE"/>
    <w:rsid w:val="00723D49"/>
    <w:rsid w:val="00725BF3"/>
    <w:rsid w:val="00726C9A"/>
    <w:rsid w:val="00727CBD"/>
    <w:rsid w:val="007335CD"/>
    <w:rsid w:val="007361EB"/>
    <w:rsid w:val="00736CFE"/>
    <w:rsid w:val="00736F97"/>
    <w:rsid w:val="00741F31"/>
    <w:rsid w:val="00743599"/>
    <w:rsid w:val="00744EF5"/>
    <w:rsid w:val="00745B65"/>
    <w:rsid w:val="00755D90"/>
    <w:rsid w:val="007652EF"/>
    <w:rsid w:val="0076584C"/>
    <w:rsid w:val="00766DE6"/>
    <w:rsid w:val="00767375"/>
    <w:rsid w:val="00771F97"/>
    <w:rsid w:val="007735D2"/>
    <w:rsid w:val="00780FE3"/>
    <w:rsid w:val="00787D5C"/>
    <w:rsid w:val="0079325C"/>
    <w:rsid w:val="00795BAC"/>
    <w:rsid w:val="00797DB9"/>
    <w:rsid w:val="007A2722"/>
    <w:rsid w:val="007C3414"/>
    <w:rsid w:val="007C704E"/>
    <w:rsid w:val="007C70CA"/>
    <w:rsid w:val="007D16A5"/>
    <w:rsid w:val="007D27E9"/>
    <w:rsid w:val="007D3D9E"/>
    <w:rsid w:val="007D6774"/>
    <w:rsid w:val="007D70E1"/>
    <w:rsid w:val="007D7CCD"/>
    <w:rsid w:val="007F17A6"/>
    <w:rsid w:val="007F4790"/>
    <w:rsid w:val="008035B6"/>
    <w:rsid w:val="00807821"/>
    <w:rsid w:val="00810D64"/>
    <w:rsid w:val="00814FE8"/>
    <w:rsid w:val="00822931"/>
    <w:rsid w:val="00824E3A"/>
    <w:rsid w:val="00832486"/>
    <w:rsid w:val="00833D1C"/>
    <w:rsid w:val="00835631"/>
    <w:rsid w:val="00847909"/>
    <w:rsid w:val="00847934"/>
    <w:rsid w:val="00852C00"/>
    <w:rsid w:val="008602E4"/>
    <w:rsid w:val="0086128D"/>
    <w:rsid w:val="00873024"/>
    <w:rsid w:val="0087557B"/>
    <w:rsid w:val="00876012"/>
    <w:rsid w:val="008771D8"/>
    <w:rsid w:val="00881BF2"/>
    <w:rsid w:val="00882E6A"/>
    <w:rsid w:val="0088462F"/>
    <w:rsid w:val="00885BC4"/>
    <w:rsid w:val="00892134"/>
    <w:rsid w:val="00892EC3"/>
    <w:rsid w:val="008A13AE"/>
    <w:rsid w:val="008A1EEE"/>
    <w:rsid w:val="008A3155"/>
    <w:rsid w:val="008A575E"/>
    <w:rsid w:val="008A733E"/>
    <w:rsid w:val="008B5B10"/>
    <w:rsid w:val="008C29C6"/>
    <w:rsid w:val="008C4AE7"/>
    <w:rsid w:val="008D1954"/>
    <w:rsid w:val="008D28C1"/>
    <w:rsid w:val="008D419D"/>
    <w:rsid w:val="008D49A0"/>
    <w:rsid w:val="008E0F6C"/>
    <w:rsid w:val="008E1349"/>
    <w:rsid w:val="008E7A70"/>
    <w:rsid w:val="008F0AD5"/>
    <w:rsid w:val="008F3FBD"/>
    <w:rsid w:val="00902B61"/>
    <w:rsid w:val="00905FB2"/>
    <w:rsid w:val="0091049E"/>
    <w:rsid w:val="0091205F"/>
    <w:rsid w:val="009125E5"/>
    <w:rsid w:val="009149D2"/>
    <w:rsid w:val="0092136F"/>
    <w:rsid w:val="00932B8C"/>
    <w:rsid w:val="009366FC"/>
    <w:rsid w:val="00937495"/>
    <w:rsid w:val="00943F47"/>
    <w:rsid w:val="00945C5C"/>
    <w:rsid w:val="009505C2"/>
    <w:rsid w:val="00953788"/>
    <w:rsid w:val="00956BFC"/>
    <w:rsid w:val="0096181F"/>
    <w:rsid w:val="00961FF9"/>
    <w:rsid w:val="00962347"/>
    <w:rsid w:val="00963407"/>
    <w:rsid w:val="00964C44"/>
    <w:rsid w:val="009675A9"/>
    <w:rsid w:val="009850AB"/>
    <w:rsid w:val="00986FE2"/>
    <w:rsid w:val="009876D8"/>
    <w:rsid w:val="009A18A7"/>
    <w:rsid w:val="009A3B28"/>
    <w:rsid w:val="009A4869"/>
    <w:rsid w:val="009A4C2B"/>
    <w:rsid w:val="009A7CDB"/>
    <w:rsid w:val="009B594F"/>
    <w:rsid w:val="009C10CD"/>
    <w:rsid w:val="009C229E"/>
    <w:rsid w:val="009C5231"/>
    <w:rsid w:val="009D15EF"/>
    <w:rsid w:val="009E105A"/>
    <w:rsid w:val="009F05E5"/>
    <w:rsid w:val="009F1A2F"/>
    <w:rsid w:val="009F3546"/>
    <w:rsid w:val="009F49D9"/>
    <w:rsid w:val="00A02BDF"/>
    <w:rsid w:val="00A05E44"/>
    <w:rsid w:val="00A0767E"/>
    <w:rsid w:val="00A113A2"/>
    <w:rsid w:val="00A119DD"/>
    <w:rsid w:val="00A17907"/>
    <w:rsid w:val="00A2416D"/>
    <w:rsid w:val="00A2418B"/>
    <w:rsid w:val="00A25EBB"/>
    <w:rsid w:val="00A3118A"/>
    <w:rsid w:val="00A31BBF"/>
    <w:rsid w:val="00A32409"/>
    <w:rsid w:val="00A42134"/>
    <w:rsid w:val="00A4324B"/>
    <w:rsid w:val="00A5418D"/>
    <w:rsid w:val="00A56019"/>
    <w:rsid w:val="00A609A8"/>
    <w:rsid w:val="00A6413D"/>
    <w:rsid w:val="00A65CB3"/>
    <w:rsid w:val="00A65EA0"/>
    <w:rsid w:val="00A6750A"/>
    <w:rsid w:val="00A71CDB"/>
    <w:rsid w:val="00A729D6"/>
    <w:rsid w:val="00A746D7"/>
    <w:rsid w:val="00A769C8"/>
    <w:rsid w:val="00A80B2E"/>
    <w:rsid w:val="00A836A1"/>
    <w:rsid w:val="00A85276"/>
    <w:rsid w:val="00A86AE1"/>
    <w:rsid w:val="00A90D7A"/>
    <w:rsid w:val="00A915B8"/>
    <w:rsid w:val="00AA1288"/>
    <w:rsid w:val="00AA604E"/>
    <w:rsid w:val="00AB0D1C"/>
    <w:rsid w:val="00AB0E20"/>
    <w:rsid w:val="00AB4FAB"/>
    <w:rsid w:val="00AC19F1"/>
    <w:rsid w:val="00AD0537"/>
    <w:rsid w:val="00AF04F2"/>
    <w:rsid w:val="00AF50AE"/>
    <w:rsid w:val="00B03929"/>
    <w:rsid w:val="00B11EFD"/>
    <w:rsid w:val="00B1396D"/>
    <w:rsid w:val="00B31438"/>
    <w:rsid w:val="00B36CFA"/>
    <w:rsid w:val="00B40178"/>
    <w:rsid w:val="00B409C6"/>
    <w:rsid w:val="00B44DA2"/>
    <w:rsid w:val="00B55DB6"/>
    <w:rsid w:val="00B63E0A"/>
    <w:rsid w:val="00B667F7"/>
    <w:rsid w:val="00B7123C"/>
    <w:rsid w:val="00B72461"/>
    <w:rsid w:val="00B74700"/>
    <w:rsid w:val="00B75338"/>
    <w:rsid w:val="00B8062F"/>
    <w:rsid w:val="00B83D33"/>
    <w:rsid w:val="00B904E4"/>
    <w:rsid w:val="00B938F1"/>
    <w:rsid w:val="00B93AE7"/>
    <w:rsid w:val="00BA3495"/>
    <w:rsid w:val="00BB5F19"/>
    <w:rsid w:val="00BC262B"/>
    <w:rsid w:val="00BD6EC6"/>
    <w:rsid w:val="00BE245E"/>
    <w:rsid w:val="00BE2589"/>
    <w:rsid w:val="00BE7A6C"/>
    <w:rsid w:val="00BE7B79"/>
    <w:rsid w:val="00BF3D1B"/>
    <w:rsid w:val="00BF3FD3"/>
    <w:rsid w:val="00BF521B"/>
    <w:rsid w:val="00BF6291"/>
    <w:rsid w:val="00C014E5"/>
    <w:rsid w:val="00C02CE0"/>
    <w:rsid w:val="00C1443C"/>
    <w:rsid w:val="00C14829"/>
    <w:rsid w:val="00C20EFF"/>
    <w:rsid w:val="00C379DD"/>
    <w:rsid w:val="00C37DDC"/>
    <w:rsid w:val="00C42882"/>
    <w:rsid w:val="00C44C35"/>
    <w:rsid w:val="00C503CC"/>
    <w:rsid w:val="00C51221"/>
    <w:rsid w:val="00C5229F"/>
    <w:rsid w:val="00C540F1"/>
    <w:rsid w:val="00C54B79"/>
    <w:rsid w:val="00C605DA"/>
    <w:rsid w:val="00C63350"/>
    <w:rsid w:val="00C6512D"/>
    <w:rsid w:val="00C66769"/>
    <w:rsid w:val="00C70129"/>
    <w:rsid w:val="00C753E6"/>
    <w:rsid w:val="00C760A4"/>
    <w:rsid w:val="00C7658A"/>
    <w:rsid w:val="00C8003B"/>
    <w:rsid w:val="00C81FD8"/>
    <w:rsid w:val="00C86358"/>
    <w:rsid w:val="00C96086"/>
    <w:rsid w:val="00C96878"/>
    <w:rsid w:val="00CA4D1A"/>
    <w:rsid w:val="00CA56BB"/>
    <w:rsid w:val="00CB1368"/>
    <w:rsid w:val="00CB4486"/>
    <w:rsid w:val="00CC0C90"/>
    <w:rsid w:val="00CC1BCF"/>
    <w:rsid w:val="00CC1E7A"/>
    <w:rsid w:val="00CC3128"/>
    <w:rsid w:val="00CC337F"/>
    <w:rsid w:val="00CC5E74"/>
    <w:rsid w:val="00CC7AE3"/>
    <w:rsid w:val="00CD50EA"/>
    <w:rsid w:val="00CD717F"/>
    <w:rsid w:val="00CD763D"/>
    <w:rsid w:val="00CE3823"/>
    <w:rsid w:val="00CE4705"/>
    <w:rsid w:val="00CF1DEE"/>
    <w:rsid w:val="00CF4554"/>
    <w:rsid w:val="00D00B52"/>
    <w:rsid w:val="00D0120D"/>
    <w:rsid w:val="00D04212"/>
    <w:rsid w:val="00D04D8B"/>
    <w:rsid w:val="00D06B31"/>
    <w:rsid w:val="00D11763"/>
    <w:rsid w:val="00D14AD3"/>
    <w:rsid w:val="00D20BD4"/>
    <w:rsid w:val="00D24021"/>
    <w:rsid w:val="00D26B3A"/>
    <w:rsid w:val="00D32984"/>
    <w:rsid w:val="00D350CD"/>
    <w:rsid w:val="00D35BA9"/>
    <w:rsid w:val="00D41095"/>
    <w:rsid w:val="00D4251F"/>
    <w:rsid w:val="00D43AE9"/>
    <w:rsid w:val="00D45665"/>
    <w:rsid w:val="00D47EBB"/>
    <w:rsid w:val="00D53109"/>
    <w:rsid w:val="00D536A1"/>
    <w:rsid w:val="00D6147F"/>
    <w:rsid w:val="00D6723D"/>
    <w:rsid w:val="00D71DE6"/>
    <w:rsid w:val="00D74391"/>
    <w:rsid w:val="00D747FF"/>
    <w:rsid w:val="00D81A1B"/>
    <w:rsid w:val="00D82BB0"/>
    <w:rsid w:val="00D96133"/>
    <w:rsid w:val="00DA175B"/>
    <w:rsid w:val="00DA205B"/>
    <w:rsid w:val="00DA216D"/>
    <w:rsid w:val="00DA504C"/>
    <w:rsid w:val="00DB65DF"/>
    <w:rsid w:val="00DB6B3C"/>
    <w:rsid w:val="00DC38EF"/>
    <w:rsid w:val="00DC5AF1"/>
    <w:rsid w:val="00DD0A63"/>
    <w:rsid w:val="00DD4B94"/>
    <w:rsid w:val="00DE1679"/>
    <w:rsid w:val="00DE3987"/>
    <w:rsid w:val="00DE4C4E"/>
    <w:rsid w:val="00DF0C19"/>
    <w:rsid w:val="00DF1E37"/>
    <w:rsid w:val="00DF276B"/>
    <w:rsid w:val="00DF5ECB"/>
    <w:rsid w:val="00E07C96"/>
    <w:rsid w:val="00E118BB"/>
    <w:rsid w:val="00E11E7B"/>
    <w:rsid w:val="00E12495"/>
    <w:rsid w:val="00E17977"/>
    <w:rsid w:val="00E21152"/>
    <w:rsid w:val="00E21B11"/>
    <w:rsid w:val="00E2245D"/>
    <w:rsid w:val="00E24DE3"/>
    <w:rsid w:val="00E26C88"/>
    <w:rsid w:val="00E32136"/>
    <w:rsid w:val="00E35CB6"/>
    <w:rsid w:val="00E54800"/>
    <w:rsid w:val="00E578F0"/>
    <w:rsid w:val="00E613DC"/>
    <w:rsid w:val="00E65F0F"/>
    <w:rsid w:val="00E67BEC"/>
    <w:rsid w:val="00E67FCE"/>
    <w:rsid w:val="00E714E6"/>
    <w:rsid w:val="00E7177E"/>
    <w:rsid w:val="00E72933"/>
    <w:rsid w:val="00E76615"/>
    <w:rsid w:val="00E77DF6"/>
    <w:rsid w:val="00E85908"/>
    <w:rsid w:val="00EA5314"/>
    <w:rsid w:val="00EA701B"/>
    <w:rsid w:val="00EB1D8E"/>
    <w:rsid w:val="00EB3782"/>
    <w:rsid w:val="00EB3D69"/>
    <w:rsid w:val="00ED564B"/>
    <w:rsid w:val="00ED5787"/>
    <w:rsid w:val="00ED6014"/>
    <w:rsid w:val="00EE1654"/>
    <w:rsid w:val="00EE5A27"/>
    <w:rsid w:val="00EE7DFE"/>
    <w:rsid w:val="00EF311A"/>
    <w:rsid w:val="00EF536C"/>
    <w:rsid w:val="00F01FC0"/>
    <w:rsid w:val="00F0689F"/>
    <w:rsid w:val="00F07ABB"/>
    <w:rsid w:val="00F07B7F"/>
    <w:rsid w:val="00F136DB"/>
    <w:rsid w:val="00F15675"/>
    <w:rsid w:val="00F168CE"/>
    <w:rsid w:val="00F204DD"/>
    <w:rsid w:val="00F24B8C"/>
    <w:rsid w:val="00F24EF0"/>
    <w:rsid w:val="00F26840"/>
    <w:rsid w:val="00F31780"/>
    <w:rsid w:val="00F32A66"/>
    <w:rsid w:val="00F35CB0"/>
    <w:rsid w:val="00F360BF"/>
    <w:rsid w:val="00F3777B"/>
    <w:rsid w:val="00F4391D"/>
    <w:rsid w:val="00F47D63"/>
    <w:rsid w:val="00F550D6"/>
    <w:rsid w:val="00F61B71"/>
    <w:rsid w:val="00F62E1E"/>
    <w:rsid w:val="00F876BE"/>
    <w:rsid w:val="00F908AA"/>
    <w:rsid w:val="00F92F40"/>
    <w:rsid w:val="00FA4288"/>
    <w:rsid w:val="00FA66F6"/>
    <w:rsid w:val="00FB2715"/>
    <w:rsid w:val="00FB3EF0"/>
    <w:rsid w:val="00FB69B9"/>
    <w:rsid w:val="00FC1B07"/>
    <w:rsid w:val="00FC2B87"/>
    <w:rsid w:val="00FC6990"/>
    <w:rsid w:val="00FC72CC"/>
    <w:rsid w:val="00FE1951"/>
    <w:rsid w:val="00FE1E48"/>
    <w:rsid w:val="00FE50BC"/>
    <w:rsid w:val="00FF163D"/>
    <w:rsid w:val="00FF30D3"/>
    <w:rsid w:val="00FF71C8"/>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8"/>
    <w:rPr>
      <w:sz w:val="24"/>
      <w:szCs w:val="24"/>
      <w:lang w:val="en-GB"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Spacing">
    <w:name w:val="No Spacing"/>
    <w:uiPriority w:val="1"/>
    <w:qFormat/>
    <w:rsid w:val="003F4E00"/>
    <w:rPr>
      <w:rFonts w:asciiTheme="minorHAnsi" w:eastAsiaTheme="minorHAnsi" w:hAnsiTheme="minorHAnsi" w:cstheme="minorBidi"/>
      <w:sz w:val="22"/>
      <w:szCs w:val="22"/>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71845"/>
    <w:rPr>
      <w:sz w:val="24"/>
      <w:szCs w:val="24"/>
      <w:lang w:val="en-GB" w:eastAsia="en-US"/>
    </w:rPr>
  </w:style>
  <w:style w:type="paragraph" w:customStyle="1" w:styleId="Default">
    <w:name w:val="Default"/>
    <w:rsid w:val="00D43AE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EB505-DA0B-4355-91F1-D84B85B7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2018-11-26T07:34:00Z</cp:lastPrinted>
  <dcterms:created xsi:type="dcterms:W3CDTF">2022-05-26T10:37:00Z</dcterms:created>
  <dcterms:modified xsi:type="dcterms:W3CDTF">2022-05-26T10:37:00Z</dcterms:modified>
</cp:coreProperties>
</file>