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E3EAD" w:rsidRPr="00DC6183" w:rsidRDefault="005E3EAD" w:rsidP="005E3EAD">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5E3EAD" w:rsidRPr="00DC6183" w:rsidRDefault="005E3EAD" w:rsidP="005E3EAD">
      <w:pPr>
        <w:jc w:val="center"/>
        <w:rPr>
          <w:rFonts w:ascii="Arial" w:hAnsi="Arial" w:cs="Arial"/>
          <w:b/>
          <w:bCs/>
          <w:lang w:val="en-ZA"/>
        </w:rPr>
      </w:pPr>
      <w:r w:rsidRPr="00DC6183">
        <w:rPr>
          <w:rFonts w:ascii="Arial" w:hAnsi="Arial" w:cs="Arial"/>
          <w:b/>
          <w:bCs/>
          <w:lang w:val="en-ZA"/>
        </w:rPr>
        <w:t>FOR WRITTEN REPLY</w:t>
      </w:r>
    </w:p>
    <w:p w:rsidR="005E3EAD" w:rsidRPr="00DC6183" w:rsidRDefault="005E3EAD" w:rsidP="005E3EA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1498</w:t>
      </w:r>
    </w:p>
    <w:p w:rsidR="005E3EAD" w:rsidRPr="00DC6183" w:rsidRDefault="005E3EAD" w:rsidP="005E3EA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5E3EAD" w:rsidRPr="00FF2AAB" w:rsidRDefault="005E3EAD" w:rsidP="005E3EA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5E3EAD" w:rsidRPr="006C5049" w:rsidRDefault="005E3EAD" w:rsidP="005E3EAD">
      <w:pPr>
        <w:spacing w:before="100" w:beforeAutospacing="1" w:after="100" w:afterAutospacing="1" w:line="360" w:lineRule="auto"/>
        <w:ind w:left="720" w:hanging="720"/>
        <w:jc w:val="both"/>
        <w:outlineLvl w:val="0"/>
        <w:rPr>
          <w:rFonts w:ascii="Arial" w:hAnsi="Arial" w:cs="Arial"/>
          <w:b/>
          <w:lang w:val="en-ZA"/>
        </w:rPr>
      </w:pPr>
      <w:r w:rsidRPr="006C5049">
        <w:rPr>
          <w:rFonts w:ascii="Arial" w:hAnsi="Arial" w:cs="Arial"/>
          <w:b/>
          <w:lang w:val="en-ZA"/>
        </w:rPr>
        <w:t>Mr M N Nxumalo (IFP) to ask the Minister of Higher Education, Science and Innovation</w:t>
      </w:r>
      <w:r w:rsidR="00537E8F" w:rsidRPr="006C5049">
        <w:rPr>
          <w:rFonts w:ascii="Arial" w:hAnsi="Arial" w:cs="Arial"/>
          <w:b/>
          <w:lang w:val="en-ZA"/>
        </w:rPr>
        <w:fldChar w:fldCharType="begin"/>
      </w:r>
      <w:r w:rsidRPr="006C5049">
        <w:rPr>
          <w:rFonts w:ascii="Arial" w:hAnsi="Arial" w:cs="Arial"/>
          <w:lang w:val="en-ZA"/>
        </w:rPr>
        <w:instrText xml:space="preserve"> XE "</w:instrText>
      </w:r>
      <w:r w:rsidRPr="006C5049">
        <w:rPr>
          <w:rFonts w:ascii="Arial" w:hAnsi="Arial" w:cs="Arial"/>
          <w:b/>
          <w:lang w:val="en-ZA"/>
        </w:rPr>
        <w:instrText>Higher Education, Science and Innovation</w:instrText>
      </w:r>
      <w:r w:rsidRPr="006C5049">
        <w:rPr>
          <w:rFonts w:ascii="Arial" w:hAnsi="Arial" w:cs="Arial"/>
          <w:lang w:val="en-ZA"/>
        </w:rPr>
        <w:instrText xml:space="preserve">" </w:instrText>
      </w:r>
      <w:r w:rsidR="00537E8F" w:rsidRPr="006C5049">
        <w:rPr>
          <w:rFonts w:ascii="Arial" w:hAnsi="Arial" w:cs="Arial"/>
          <w:b/>
          <w:lang w:val="en-ZA"/>
        </w:rPr>
        <w:fldChar w:fldCharType="end"/>
      </w:r>
      <w:r w:rsidRPr="006C5049">
        <w:rPr>
          <w:rFonts w:ascii="Arial" w:hAnsi="Arial" w:cs="Arial"/>
          <w:b/>
          <w:lang w:val="en-ZA"/>
        </w:rPr>
        <w:t>:</w:t>
      </w:r>
    </w:p>
    <w:p w:rsidR="005E3EAD" w:rsidRPr="006C5049" w:rsidRDefault="005E3EAD" w:rsidP="005E3EAD">
      <w:pPr>
        <w:spacing w:before="100" w:beforeAutospacing="1" w:after="100" w:afterAutospacing="1" w:line="360" w:lineRule="auto"/>
        <w:ind w:left="720"/>
        <w:jc w:val="both"/>
        <w:rPr>
          <w:rFonts w:ascii="Arial" w:hAnsi="Arial" w:cs="Arial"/>
          <w:lang w:val="en-ZA"/>
        </w:rPr>
      </w:pPr>
      <w:r w:rsidRPr="006C5049">
        <w:rPr>
          <w:rFonts w:ascii="Arial" w:hAnsi="Arial" w:cs="Arial"/>
          <w:lang w:val="en-ZA"/>
        </w:rPr>
        <w:t>Given the challenges brought by the COVID-19 pandemic to university students, and considering the negative impact of the disruption of physical classes by the lockdown since 2020, what (a) is the Government’s position regarding the application of the National Student Financial Aid Scheme (NSFAS) time limit rule, known as the N+2 rule, on rural students whose learning was disrupted due to poor network coverage and difficult family circumstances and (b) total number of students who were supposed to finish studies in 2020 were affected by the NSFAS time-limit rule and whose funding was, as a result, discontinued in 2021 after having exceeded the prescribed number of years at university?</w:t>
      </w:r>
      <w:r w:rsidRPr="006C5049">
        <w:rPr>
          <w:rFonts w:ascii="Arial" w:hAnsi="Arial" w:cs="Arial"/>
          <w:lang w:val="en-ZA"/>
        </w:rPr>
        <w:tab/>
      </w:r>
      <w:r w:rsidRPr="006C5049">
        <w:rPr>
          <w:rFonts w:ascii="Arial" w:hAnsi="Arial" w:cs="Arial"/>
          <w:lang w:val="en-ZA"/>
        </w:rPr>
        <w:tab/>
      </w:r>
      <w:r w:rsidRPr="006C5049">
        <w:rPr>
          <w:rFonts w:ascii="Arial" w:hAnsi="Arial" w:cs="Arial"/>
          <w:lang w:val="en-ZA"/>
        </w:rPr>
        <w:tab/>
      </w:r>
      <w:r w:rsidRPr="006C5049">
        <w:rPr>
          <w:rFonts w:ascii="Arial" w:hAnsi="Arial" w:cs="Arial"/>
          <w:lang w:val="en-ZA"/>
        </w:rPr>
        <w:tab/>
      </w:r>
      <w:r w:rsidRPr="006C5049">
        <w:rPr>
          <w:rFonts w:ascii="Arial" w:hAnsi="Arial" w:cs="Arial"/>
          <w:lang w:val="en-ZA"/>
        </w:rPr>
        <w:tab/>
      </w:r>
      <w:r w:rsidRPr="006C5049">
        <w:rPr>
          <w:rFonts w:ascii="Arial" w:hAnsi="Arial" w:cs="Arial"/>
          <w:lang w:val="en-ZA"/>
        </w:rPr>
        <w:tab/>
      </w:r>
      <w:r w:rsidRPr="006C5049">
        <w:rPr>
          <w:rFonts w:ascii="Arial" w:hAnsi="Arial" w:cs="Arial"/>
          <w:lang w:val="en-ZA"/>
        </w:rPr>
        <w:tab/>
      </w:r>
      <w:r w:rsidRPr="006C5049">
        <w:rPr>
          <w:rFonts w:ascii="Arial" w:hAnsi="Arial" w:cs="Arial"/>
          <w:lang w:val="en-ZA"/>
        </w:rPr>
        <w:tab/>
      </w:r>
      <w:r>
        <w:rPr>
          <w:rFonts w:ascii="Arial" w:hAnsi="Arial" w:cs="Arial"/>
          <w:lang w:val="en-ZA"/>
        </w:rPr>
        <w:tab/>
      </w:r>
      <w:r>
        <w:rPr>
          <w:rFonts w:ascii="Arial" w:hAnsi="Arial" w:cs="Arial"/>
          <w:lang w:val="en-ZA"/>
        </w:rPr>
        <w:tab/>
      </w:r>
      <w:r w:rsidRPr="006C5049">
        <w:rPr>
          <w:rFonts w:ascii="Arial" w:hAnsi="Arial" w:cs="Arial"/>
          <w:b/>
          <w:lang w:val="en-ZA"/>
        </w:rPr>
        <w:t>NW1705E</w:t>
      </w:r>
    </w:p>
    <w:p w:rsidR="005E3EAD" w:rsidRDefault="005E3EAD" w:rsidP="005E3EAD">
      <w:pPr>
        <w:spacing w:before="100" w:beforeAutospacing="1" w:after="100" w:afterAutospacing="1" w:line="360" w:lineRule="auto"/>
        <w:jc w:val="both"/>
        <w:outlineLvl w:val="0"/>
        <w:rPr>
          <w:rFonts w:ascii="Arial" w:hAnsi="Arial" w:cs="Arial"/>
          <w:b/>
        </w:rPr>
      </w:pPr>
    </w:p>
    <w:p w:rsidR="005E3EAD" w:rsidRDefault="005E3EAD" w:rsidP="005E3EAD">
      <w:pPr>
        <w:spacing w:before="100" w:beforeAutospacing="1" w:after="100" w:afterAutospacing="1" w:line="360" w:lineRule="auto"/>
        <w:jc w:val="both"/>
        <w:outlineLvl w:val="0"/>
        <w:rPr>
          <w:rFonts w:ascii="Arial" w:hAnsi="Arial" w:cs="Arial"/>
          <w:b/>
        </w:rPr>
      </w:pPr>
    </w:p>
    <w:p w:rsidR="00707615" w:rsidRDefault="00707615" w:rsidP="005E3EAD">
      <w:pPr>
        <w:spacing w:before="100" w:beforeAutospacing="1" w:after="100" w:afterAutospacing="1" w:line="360" w:lineRule="auto"/>
        <w:jc w:val="both"/>
        <w:outlineLvl w:val="0"/>
        <w:rPr>
          <w:rFonts w:ascii="Arial" w:hAnsi="Arial" w:cs="Arial"/>
          <w:b/>
        </w:rPr>
      </w:pPr>
    </w:p>
    <w:p w:rsidR="00707615" w:rsidRDefault="00707615" w:rsidP="005E3EAD">
      <w:pPr>
        <w:spacing w:before="100" w:beforeAutospacing="1" w:after="100" w:afterAutospacing="1" w:line="360" w:lineRule="auto"/>
        <w:jc w:val="both"/>
        <w:outlineLvl w:val="0"/>
        <w:rPr>
          <w:rFonts w:ascii="Arial" w:hAnsi="Arial" w:cs="Arial"/>
          <w:b/>
        </w:rPr>
      </w:pPr>
    </w:p>
    <w:p w:rsidR="00707615" w:rsidRDefault="00707615" w:rsidP="005E3EAD">
      <w:pPr>
        <w:spacing w:before="100" w:beforeAutospacing="1" w:after="100" w:afterAutospacing="1" w:line="360" w:lineRule="auto"/>
        <w:jc w:val="both"/>
        <w:outlineLvl w:val="0"/>
        <w:rPr>
          <w:rFonts w:ascii="Arial" w:hAnsi="Arial" w:cs="Arial"/>
          <w:b/>
        </w:rPr>
      </w:pPr>
    </w:p>
    <w:p w:rsidR="00707615" w:rsidRDefault="00707615" w:rsidP="005E3EAD">
      <w:pPr>
        <w:spacing w:before="100" w:beforeAutospacing="1" w:after="100" w:afterAutospacing="1" w:line="360" w:lineRule="auto"/>
        <w:jc w:val="both"/>
        <w:outlineLvl w:val="0"/>
        <w:rPr>
          <w:rFonts w:ascii="Arial" w:hAnsi="Arial" w:cs="Arial"/>
          <w:b/>
        </w:rPr>
      </w:pPr>
    </w:p>
    <w:p w:rsidR="00707615" w:rsidRDefault="00707615" w:rsidP="005E3EAD">
      <w:pPr>
        <w:spacing w:before="100" w:beforeAutospacing="1" w:after="100" w:afterAutospacing="1" w:line="360" w:lineRule="auto"/>
        <w:jc w:val="both"/>
        <w:outlineLvl w:val="0"/>
        <w:rPr>
          <w:rFonts w:ascii="Arial" w:hAnsi="Arial" w:cs="Arial"/>
          <w:b/>
        </w:rPr>
      </w:pPr>
    </w:p>
    <w:p w:rsidR="00707615" w:rsidRDefault="00707615" w:rsidP="005E3EAD">
      <w:pPr>
        <w:spacing w:before="100" w:beforeAutospacing="1" w:after="100" w:afterAutospacing="1" w:line="360" w:lineRule="auto"/>
        <w:jc w:val="both"/>
        <w:outlineLvl w:val="0"/>
        <w:rPr>
          <w:rFonts w:ascii="Arial" w:hAnsi="Arial" w:cs="Arial"/>
          <w:b/>
        </w:rPr>
      </w:pPr>
    </w:p>
    <w:p w:rsidR="005E3EAD" w:rsidRPr="00FD745A" w:rsidRDefault="005E3EAD" w:rsidP="005E3EAD">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t>REPLY:</w:t>
      </w:r>
    </w:p>
    <w:p w:rsidR="005E3EAD" w:rsidRPr="003521C6" w:rsidRDefault="005E3EAD" w:rsidP="005E3EAD">
      <w:pPr>
        <w:spacing w:before="100" w:beforeAutospacing="1" w:after="100" w:afterAutospacing="1" w:line="360" w:lineRule="auto"/>
        <w:ind w:left="450"/>
        <w:jc w:val="both"/>
        <w:rPr>
          <w:rFonts w:ascii="Arial" w:eastAsia="Times New Roman" w:hAnsi="Arial" w:cs="Arial"/>
          <w:lang w:val="en-ZA" w:eastAsia="en-ZA"/>
        </w:rPr>
      </w:pPr>
      <w:r w:rsidRPr="003521C6">
        <w:rPr>
          <w:rFonts w:ascii="Arial" w:eastAsia="Times New Roman" w:hAnsi="Arial" w:cs="Arial"/>
          <w:lang w:val="en-ZA" w:eastAsia="en-ZA"/>
        </w:rPr>
        <w:t>(a)  It should be noted that universities have generally reported high levels of student participation in teaching and learning, with no university reporting percentages higher than 10% for students not engaged and 4 universities reporting higher than 5% for students not engaged. Universities' teaching and learning plans included the following:</w:t>
      </w:r>
    </w:p>
    <w:p w:rsidR="005E3EAD" w:rsidRPr="003521C6" w:rsidRDefault="005E3EAD" w:rsidP="005E3EAD">
      <w:pPr>
        <w:numPr>
          <w:ilvl w:val="0"/>
          <w:numId w:val="46"/>
        </w:numPr>
        <w:spacing w:before="100" w:beforeAutospacing="1" w:after="100" w:afterAutospacing="1" w:line="360" w:lineRule="auto"/>
        <w:jc w:val="both"/>
        <w:rPr>
          <w:rFonts w:ascii="Arial" w:eastAsia="Times New Roman" w:hAnsi="Arial" w:cs="Arial"/>
          <w:lang w:val="en-ZA" w:eastAsia="en-ZA"/>
        </w:rPr>
      </w:pPr>
      <w:r w:rsidRPr="003521C6">
        <w:rPr>
          <w:rFonts w:ascii="Arial" w:eastAsia="Times New Roman" w:hAnsi="Arial" w:cs="Arial"/>
          <w:lang w:val="en-ZA" w:eastAsia="en-ZA"/>
        </w:rPr>
        <w:t>Development and delivery of online teaching and learning materials: synchronous and asynchronous methods were utilised;</w:t>
      </w:r>
    </w:p>
    <w:p w:rsidR="005E3EAD" w:rsidRPr="003521C6" w:rsidRDefault="005E3EAD" w:rsidP="005E3EAD">
      <w:pPr>
        <w:numPr>
          <w:ilvl w:val="0"/>
          <w:numId w:val="46"/>
        </w:numPr>
        <w:spacing w:before="100" w:beforeAutospacing="1" w:after="100" w:afterAutospacing="1" w:line="360" w:lineRule="auto"/>
        <w:jc w:val="both"/>
        <w:rPr>
          <w:rFonts w:ascii="Arial" w:eastAsia="Times New Roman" w:hAnsi="Arial" w:cs="Arial"/>
          <w:lang w:val="en-ZA" w:eastAsia="en-ZA"/>
        </w:rPr>
      </w:pPr>
      <w:r w:rsidRPr="003521C6">
        <w:rPr>
          <w:rFonts w:ascii="Arial" w:eastAsia="Times New Roman" w:hAnsi="Arial" w:cs="Arial"/>
          <w:lang w:val="en-ZA" w:eastAsia="en-ZA"/>
        </w:rPr>
        <w:t>Development of print-based teaching and learning materials, and delivery to students;</w:t>
      </w:r>
    </w:p>
    <w:p w:rsidR="005E3EAD" w:rsidRPr="003521C6" w:rsidRDefault="005E3EAD" w:rsidP="005E3EAD">
      <w:pPr>
        <w:numPr>
          <w:ilvl w:val="0"/>
          <w:numId w:val="46"/>
        </w:numPr>
        <w:spacing w:before="100" w:beforeAutospacing="1" w:after="100" w:afterAutospacing="1" w:line="360" w:lineRule="auto"/>
        <w:jc w:val="both"/>
        <w:rPr>
          <w:rFonts w:ascii="Arial" w:eastAsia="Times New Roman" w:hAnsi="Arial" w:cs="Arial"/>
          <w:lang w:val="en-ZA" w:eastAsia="en-ZA"/>
        </w:rPr>
      </w:pPr>
      <w:r w:rsidRPr="003521C6">
        <w:rPr>
          <w:rFonts w:ascii="Arial" w:eastAsia="Times New Roman" w:hAnsi="Arial" w:cs="Arial"/>
          <w:lang w:val="en-ZA" w:eastAsia="en-ZA"/>
        </w:rPr>
        <w:t>Uploading of teaching and learning materials to USBs and delivery to students;</w:t>
      </w:r>
    </w:p>
    <w:p w:rsidR="005E3EAD" w:rsidRPr="003521C6" w:rsidRDefault="005E3EAD" w:rsidP="005E3EAD">
      <w:pPr>
        <w:numPr>
          <w:ilvl w:val="0"/>
          <w:numId w:val="46"/>
        </w:numPr>
        <w:spacing w:before="100" w:beforeAutospacing="1" w:after="100" w:afterAutospacing="1" w:line="360" w:lineRule="auto"/>
        <w:jc w:val="both"/>
        <w:rPr>
          <w:rFonts w:ascii="Arial" w:eastAsia="Times New Roman" w:hAnsi="Arial" w:cs="Arial"/>
          <w:lang w:val="en-ZA" w:eastAsia="en-ZA"/>
        </w:rPr>
      </w:pPr>
      <w:r w:rsidRPr="003521C6">
        <w:rPr>
          <w:rFonts w:ascii="Arial" w:eastAsia="Times New Roman" w:hAnsi="Arial" w:cs="Arial"/>
          <w:lang w:val="en-ZA" w:eastAsia="en-ZA"/>
        </w:rPr>
        <w:t>Development and delivery of alternative assessment strategies; and</w:t>
      </w:r>
    </w:p>
    <w:p w:rsidR="005E3EAD" w:rsidRPr="003521C6" w:rsidRDefault="005E3EAD" w:rsidP="005E3EAD">
      <w:pPr>
        <w:numPr>
          <w:ilvl w:val="0"/>
          <w:numId w:val="46"/>
        </w:numPr>
        <w:spacing w:before="100" w:beforeAutospacing="1" w:after="100" w:afterAutospacing="1" w:line="360" w:lineRule="auto"/>
        <w:rPr>
          <w:rFonts w:ascii="Arial" w:eastAsia="Times New Roman" w:hAnsi="Arial" w:cs="Arial"/>
          <w:lang w:val="en-ZA" w:eastAsia="en-ZA"/>
        </w:rPr>
      </w:pPr>
      <w:r w:rsidRPr="003521C6">
        <w:rPr>
          <w:rFonts w:ascii="Arial" w:eastAsia="Times New Roman" w:hAnsi="Arial" w:cs="Arial"/>
          <w:lang w:val="en-ZA" w:eastAsia="en-ZA"/>
        </w:rPr>
        <w:t>Catch-up programmes as students returned to campus.</w:t>
      </w:r>
      <w:r w:rsidRPr="003521C6">
        <w:rPr>
          <w:rFonts w:ascii="Arial" w:eastAsia="Times New Roman" w:hAnsi="Arial" w:cs="Arial"/>
          <w:lang w:val="en-ZA" w:eastAsia="en-ZA"/>
        </w:rPr>
        <w:br/>
        <w:t>There are many students who lost funding because they exceeded the N+2 rule for various reasons. During the 2020 funding cycle, the Minister approved a concession in the application of the N+2 rule for 2020. This concession was applied as follows:</w:t>
      </w:r>
    </w:p>
    <w:p w:rsidR="005E3EAD" w:rsidRPr="003521C6" w:rsidRDefault="005E3EAD" w:rsidP="005E3EAD">
      <w:pPr>
        <w:numPr>
          <w:ilvl w:val="0"/>
          <w:numId w:val="47"/>
        </w:numPr>
        <w:spacing w:before="100" w:beforeAutospacing="1" w:after="100" w:afterAutospacing="1" w:line="360" w:lineRule="auto"/>
        <w:jc w:val="both"/>
        <w:rPr>
          <w:rFonts w:ascii="Arial" w:eastAsia="Times New Roman" w:hAnsi="Arial" w:cs="Arial"/>
          <w:lang w:val="en-ZA" w:eastAsia="en-ZA"/>
        </w:rPr>
      </w:pPr>
      <w:r w:rsidRPr="003521C6">
        <w:rPr>
          <w:rFonts w:ascii="Arial" w:eastAsia="Times New Roman" w:hAnsi="Arial" w:cs="Arial"/>
          <w:lang w:val="en-ZA" w:eastAsia="en-ZA"/>
        </w:rPr>
        <w:t>Where students cancelled their enrolment in the first semester, the particular year will not add to the N+ calculation.</w:t>
      </w:r>
    </w:p>
    <w:p w:rsidR="005E3EAD" w:rsidRPr="003521C6" w:rsidRDefault="005E3EAD" w:rsidP="005E3EAD">
      <w:pPr>
        <w:numPr>
          <w:ilvl w:val="0"/>
          <w:numId w:val="47"/>
        </w:numPr>
        <w:spacing w:before="100" w:beforeAutospacing="1" w:after="100" w:afterAutospacing="1" w:line="360" w:lineRule="auto"/>
        <w:jc w:val="both"/>
        <w:rPr>
          <w:rFonts w:ascii="Arial" w:eastAsia="Times New Roman" w:hAnsi="Arial" w:cs="Arial"/>
          <w:lang w:val="en-ZA" w:eastAsia="en-ZA"/>
        </w:rPr>
      </w:pPr>
      <w:r w:rsidRPr="003521C6">
        <w:rPr>
          <w:rFonts w:ascii="Arial" w:eastAsia="Times New Roman" w:hAnsi="Arial" w:cs="Arial"/>
          <w:lang w:val="en-ZA" w:eastAsia="en-ZA"/>
        </w:rPr>
        <w:t>Where students provided medical or psycho-social evidence that they had to cancel their studies, that year will not be counted.</w:t>
      </w:r>
    </w:p>
    <w:p w:rsidR="005E3EAD" w:rsidRPr="003521C6" w:rsidRDefault="005E3EAD" w:rsidP="005E3EAD">
      <w:pPr>
        <w:numPr>
          <w:ilvl w:val="0"/>
          <w:numId w:val="47"/>
        </w:numPr>
        <w:spacing w:before="100" w:beforeAutospacing="1" w:after="100" w:afterAutospacing="1" w:line="360" w:lineRule="auto"/>
        <w:rPr>
          <w:rFonts w:ascii="Arial" w:eastAsia="Times New Roman" w:hAnsi="Arial" w:cs="Arial"/>
          <w:lang w:val="en-ZA" w:eastAsia="en-ZA"/>
        </w:rPr>
      </w:pPr>
      <w:r w:rsidRPr="003521C6">
        <w:rPr>
          <w:rFonts w:ascii="Arial" w:eastAsia="Times New Roman" w:hAnsi="Arial" w:cs="Arial"/>
          <w:lang w:val="en-ZA" w:eastAsia="en-ZA"/>
        </w:rPr>
        <w:t>Students in their final year that exceeded the N+2 provisions would be funded to teach them out of the system in that year.</w:t>
      </w:r>
      <w:r w:rsidRPr="003521C6">
        <w:rPr>
          <w:rFonts w:ascii="Arial" w:eastAsia="Times New Roman" w:hAnsi="Arial" w:cs="Arial"/>
          <w:lang w:val="en-ZA" w:eastAsia="en-ZA"/>
        </w:rPr>
        <w:br/>
        <w:t>(b)</w:t>
      </w:r>
      <w:r w:rsidRPr="003521C6">
        <w:rPr>
          <w:rFonts w:ascii="Arial" w:eastAsia="Times New Roman" w:hAnsi="Arial" w:cs="Arial"/>
          <w:b/>
          <w:bCs/>
          <w:lang w:val="en-ZA" w:eastAsia="en-ZA"/>
        </w:rPr>
        <w:t xml:space="preserve"> 22</w:t>
      </w:r>
      <w:r w:rsidRPr="003521C6">
        <w:rPr>
          <w:rFonts w:ascii="Arial" w:eastAsia="Times New Roman" w:hAnsi="Arial" w:cs="Arial"/>
          <w:lang w:val="en-ZA" w:eastAsia="en-ZA"/>
        </w:rPr>
        <w:t xml:space="preserve"> 832 NSFAS funded continuing students in 2021 exceeded the N+ rule and were unfunded.</w:t>
      </w:r>
    </w:p>
    <w:p w:rsidR="0049674B" w:rsidRPr="00F35717" w:rsidRDefault="0049674B" w:rsidP="00F05D7D">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7">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9">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2">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4">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6"/>
  </w:num>
  <w:num w:numId="3">
    <w:abstractNumId w:val="32"/>
  </w:num>
  <w:num w:numId="4">
    <w:abstractNumId w:val="3"/>
  </w:num>
  <w:num w:numId="5">
    <w:abstractNumId w:val="41"/>
  </w:num>
  <w:num w:numId="6">
    <w:abstractNumId w:val="29"/>
  </w:num>
  <w:num w:numId="7">
    <w:abstractNumId w:val="38"/>
  </w:num>
  <w:num w:numId="8">
    <w:abstractNumId w:val="26"/>
  </w:num>
  <w:num w:numId="9">
    <w:abstractNumId w:val="40"/>
  </w:num>
  <w:num w:numId="10">
    <w:abstractNumId w:val="14"/>
  </w:num>
  <w:num w:numId="11">
    <w:abstractNumId w:val="18"/>
  </w:num>
  <w:num w:numId="12">
    <w:abstractNumId w:val="1"/>
  </w:num>
  <w:num w:numId="13">
    <w:abstractNumId w:val="22"/>
  </w:num>
  <w:num w:numId="14">
    <w:abstractNumId w:val="37"/>
  </w:num>
  <w:num w:numId="15">
    <w:abstractNumId w:val="9"/>
  </w:num>
  <w:num w:numId="16">
    <w:abstractNumId w:val="43"/>
  </w:num>
  <w:num w:numId="17">
    <w:abstractNumId w:val="36"/>
  </w:num>
  <w:num w:numId="18">
    <w:abstractNumId w:val="45"/>
  </w:num>
  <w:num w:numId="19">
    <w:abstractNumId w:val="11"/>
  </w:num>
  <w:num w:numId="20">
    <w:abstractNumId w:val="19"/>
  </w:num>
  <w:num w:numId="21">
    <w:abstractNumId w:val="13"/>
  </w:num>
  <w:num w:numId="22">
    <w:abstractNumId w:val="16"/>
  </w:num>
  <w:num w:numId="23">
    <w:abstractNumId w:val="23"/>
  </w:num>
  <w:num w:numId="24">
    <w:abstractNumId w:val="30"/>
  </w:num>
  <w:num w:numId="25">
    <w:abstractNumId w:val="42"/>
  </w:num>
  <w:num w:numId="26">
    <w:abstractNumId w:val="20"/>
  </w:num>
  <w:num w:numId="27">
    <w:abstractNumId w:val="6"/>
  </w:num>
  <w:num w:numId="28">
    <w:abstractNumId w:val="35"/>
  </w:num>
  <w:num w:numId="29">
    <w:abstractNumId w:val="39"/>
  </w:num>
  <w:num w:numId="30">
    <w:abstractNumId w:val="31"/>
  </w:num>
  <w:num w:numId="31">
    <w:abstractNumId w:val="7"/>
  </w:num>
  <w:num w:numId="32">
    <w:abstractNumId w:val="10"/>
  </w:num>
  <w:num w:numId="33">
    <w:abstractNumId w:val="28"/>
  </w:num>
  <w:num w:numId="34">
    <w:abstractNumId w:val="5"/>
  </w:num>
  <w:num w:numId="35">
    <w:abstractNumId w:val="15"/>
  </w:num>
  <w:num w:numId="36">
    <w:abstractNumId w:val="12"/>
  </w:num>
  <w:num w:numId="37">
    <w:abstractNumId w:val="21"/>
  </w:num>
  <w:num w:numId="38">
    <w:abstractNumId w:val="24"/>
  </w:num>
  <w:num w:numId="39">
    <w:abstractNumId w:val="4"/>
  </w:num>
  <w:num w:numId="40">
    <w:abstractNumId w:val="34"/>
  </w:num>
  <w:num w:numId="41">
    <w:abstractNumId w:val="33"/>
  </w:num>
  <w:num w:numId="42">
    <w:abstractNumId w:val="27"/>
  </w:num>
  <w:num w:numId="43">
    <w:abstractNumId w:val="17"/>
  </w:num>
  <w:num w:numId="44">
    <w:abstractNumId w:val="25"/>
  </w:num>
  <w:num w:numId="45">
    <w:abstractNumId w:val="44"/>
  </w:num>
  <w:num w:numId="46">
    <w:abstractNumId w:val="2"/>
  </w:num>
  <w:num w:numId="4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37E8F"/>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1624"/>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8A45-AB88-42CE-8185-0A621661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2021-06-03T10:41:00Z</dcterms:created>
  <dcterms:modified xsi:type="dcterms:W3CDTF">2021-06-03T10:41:00Z</dcterms:modified>
</cp:coreProperties>
</file>