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F299A">
        <w:rPr>
          <w:b/>
          <w:bCs/>
          <w:sz w:val="24"/>
          <w:u w:val="single"/>
        </w:rPr>
        <w:t>1</w:t>
      </w:r>
      <w:r w:rsidR="00A268B1">
        <w:rPr>
          <w:b/>
          <w:bCs/>
          <w:sz w:val="24"/>
          <w:u w:val="single"/>
        </w:rPr>
        <w:t>4</w:t>
      </w:r>
      <w:r w:rsidR="007C4CF5">
        <w:rPr>
          <w:b/>
          <w:bCs/>
          <w:sz w:val="24"/>
          <w:u w:val="single"/>
        </w:rPr>
        <w:t>9</w:t>
      </w:r>
      <w:r w:rsidR="00972E0B">
        <w:rPr>
          <w:b/>
          <w:bCs/>
          <w:sz w:val="24"/>
          <w:u w:val="single"/>
        </w:rPr>
        <w:t>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268B1">
        <w:rPr>
          <w:b/>
          <w:bCs/>
          <w:sz w:val="24"/>
          <w:u w:val="single"/>
        </w:rPr>
        <w:t>0</w:t>
      </w:r>
      <w:r w:rsidR="007C4CF5">
        <w:rPr>
          <w:b/>
          <w:bCs/>
          <w:sz w:val="24"/>
          <w:u w:val="single"/>
        </w:rPr>
        <w:t>8</w:t>
      </w:r>
      <w:r w:rsidR="00A268B1">
        <w:rPr>
          <w:b/>
          <w:bCs/>
          <w:sz w:val="24"/>
          <w:u w:val="single"/>
        </w:rPr>
        <w:t xml:space="preserve"> NOVEMB</w:t>
      </w:r>
      <w:r w:rsidR="009F299A">
        <w:rPr>
          <w:b/>
          <w:bCs/>
          <w:sz w:val="24"/>
          <w:u w:val="single"/>
        </w:rPr>
        <w:t xml:space="preserve">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B0600">
        <w:rPr>
          <w:b/>
          <w:bCs/>
          <w:sz w:val="24"/>
          <w:u w:val="single"/>
        </w:rPr>
        <w:t>2</w:t>
      </w:r>
      <w:r w:rsidR="007C4CF5">
        <w:rPr>
          <w:b/>
          <w:bCs/>
          <w:sz w:val="24"/>
          <w:u w:val="single"/>
        </w:rPr>
        <w:t>5</w:t>
      </w:r>
      <w:r w:rsidRPr="00294557">
        <w:rPr>
          <w:b/>
          <w:bCs/>
          <w:sz w:val="24"/>
          <w:u w:val="single"/>
        </w:rPr>
        <w:t>)</w:t>
      </w:r>
    </w:p>
    <w:p w:rsidR="00972E0B" w:rsidRPr="00972E0B" w:rsidRDefault="00972E0B" w:rsidP="00972E0B">
      <w:pPr>
        <w:spacing w:before="100" w:beforeAutospacing="1" w:after="100" w:afterAutospacing="1"/>
        <w:jc w:val="both"/>
        <w:outlineLvl w:val="0"/>
        <w:rPr>
          <w:b/>
          <w:noProof/>
          <w:sz w:val="24"/>
          <w:u w:val="single"/>
          <w:lang w:val="af-ZA"/>
        </w:rPr>
      </w:pPr>
      <w:r w:rsidRPr="00972E0B">
        <w:rPr>
          <w:b/>
          <w:sz w:val="24"/>
          <w:u w:val="single"/>
          <w:lang w:val="af-ZA"/>
        </w:rPr>
        <w:t xml:space="preserve">Mr H A </w:t>
      </w:r>
      <w:proofErr w:type="spellStart"/>
      <w:r w:rsidRPr="00972E0B">
        <w:rPr>
          <w:b/>
          <w:bCs/>
          <w:sz w:val="24"/>
          <w:u w:val="single"/>
        </w:rPr>
        <w:t>Shembeni</w:t>
      </w:r>
      <w:proofErr w:type="spellEnd"/>
      <w:r w:rsidRPr="00972E0B">
        <w:rPr>
          <w:b/>
          <w:sz w:val="24"/>
          <w:u w:val="single"/>
          <w:lang w:val="af-ZA"/>
        </w:rPr>
        <w:t xml:space="preserve"> (EFF) to ask the</w:t>
      </w:r>
      <w:r w:rsidRPr="00972E0B">
        <w:rPr>
          <w:b/>
          <w:noProof/>
          <w:sz w:val="24"/>
          <w:u w:val="single"/>
          <w:lang w:val="af-ZA"/>
        </w:rPr>
        <w:t xml:space="preserve"> Minister of Health</w:t>
      </w:r>
      <w:r w:rsidRPr="00972E0B">
        <w:rPr>
          <w:b/>
          <w:noProof/>
          <w:sz w:val="24"/>
          <w:u w:val="single"/>
          <w:lang w:val="af-ZA"/>
        </w:rPr>
        <w:fldChar w:fldCharType="begin"/>
      </w:r>
      <w:r w:rsidRPr="00972E0B">
        <w:rPr>
          <w:u w:val="single"/>
        </w:rPr>
        <w:instrText xml:space="preserve"> XE "</w:instrText>
      </w:r>
      <w:r w:rsidRPr="00972E0B">
        <w:rPr>
          <w:b/>
          <w:bCs/>
          <w:sz w:val="24"/>
          <w:u w:val="single"/>
        </w:rPr>
        <w:instrText>Health</w:instrText>
      </w:r>
      <w:r w:rsidRPr="00972E0B">
        <w:rPr>
          <w:u w:val="single"/>
        </w:rPr>
        <w:instrText xml:space="preserve">" </w:instrText>
      </w:r>
      <w:r w:rsidRPr="00972E0B">
        <w:rPr>
          <w:b/>
          <w:noProof/>
          <w:sz w:val="24"/>
          <w:u w:val="single"/>
          <w:lang w:val="af-ZA"/>
        </w:rPr>
        <w:fldChar w:fldCharType="end"/>
      </w:r>
      <w:r w:rsidRPr="00972E0B">
        <w:rPr>
          <w:b/>
          <w:noProof/>
          <w:sz w:val="24"/>
          <w:u w:val="single"/>
          <w:lang w:val="af-ZA"/>
        </w:rPr>
        <w:t>:</w:t>
      </w:r>
    </w:p>
    <w:p w:rsidR="00AB514C" w:rsidRPr="00972E0B" w:rsidRDefault="00972E0B" w:rsidP="007C4CF5">
      <w:pPr>
        <w:spacing w:before="100" w:beforeAutospacing="1" w:after="100" w:afterAutospacing="1"/>
        <w:jc w:val="both"/>
        <w:rPr>
          <w:rFonts w:ascii="Times New Roman" w:hAnsi="Times New Roman" w:cs="Times New Roman"/>
          <w:sz w:val="20"/>
          <w:szCs w:val="20"/>
        </w:rPr>
      </w:pPr>
      <w:r w:rsidRPr="00972E0B">
        <w:rPr>
          <w:sz w:val="24"/>
          <w:lang w:eastAsia="en-GB"/>
        </w:rPr>
        <w:t xml:space="preserve">What are the reasons that the patients at the Rob Ferreira Provincial Hospital </w:t>
      </w:r>
      <w:r w:rsidRPr="00972E0B">
        <w:rPr>
          <w:sz w:val="24"/>
        </w:rPr>
        <w:t>are expected to pay R700,00 for a date stamp after completion of the insurance forms for chronic diseases?</w:t>
      </w:r>
    </w:p>
    <w:p w:rsidR="004872D2" w:rsidRPr="004872D2" w:rsidRDefault="00AB514C" w:rsidP="00AB514C">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 xml:space="preserve"> </w:t>
      </w:r>
      <w:r w:rsidR="004872D2" w:rsidRPr="004872D2">
        <w:rPr>
          <w:rFonts w:eastAsia="Calibri"/>
          <w:b/>
          <w:noProof/>
          <w:sz w:val="12"/>
          <w:szCs w:val="12"/>
          <w:lang w:val="af-ZA"/>
        </w:rPr>
        <w:t>NW</w:t>
      </w:r>
      <w:r w:rsidR="00FB4AF1">
        <w:rPr>
          <w:rFonts w:eastAsia="Calibri"/>
          <w:b/>
          <w:noProof/>
          <w:sz w:val="12"/>
          <w:szCs w:val="12"/>
          <w:lang w:val="af-ZA"/>
        </w:rPr>
        <w:t>2</w:t>
      </w:r>
      <w:r w:rsidR="007C4CF5">
        <w:rPr>
          <w:rFonts w:eastAsia="Calibri"/>
          <w:b/>
          <w:noProof/>
          <w:sz w:val="12"/>
          <w:szCs w:val="12"/>
          <w:lang w:val="af-ZA"/>
        </w:rPr>
        <w:t>7</w:t>
      </w:r>
      <w:r w:rsidR="00972E0B">
        <w:rPr>
          <w:rFonts w:eastAsia="Calibri"/>
          <w:b/>
          <w:noProof/>
          <w:sz w:val="12"/>
          <w:szCs w:val="12"/>
          <w:lang w:val="af-ZA"/>
        </w:rPr>
        <w:t>70</w:t>
      </w:r>
      <w:r w:rsidR="00F6402A">
        <w:rPr>
          <w:rFonts w:eastAsia="Calibri"/>
          <w:b/>
          <w:noProof/>
          <w:sz w:val="12"/>
          <w:szCs w:val="12"/>
          <w:lang w:val="af-ZA"/>
        </w:rPr>
        <w:t>E</w:t>
      </w:r>
    </w:p>
    <w:p w:rsidR="008526C9" w:rsidRPr="008526C9" w:rsidRDefault="00E238C2" w:rsidP="008526C9">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8526C9" w:rsidRPr="008526C9" w:rsidRDefault="008526C9" w:rsidP="008526C9">
      <w:pPr>
        <w:pStyle w:val="ListParagraph"/>
        <w:numPr>
          <w:ilvl w:val="1"/>
          <w:numId w:val="2"/>
        </w:numPr>
        <w:spacing w:after="160" w:line="276" w:lineRule="auto"/>
        <w:ind w:left="567" w:hanging="567"/>
        <w:jc w:val="both"/>
        <w:rPr>
          <w:color w:val="000000"/>
          <w:sz w:val="24"/>
        </w:rPr>
      </w:pPr>
      <w:r w:rsidRPr="008526C9">
        <w:rPr>
          <w:color w:val="000000"/>
          <w:sz w:val="24"/>
        </w:rPr>
        <w:t>The Uniform Patient Fee Schedule (UPFS) is Ministerial approved annually, based on the MTBS (CPI).</w:t>
      </w:r>
    </w:p>
    <w:p w:rsidR="008526C9" w:rsidRPr="008526C9" w:rsidRDefault="008526C9" w:rsidP="008526C9">
      <w:pPr>
        <w:pStyle w:val="ListParagraph"/>
        <w:ind w:left="567" w:hanging="567"/>
        <w:jc w:val="both"/>
        <w:rPr>
          <w:color w:val="000000"/>
          <w:sz w:val="24"/>
        </w:rPr>
      </w:pPr>
    </w:p>
    <w:p w:rsidR="008526C9" w:rsidRPr="008526C9" w:rsidRDefault="008526C9" w:rsidP="008526C9">
      <w:pPr>
        <w:pStyle w:val="ListParagraph"/>
        <w:numPr>
          <w:ilvl w:val="1"/>
          <w:numId w:val="2"/>
        </w:numPr>
        <w:spacing w:after="160" w:line="276" w:lineRule="auto"/>
        <w:ind w:left="567" w:hanging="567"/>
        <w:jc w:val="both"/>
        <w:rPr>
          <w:color w:val="000000"/>
          <w:sz w:val="24"/>
        </w:rPr>
      </w:pPr>
      <w:r w:rsidRPr="008526C9">
        <w:rPr>
          <w:color w:val="000000"/>
          <w:sz w:val="24"/>
        </w:rPr>
        <w:t>A UPFS Technical Tariff Task team has been established and consist of both provincial and national  representatives of which national facilitates the process and provide guidance;</w:t>
      </w:r>
    </w:p>
    <w:p w:rsidR="008526C9" w:rsidRPr="008526C9" w:rsidRDefault="008526C9" w:rsidP="008526C9">
      <w:pPr>
        <w:pStyle w:val="ListParagraph"/>
        <w:ind w:hanging="567"/>
        <w:jc w:val="both"/>
        <w:rPr>
          <w:color w:val="000000"/>
          <w:sz w:val="24"/>
        </w:rPr>
      </w:pPr>
    </w:p>
    <w:p w:rsidR="008526C9" w:rsidRPr="008526C9" w:rsidRDefault="008526C9" w:rsidP="008526C9">
      <w:pPr>
        <w:pStyle w:val="ListParagraph"/>
        <w:numPr>
          <w:ilvl w:val="1"/>
          <w:numId w:val="2"/>
        </w:numPr>
        <w:spacing w:after="160" w:line="276" w:lineRule="auto"/>
        <w:ind w:left="567" w:hanging="567"/>
        <w:jc w:val="both"/>
        <w:rPr>
          <w:color w:val="000000"/>
          <w:sz w:val="24"/>
        </w:rPr>
      </w:pPr>
      <w:r w:rsidRPr="008526C9">
        <w:rPr>
          <w:color w:val="000000"/>
          <w:sz w:val="24"/>
        </w:rPr>
        <w:t>The UPFS makes provision for three groups of users: Full paying, subsidized and free users:</w:t>
      </w:r>
    </w:p>
    <w:p w:rsidR="008526C9" w:rsidRPr="008526C9" w:rsidRDefault="008526C9" w:rsidP="008526C9">
      <w:pPr>
        <w:pStyle w:val="ListParagraph"/>
        <w:ind w:hanging="567"/>
        <w:jc w:val="both"/>
        <w:rPr>
          <w:color w:val="000000"/>
          <w:sz w:val="24"/>
        </w:rPr>
      </w:pPr>
    </w:p>
    <w:p w:rsidR="008526C9" w:rsidRPr="008526C9" w:rsidRDefault="008526C9" w:rsidP="008526C9">
      <w:pPr>
        <w:pStyle w:val="Heading2"/>
        <w:keepLines/>
        <w:numPr>
          <w:ilvl w:val="0"/>
          <w:numId w:val="2"/>
        </w:numPr>
        <w:spacing w:after="240" w:line="240" w:lineRule="atLeast"/>
        <w:ind w:left="1418" w:hanging="851"/>
        <w:jc w:val="both"/>
        <w:rPr>
          <w:b w:val="0"/>
          <w:bCs w:val="0"/>
          <w:i/>
          <w:iCs/>
          <w:sz w:val="24"/>
        </w:rPr>
      </w:pPr>
      <w:r w:rsidRPr="008526C9">
        <w:rPr>
          <w:i/>
          <w:sz w:val="24"/>
        </w:rPr>
        <w:t xml:space="preserve">Full Paying  </w:t>
      </w:r>
    </w:p>
    <w:p w:rsidR="008526C9" w:rsidRPr="008526C9" w:rsidRDefault="008526C9" w:rsidP="008526C9">
      <w:pPr>
        <w:pStyle w:val="ListParagraph"/>
        <w:spacing w:after="160"/>
        <w:ind w:left="1418"/>
        <w:jc w:val="both"/>
        <w:rPr>
          <w:sz w:val="24"/>
        </w:rPr>
      </w:pPr>
      <w:r w:rsidRPr="008526C9">
        <w:rPr>
          <w:sz w:val="24"/>
        </w:rPr>
        <w:t>This category of users includes but is not limited to externally funded users, users being treated by their private practitioner and certain categories. They are liable for the full UPFS fee.</w:t>
      </w:r>
    </w:p>
    <w:p w:rsidR="008526C9" w:rsidRPr="008526C9" w:rsidRDefault="008526C9" w:rsidP="008526C9">
      <w:pPr>
        <w:pStyle w:val="ListParagraph"/>
        <w:spacing w:after="160"/>
        <w:ind w:left="1418" w:hanging="851"/>
        <w:jc w:val="both"/>
        <w:rPr>
          <w:sz w:val="24"/>
        </w:rPr>
      </w:pPr>
    </w:p>
    <w:p w:rsidR="008526C9" w:rsidRPr="008526C9" w:rsidRDefault="008526C9" w:rsidP="008526C9">
      <w:pPr>
        <w:pStyle w:val="Heading2"/>
        <w:keepLines/>
        <w:numPr>
          <w:ilvl w:val="0"/>
          <w:numId w:val="3"/>
        </w:numPr>
        <w:spacing w:after="240" w:line="240" w:lineRule="atLeast"/>
        <w:ind w:left="1418" w:hanging="851"/>
        <w:jc w:val="both"/>
        <w:rPr>
          <w:b w:val="0"/>
          <w:i/>
          <w:sz w:val="24"/>
        </w:rPr>
      </w:pPr>
      <w:r w:rsidRPr="008526C9">
        <w:rPr>
          <w:i/>
          <w:sz w:val="24"/>
        </w:rPr>
        <w:t xml:space="preserve">Subsidised </w:t>
      </w:r>
    </w:p>
    <w:p w:rsidR="008526C9" w:rsidRPr="008526C9" w:rsidRDefault="008526C9" w:rsidP="008526C9">
      <w:pPr>
        <w:pStyle w:val="BodyText"/>
        <w:spacing w:line="276" w:lineRule="auto"/>
        <w:ind w:left="1418"/>
        <w:rPr>
          <w:b/>
          <w:sz w:val="24"/>
        </w:rPr>
      </w:pPr>
      <w:proofErr w:type="spellStart"/>
      <w:r w:rsidRPr="008526C9">
        <w:rPr>
          <w:sz w:val="24"/>
        </w:rPr>
        <w:t>Subsidised</w:t>
      </w:r>
      <w:proofErr w:type="spellEnd"/>
      <w:r w:rsidRPr="008526C9">
        <w:rPr>
          <w:sz w:val="24"/>
        </w:rPr>
        <w:t xml:space="preserve"> users are </w:t>
      </w:r>
      <w:proofErr w:type="spellStart"/>
      <w:r w:rsidRPr="008526C9">
        <w:rPr>
          <w:sz w:val="24"/>
        </w:rPr>
        <w:t>categorised</w:t>
      </w:r>
      <w:proofErr w:type="spellEnd"/>
      <w:r w:rsidRPr="008526C9">
        <w:rPr>
          <w:sz w:val="24"/>
        </w:rPr>
        <w:t xml:space="preserve"> based on their ability to pay for health services into four categories: H0, H1, H2 and H3. The fees payable by </w:t>
      </w:r>
      <w:proofErr w:type="spellStart"/>
      <w:r w:rsidRPr="008526C9">
        <w:rPr>
          <w:sz w:val="24"/>
        </w:rPr>
        <w:t>subsidised</w:t>
      </w:r>
      <w:proofErr w:type="spellEnd"/>
      <w:r w:rsidRPr="008526C9">
        <w:rPr>
          <w:sz w:val="24"/>
        </w:rPr>
        <w:t xml:space="preserve"> users are expressed as a percentage of the fees payable by full paying users as determined by the latest edition of the Uniform Patient Fee Schedule (UPFS).</w:t>
      </w:r>
    </w:p>
    <w:p w:rsidR="008526C9" w:rsidRPr="008526C9" w:rsidRDefault="008526C9" w:rsidP="008526C9">
      <w:pPr>
        <w:pStyle w:val="ListParagraph"/>
        <w:spacing w:after="160"/>
        <w:ind w:left="1418" w:hanging="851"/>
        <w:jc w:val="both"/>
        <w:rPr>
          <w:color w:val="000000"/>
          <w:sz w:val="24"/>
        </w:rPr>
      </w:pPr>
    </w:p>
    <w:p w:rsidR="008526C9" w:rsidRPr="008526C9" w:rsidRDefault="008526C9" w:rsidP="008526C9">
      <w:pPr>
        <w:pStyle w:val="Heading2"/>
        <w:keepLines/>
        <w:numPr>
          <w:ilvl w:val="0"/>
          <w:numId w:val="3"/>
        </w:numPr>
        <w:spacing w:after="240" w:line="240" w:lineRule="atLeast"/>
        <w:ind w:left="1418" w:hanging="851"/>
        <w:jc w:val="both"/>
        <w:rPr>
          <w:i/>
          <w:sz w:val="24"/>
        </w:rPr>
      </w:pPr>
      <w:r w:rsidRPr="008526C9">
        <w:rPr>
          <w:i/>
          <w:sz w:val="24"/>
        </w:rPr>
        <w:t xml:space="preserve">Free </w:t>
      </w:r>
    </w:p>
    <w:p w:rsidR="008526C9" w:rsidRPr="008526C9" w:rsidRDefault="008526C9" w:rsidP="008526C9">
      <w:pPr>
        <w:pStyle w:val="BlockText"/>
        <w:spacing w:line="276" w:lineRule="auto"/>
        <w:ind w:left="1418" w:hanging="851"/>
        <w:rPr>
          <w:rFonts w:ascii="Arial" w:hAnsi="Arial" w:cs="Arial"/>
          <w:b w:val="0"/>
          <w:bCs/>
          <w:szCs w:val="24"/>
          <w:u w:val="single"/>
        </w:rPr>
      </w:pPr>
      <w:r w:rsidRPr="008526C9">
        <w:rPr>
          <w:rFonts w:ascii="Arial" w:hAnsi="Arial" w:cs="Arial"/>
          <w:spacing w:val="-5"/>
          <w:szCs w:val="24"/>
        </w:rPr>
        <w:t xml:space="preserve">       </w:t>
      </w:r>
      <w:r>
        <w:rPr>
          <w:rFonts w:ascii="Arial" w:hAnsi="Arial" w:cs="Arial"/>
          <w:spacing w:val="-5"/>
          <w:szCs w:val="24"/>
        </w:rPr>
        <w:tab/>
      </w:r>
      <w:r w:rsidRPr="008526C9">
        <w:rPr>
          <w:rFonts w:ascii="Arial" w:hAnsi="Arial" w:cs="Arial"/>
          <w:b w:val="0"/>
          <w:spacing w:val="-5"/>
          <w:szCs w:val="24"/>
        </w:rPr>
        <w:t>There are certain circumstances under which users will receive services free of charge independently of their classification as full paying or subsidised users. These circumstances have a statutory basis and apply only to the episode of care directly related to the circumstances under which the user has qualified for free services.</w:t>
      </w:r>
    </w:p>
    <w:p w:rsidR="008526C9" w:rsidRPr="008526C9" w:rsidRDefault="008526C9" w:rsidP="008526C9">
      <w:pPr>
        <w:pStyle w:val="BodyText"/>
        <w:spacing w:line="276" w:lineRule="auto"/>
        <w:ind w:left="720" w:hanging="567"/>
        <w:rPr>
          <w:sz w:val="24"/>
        </w:rPr>
      </w:pPr>
    </w:p>
    <w:p w:rsidR="008526C9" w:rsidRDefault="008526C9" w:rsidP="008526C9">
      <w:pPr>
        <w:pStyle w:val="BodyText"/>
        <w:numPr>
          <w:ilvl w:val="0"/>
          <w:numId w:val="4"/>
        </w:numPr>
        <w:spacing w:line="276" w:lineRule="auto"/>
        <w:ind w:hanging="567"/>
        <w:rPr>
          <w:sz w:val="24"/>
        </w:rPr>
      </w:pPr>
      <w:r w:rsidRPr="008526C9">
        <w:rPr>
          <w:sz w:val="24"/>
        </w:rPr>
        <w:t xml:space="preserve">The UPFS further makes provision for non </w:t>
      </w:r>
      <w:proofErr w:type="spellStart"/>
      <w:r w:rsidRPr="008526C9">
        <w:rPr>
          <w:sz w:val="24"/>
        </w:rPr>
        <w:t>subsidised</w:t>
      </w:r>
      <w:proofErr w:type="spellEnd"/>
      <w:r w:rsidRPr="008526C9">
        <w:rPr>
          <w:sz w:val="24"/>
        </w:rPr>
        <w:t xml:space="preserve"> services and the full UPFS tariff applies irrespective of the classification of the patient.</w:t>
      </w:r>
    </w:p>
    <w:p w:rsidR="008526C9" w:rsidRPr="008526C9" w:rsidRDefault="008526C9" w:rsidP="008526C9">
      <w:pPr>
        <w:pStyle w:val="BodyText"/>
        <w:spacing w:line="276" w:lineRule="auto"/>
        <w:ind w:left="153"/>
        <w:rPr>
          <w:sz w:val="24"/>
        </w:rPr>
      </w:pPr>
    </w:p>
    <w:p w:rsidR="008526C9" w:rsidRPr="008526C9" w:rsidRDefault="008526C9" w:rsidP="008526C9">
      <w:pPr>
        <w:pStyle w:val="BodyText"/>
        <w:numPr>
          <w:ilvl w:val="0"/>
          <w:numId w:val="2"/>
        </w:numPr>
        <w:spacing w:line="276" w:lineRule="auto"/>
        <w:ind w:left="1418" w:hanging="709"/>
        <w:rPr>
          <w:b/>
          <w:sz w:val="24"/>
        </w:rPr>
      </w:pPr>
      <w:r w:rsidRPr="008526C9">
        <w:rPr>
          <w:sz w:val="24"/>
        </w:rPr>
        <w:t>Cosmetic Surgery (None Medical Reasons)</w:t>
      </w:r>
    </w:p>
    <w:p w:rsidR="008526C9" w:rsidRPr="008526C9" w:rsidRDefault="008526C9" w:rsidP="008526C9">
      <w:pPr>
        <w:pStyle w:val="BodyText"/>
        <w:numPr>
          <w:ilvl w:val="0"/>
          <w:numId w:val="2"/>
        </w:numPr>
        <w:spacing w:line="276" w:lineRule="auto"/>
        <w:ind w:left="1418" w:hanging="709"/>
        <w:rPr>
          <w:b/>
          <w:sz w:val="24"/>
        </w:rPr>
      </w:pPr>
      <w:r w:rsidRPr="008526C9">
        <w:rPr>
          <w:sz w:val="24"/>
        </w:rPr>
        <w:t>Medical Reports</w:t>
      </w:r>
    </w:p>
    <w:p w:rsidR="008526C9" w:rsidRPr="008526C9" w:rsidRDefault="008526C9" w:rsidP="008526C9">
      <w:pPr>
        <w:pStyle w:val="BodyText"/>
        <w:numPr>
          <w:ilvl w:val="0"/>
          <w:numId w:val="2"/>
        </w:numPr>
        <w:spacing w:line="276" w:lineRule="auto"/>
        <w:ind w:left="1418" w:hanging="709"/>
        <w:rPr>
          <w:b/>
          <w:sz w:val="24"/>
        </w:rPr>
      </w:pPr>
      <w:r w:rsidRPr="008526C9">
        <w:rPr>
          <w:sz w:val="24"/>
        </w:rPr>
        <w:lastRenderedPageBreak/>
        <w:t>Mortuary services</w:t>
      </w:r>
    </w:p>
    <w:p w:rsidR="008526C9" w:rsidRPr="008526C9" w:rsidRDefault="008526C9" w:rsidP="008526C9">
      <w:pPr>
        <w:pStyle w:val="BodyText"/>
        <w:numPr>
          <w:ilvl w:val="0"/>
          <w:numId w:val="2"/>
        </w:numPr>
        <w:spacing w:line="276" w:lineRule="auto"/>
        <w:ind w:left="1418" w:hanging="709"/>
        <w:rPr>
          <w:b/>
          <w:sz w:val="24"/>
        </w:rPr>
      </w:pPr>
      <w:r w:rsidRPr="008526C9">
        <w:rPr>
          <w:sz w:val="24"/>
        </w:rPr>
        <w:t>Autopsies</w:t>
      </w:r>
    </w:p>
    <w:p w:rsidR="008526C9" w:rsidRPr="008526C9" w:rsidRDefault="008526C9" w:rsidP="008526C9">
      <w:pPr>
        <w:pStyle w:val="BodyText"/>
        <w:numPr>
          <w:ilvl w:val="0"/>
          <w:numId w:val="2"/>
        </w:numPr>
        <w:spacing w:line="276" w:lineRule="auto"/>
        <w:ind w:left="1418" w:hanging="709"/>
        <w:rPr>
          <w:b/>
          <w:sz w:val="24"/>
        </w:rPr>
      </w:pPr>
      <w:r w:rsidRPr="008526C9">
        <w:rPr>
          <w:sz w:val="24"/>
        </w:rPr>
        <w:t>Port Health and Travel Medicine</w:t>
      </w:r>
    </w:p>
    <w:p w:rsidR="008526C9" w:rsidRPr="008526C9" w:rsidRDefault="008526C9" w:rsidP="008526C9">
      <w:pPr>
        <w:pStyle w:val="BodyText"/>
        <w:spacing w:after="160"/>
        <w:ind w:left="360" w:hanging="567"/>
        <w:rPr>
          <w:sz w:val="24"/>
        </w:rPr>
      </w:pPr>
    </w:p>
    <w:p w:rsidR="008526C9" w:rsidRPr="008526C9" w:rsidRDefault="008526C9" w:rsidP="008526C9">
      <w:pPr>
        <w:pStyle w:val="BodyTextIndent"/>
        <w:tabs>
          <w:tab w:val="left" w:pos="709"/>
        </w:tabs>
        <w:ind w:hanging="567"/>
        <w:rPr>
          <w:b/>
          <w:bCs/>
          <w:sz w:val="24"/>
        </w:rPr>
      </w:pPr>
      <w:r w:rsidRPr="008526C9">
        <w:rPr>
          <w:b/>
          <w:bCs/>
          <w:sz w:val="24"/>
        </w:rPr>
        <w:t xml:space="preserve">   </w:t>
      </w:r>
      <w:r>
        <w:rPr>
          <w:b/>
          <w:bCs/>
          <w:sz w:val="24"/>
        </w:rPr>
        <w:tab/>
      </w:r>
      <w:r w:rsidRPr="008526C9">
        <w:rPr>
          <w:b/>
          <w:bCs/>
          <w:sz w:val="24"/>
        </w:rPr>
        <w:t>MEDICAL REPORTS (Examinations)</w:t>
      </w:r>
    </w:p>
    <w:p w:rsidR="008526C9" w:rsidRPr="008526C9" w:rsidRDefault="008526C9" w:rsidP="008526C9">
      <w:pPr>
        <w:pStyle w:val="BodyTextIndent"/>
        <w:tabs>
          <w:tab w:val="left" w:pos="709"/>
        </w:tabs>
        <w:ind w:hanging="567"/>
        <w:rPr>
          <w:b/>
          <w:bCs/>
          <w:sz w:val="24"/>
        </w:rPr>
      </w:pPr>
    </w:p>
    <w:p w:rsidR="008526C9" w:rsidRPr="008526C9" w:rsidRDefault="008526C9" w:rsidP="008526C9">
      <w:pPr>
        <w:pStyle w:val="BodyTextIndent"/>
        <w:rPr>
          <w:sz w:val="24"/>
        </w:rPr>
      </w:pPr>
      <w:r w:rsidRPr="008526C9">
        <w:rPr>
          <w:sz w:val="24"/>
        </w:rPr>
        <w:t>This tariff is levied for the completion of a report for insurance or any other purpose e.g. medico-legal and / or procedure above that required for the purposes of the report are undertaken. If a clinical examination and/or procedure are undertaken in addition to the examination, the relevant categories of that particular tariff should also be charged.</w:t>
      </w:r>
    </w:p>
    <w:p w:rsidR="008526C9" w:rsidRPr="008526C9" w:rsidRDefault="008526C9" w:rsidP="008526C9">
      <w:pPr>
        <w:pStyle w:val="BodyTextIndent"/>
        <w:ind w:left="0" w:hanging="567"/>
        <w:rPr>
          <w:b/>
          <w:sz w:val="24"/>
        </w:rPr>
      </w:pPr>
    </w:p>
    <w:p w:rsidR="008526C9" w:rsidRPr="008526C9" w:rsidRDefault="008526C9" w:rsidP="008526C9">
      <w:pPr>
        <w:pStyle w:val="BodyTextIndent"/>
        <w:tabs>
          <w:tab w:val="left" w:pos="709"/>
        </w:tabs>
        <w:ind w:left="720" w:firstLine="0"/>
        <w:rPr>
          <w:sz w:val="24"/>
        </w:rPr>
      </w:pPr>
      <w:r w:rsidRPr="008526C9">
        <w:rPr>
          <w:sz w:val="24"/>
        </w:rPr>
        <w:t>T</w:t>
      </w:r>
      <w:r w:rsidRPr="008526C9">
        <w:rPr>
          <w:bCs/>
          <w:sz w:val="24"/>
        </w:rPr>
        <w:t>he tariff fee is payable strictly in advance before any information is disclosed.</w:t>
      </w:r>
      <w:r w:rsidRPr="008526C9">
        <w:rPr>
          <w:sz w:val="24"/>
        </w:rPr>
        <w:t xml:space="preserve"> This tariff grouping accommodates: the issue and/or the completion of original medical reports and the completion of certificates/forms; as well as the issue of copies of reports/records.</w:t>
      </w:r>
    </w:p>
    <w:p w:rsidR="008526C9" w:rsidRPr="008526C9" w:rsidRDefault="008526C9" w:rsidP="008526C9">
      <w:pPr>
        <w:pStyle w:val="BlockText"/>
        <w:ind w:hanging="567"/>
        <w:rPr>
          <w:rFonts w:ascii="Arial" w:hAnsi="Arial" w:cs="Arial"/>
          <w:b w:val="0"/>
          <w:bCs/>
          <w:szCs w:val="24"/>
          <w:u w:val="single"/>
        </w:rPr>
      </w:pPr>
    </w:p>
    <w:p w:rsidR="008526C9" w:rsidRPr="008526C9" w:rsidRDefault="008526C9" w:rsidP="008526C9">
      <w:pPr>
        <w:pStyle w:val="BlockText"/>
        <w:ind w:left="1276" w:hanging="567"/>
        <w:rPr>
          <w:rFonts w:ascii="Arial" w:hAnsi="Arial" w:cs="Arial"/>
          <w:b w:val="0"/>
          <w:bCs/>
          <w:szCs w:val="24"/>
        </w:rPr>
      </w:pPr>
      <w:r w:rsidRPr="008526C9">
        <w:rPr>
          <w:rFonts w:ascii="Arial" w:hAnsi="Arial" w:cs="Arial"/>
          <w:bCs/>
          <w:szCs w:val="24"/>
        </w:rPr>
        <w:t xml:space="preserve">Current UPFS </w:t>
      </w:r>
    </w:p>
    <w:p w:rsidR="008526C9" w:rsidRPr="008526C9" w:rsidRDefault="008526C9" w:rsidP="008526C9">
      <w:pPr>
        <w:pStyle w:val="BlockText"/>
        <w:ind w:left="1276" w:hanging="567"/>
        <w:rPr>
          <w:rFonts w:ascii="Arial" w:hAnsi="Arial" w:cs="Arial"/>
          <w:bCs/>
          <w:szCs w:val="24"/>
        </w:rPr>
      </w:pPr>
      <w:r w:rsidRPr="008526C9">
        <w:rPr>
          <w:rFonts w:ascii="Arial" w:hAnsi="Arial" w:cs="Arial"/>
          <w:bCs/>
          <w:szCs w:val="24"/>
        </w:rPr>
        <w:t xml:space="preserve">The tariff payable by e.g. Medical Scheme, Insurance Company etc. is R620.00 for </w:t>
      </w:r>
    </w:p>
    <w:p w:rsidR="008526C9" w:rsidRPr="00A01223" w:rsidRDefault="008526C9" w:rsidP="008526C9">
      <w:pPr>
        <w:pStyle w:val="BlockText"/>
        <w:ind w:left="1276" w:hanging="567"/>
        <w:rPr>
          <w:rFonts w:ascii="Arial" w:hAnsi="Arial" w:cs="Arial"/>
          <w:bCs/>
          <w:sz w:val="22"/>
          <w:szCs w:val="22"/>
        </w:rPr>
      </w:pPr>
      <w:r w:rsidRPr="008526C9">
        <w:rPr>
          <w:rFonts w:ascii="Arial" w:hAnsi="Arial" w:cs="Arial"/>
          <w:bCs/>
          <w:szCs w:val="24"/>
        </w:rPr>
        <w:t>the financial year 2019/2020</w:t>
      </w:r>
    </w:p>
    <w:tbl>
      <w:tblPr>
        <w:tblW w:w="9639" w:type="dxa"/>
        <w:tblInd w:w="699" w:type="dxa"/>
        <w:tblLook w:val="04A0" w:firstRow="1" w:lastRow="0" w:firstColumn="1" w:lastColumn="0" w:noHBand="0" w:noVBand="1"/>
      </w:tblPr>
      <w:tblGrid>
        <w:gridCol w:w="752"/>
        <w:gridCol w:w="2229"/>
        <w:gridCol w:w="968"/>
        <w:gridCol w:w="1748"/>
        <w:gridCol w:w="1268"/>
        <w:gridCol w:w="1268"/>
        <w:gridCol w:w="1406"/>
      </w:tblGrid>
      <w:tr w:rsidR="008526C9" w:rsidRPr="00A01223" w:rsidTr="00A01223">
        <w:trPr>
          <w:trHeight w:val="46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8526C9" w:rsidRPr="00A01223" w:rsidRDefault="008526C9" w:rsidP="008526C9">
            <w:pPr>
              <w:ind w:hanging="100"/>
              <w:jc w:val="both"/>
              <w:rPr>
                <w:b/>
                <w:bCs/>
                <w:color w:val="000000"/>
                <w:szCs w:val="22"/>
              </w:rPr>
            </w:pPr>
            <w:r w:rsidRPr="00A01223">
              <w:rPr>
                <w:b/>
                <w:bCs/>
                <w:color w:val="000000"/>
                <w:szCs w:val="22"/>
              </w:rPr>
              <w:t>CODE</w:t>
            </w:r>
          </w:p>
        </w:tc>
        <w:tc>
          <w:tcPr>
            <w:tcW w:w="2239"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8526C9" w:rsidRPr="00A01223" w:rsidRDefault="008526C9" w:rsidP="008526C9">
            <w:pPr>
              <w:ind w:firstLine="137"/>
              <w:jc w:val="both"/>
              <w:rPr>
                <w:b/>
                <w:bCs/>
                <w:color w:val="000000"/>
                <w:szCs w:val="22"/>
              </w:rPr>
            </w:pPr>
            <w:r w:rsidRPr="00A01223">
              <w:rPr>
                <w:b/>
                <w:bCs/>
                <w:color w:val="000000"/>
                <w:szCs w:val="22"/>
              </w:rPr>
              <w:t>DESCRIPTION</w:t>
            </w:r>
          </w:p>
        </w:tc>
        <w:tc>
          <w:tcPr>
            <w:tcW w:w="970"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8526C9" w:rsidRPr="00A01223" w:rsidRDefault="008526C9" w:rsidP="008526C9">
            <w:pPr>
              <w:ind w:hanging="24"/>
              <w:jc w:val="both"/>
              <w:rPr>
                <w:b/>
                <w:bCs/>
                <w:color w:val="000000"/>
                <w:szCs w:val="22"/>
              </w:rPr>
            </w:pPr>
            <w:r w:rsidRPr="00A01223">
              <w:rPr>
                <w:b/>
                <w:bCs/>
                <w:color w:val="000000"/>
                <w:szCs w:val="22"/>
              </w:rPr>
              <w:t>BASIS</w:t>
            </w:r>
          </w:p>
        </w:tc>
        <w:tc>
          <w:tcPr>
            <w:tcW w:w="1752" w:type="dxa"/>
            <w:tcBorders>
              <w:top w:val="single" w:sz="8" w:space="0" w:color="auto"/>
              <w:left w:val="nil"/>
              <w:bottom w:val="nil"/>
              <w:right w:val="single" w:sz="4" w:space="0" w:color="auto"/>
            </w:tcBorders>
            <w:shd w:val="clear" w:color="auto" w:fill="auto"/>
            <w:vAlign w:val="bottom"/>
            <w:hideMark/>
          </w:tcPr>
          <w:p w:rsidR="008526C9" w:rsidRPr="00A01223" w:rsidRDefault="008526C9" w:rsidP="008526C9">
            <w:pPr>
              <w:ind w:firstLine="48"/>
              <w:jc w:val="both"/>
              <w:rPr>
                <w:b/>
                <w:bCs/>
                <w:color w:val="000000"/>
                <w:szCs w:val="22"/>
              </w:rPr>
            </w:pPr>
            <w:r w:rsidRPr="00A01223">
              <w:rPr>
                <w:b/>
                <w:bCs/>
                <w:color w:val="000000"/>
                <w:szCs w:val="22"/>
              </w:rPr>
              <w:t>Professional Fee</w:t>
            </w:r>
          </w:p>
        </w:tc>
        <w:tc>
          <w:tcPr>
            <w:tcW w:w="3969" w:type="dxa"/>
            <w:gridSpan w:val="3"/>
            <w:tcBorders>
              <w:top w:val="single" w:sz="8" w:space="0" w:color="auto"/>
              <w:left w:val="nil"/>
              <w:bottom w:val="single" w:sz="4" w:space="0" w:color="auto"/>
              <w:right w:val="single" w:sz="8" w:space="0" w:color="000000"/>
            </w:tcBorders>
            <w:shd w:val="clear" w:color="auto" w:fill="auto"/>
            <w:vAlign w:val="bottom"/>
            <w:hideMark/>
          </w:tcPr>
          <w:p w:rsidR="008526C9" w:rsidRPr="00A01223" w:rsidRDefault="008526C9" w:rsidP="008526C9">
            <w:pPr>
              <w:ind w:hanging="567"/>
              <w:jc w:val="both"/>
              <w:rPr>
                <w:b/>
                <w:bCs/>
                <w:color w:val="FFFFFF"/>
                <w:szCs w:val="22"/>
              </w:rPr>
            </w:pPr>
            <w:r w:rsidRPr="00A01223">
              <w:rPr>
                <w:b/>
                <w:bCs/>
                <w:color w:val="FFFFFF"/>
                <w:szCs w:val="22"/>
              </w:rPr>
              <w:t>FACILITY FEE</w:t>
            </w:r>
          </w:p>
        </w:tc>
      </w:tr>
      <w:tr w:rsidR="008526C9" w:rsidRPr="00A01223" w:rsidTr="00A01223">
        <w:trPr>
          <w:trHeight w:val="300"/>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8526C9" w:rsidRPr="00A01223" w:rsidRDefault="008526C9" w:rsidP="008526C9">
            <w:pPr>
              <w:ind w:hanging="567"/>
              <w:jc w:val="both"/>
              <w:rPr>
                <w:b/>
                <w:bCs/>
                <w:color w:val="000000"/>
                <w:szCs w:val="22"/>
              </w:rPr>
            </w:pPr>
          </w:p>
        </w:tc>
        <w:tc>
          <w:tcPr>
            <w:tcW w:w="2239" w:type="dxa"/>
            <w:vMerge/>
            <w:tcBorders>
              <w:top w:val="single" w:sz="8" w:space="0" w:color="auto"/>
              <w:left w:val="single" w:sz="4" w:space="0" w:color="auto"/>
              <w:bottom w:val="single" w:sz="8" w:space="0" w:color="000000"/>
              <w:right w:val="single" w:sz="4" w:space="0" w:color="auto"/>
            </w:tcBorders>
            <w:vAlign w:val="center"/>
            <w:hideMark/>
          </w:tcPr>
          <w:p w:rsidR="008526C9" w:rsidRPr="00A01223" w:rsidRDefault="008526C9" w:rsidP="008526C9">
            <w:pPr>
              <w:ind w:hanging="567"/>
              <w:jc w:val="both"/>
              <w:rPr>
                <w:b/>
                <w:bCs/>
                <w:color w:val="000000"/>
                <w:szCs w:val="22"/>
              </w:rPr>
            </w:pPr>
          </w:p>
        </w:tc>
        <w:tc>
          <w:tcPr>
            <w:tcW w:w="970" w:type="dxa"/>
            <w:vMerge/>
            <w:tcBorders>
              <w:top w:val="single" w:sz="8" w:space="0" w:color="auto"/>
              <w:left w:val="single" w:sz="4" w:space="0" w:color="auto"/>
              <w:bottom w:val="single" w:sz="8" w:space="0" w:color="000000"/>
              <w:right w:val="single" w:sz="4" w:space="0" w:color="auto"/>
            </w:tcBorders>
            <w:vAlign w:val="center"/>
            <w:hideMark/>
          </w:tcPr>
          <w:p w:rsidR="008526C9" w:rsidRPr="00A01223" w:rsidRDefault="008526C9" w:rsidP="008526C9">
            <w:pPr>
              <w:ind w:hanging="567"/>
              <w:jc w:val="both"/>
              <w:rPr>
                <w:b/>
                <w:bCs/>
                <w:color w:val="000000"/>
                <w:szCs w:val="22"/>
              </w:rPr>
            </w:pPr>
          </w:p>
        </w:tc>
        <w:tc>
          <w:tcPr>
            <w:tcW w:w="1752" w:type="dxa"/>
            <w:tcBorders>
              <w:top w:val="nil"/>
              <w:left w:val="nil"/>
              <w:bottom w:val="nil"/>
              <w:right w:val="single" w:sz="4" w:space="0" w:color="auto"/>
            </w:tcBorders>
            <w:shd w:val="clear" w:color="auto" w:fill="auto"/>
            <w:vAlign w:val="bottom"/>
            <w:hideMark/>
          </w:tcPr>
          <w:p w:rsidR="008526C9" w:rsidRPr="00A01223" w:rsidRDefault="008526C9" w:rsidP="00A01223">
            <w:pPr>
              <w:ind w:left="-233" w:hanging="425"/>
              <w:jc w:val="both"/>
              <w:rPr>
                <w:b/>
                <w:bCs/>
                <w:szCs w:val="22"/>
              </w:rPr>
            </w:pPr>
            <w:r w:rsidRPr="00A01223">
              <w:rPr>
                <w:b/>
                <w:bCs/>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8526C9" w:rsidRPr="00A01223" w:rsidRDefault="008526C9" w:rsidP="00A01223">
            <w:pPr>
              <w:jc w:val="both"/>
              <w:rPr>
                <w:b/>
                <w:bCs/>
                <w:color w:val="000000"/>
                <w:szCs w:val="22"/>
              </w:rPr>
            </w:pPr>
            <w:r w:rsidRPr="00A01223">
              <w:rPr>
                <w:b/>
                <w:bCs/>
                <w:color w:val="000000"/>
                <w:szCs w:val="22"/>
              </w:rPr>
              <w:t>LEVEL 1</w:t>
            </w:r>
          </w:p>
        </w:tc>
        <w:tc>
          <w:tcPr>
            <w:tcW w:w="1276" w:type="dxa"/>
            <w:tcBorders>
              <w:top w:val="nil"/>
              <w:left w:val="nil"/>
              <w:bottom w:val="single" w:sz="4" w:space="0" w:color="auto"/>
              <w:right w:val="single" w:sz="4" w:space="0" w:color="auto"/>
            </w:tcBorders>
            <w:shd w:val="clear" w:color="auto" w:fill="auto"/>
            <w:vAlign w:val="bottom"/>
            <w:hideMark/>
          </w:tcPr>
          <w:p w:rsidR="008526C9" w:rsidRPr="00A01223" w:rsidRDefault="008526C9" w:rsidP="00A01223">
            <w:pPr>
              <w:jc w:val="both"/>
              <w:rPr>
                <w:b/>
                <w:bCs/>
                <w:color w:val="000000"/>
                <w:szCs w:val="22"/>
              </w:rPr>
            </w:pPr>
            <w:r w:rsidRPr="00A01223">
              <w:rPr>
                <w:b/>
                <w:bCs/>
                <w:color w:val="000000"/>
                <w:szCs w:val="22"/>
              </w:rPr>
              <w:t>LEVEL 2</w:t>
            </w:r>
          </w:p>
        </w:tc>
        <w:tc>
          <w:tcPr>
            <w:tcW w:w="1417" w:type="dxa"/>
            <w:tcBorders>
              <w:top w:val="nil"/>
              <w:left w:val="nil"/>
              <w:bottom w:val="single" w:sz="4" w:space="0" w:color="auto"/>
              <w:right w:val="single" w:sz="8" w:space="0" w:color="auto"/>
            </w:tcBorders>
            <w:shd w:val="clear" w:color="auto" w:fill="auto"/>
            <w:vAlign w:val="bottom"/>
            <w:hideMark/>
          </w:tcPr>
          <w:p w:rsidR="008526C9" w:rsidRPr="00A01223" w:rsidRDefault="008526C9" w:rsidP="00A01223">
            <w:pPr>
              <w:jc w:val="both"/>
              <w:rPr>
                <w:b/>
                <w:bCs/>
                <w:color w:val="000000"/>
                <w:szCs w:val="22"/>
              </w:rPr>
            </w:pPr>
            <w:r w:rsidRPr="00A01223">
              <w:rPr>
                <w:b/>
                <w:bCs/>
                <w:color w:val="000000"/>
                <w:szCs w:val="22"/>
              </w:rPr>
              <w:t>LEVEL 3</w:t>
            </w:r>
          </w:p>
        </w:tc>
      </w:tr>
      <w:tr w:rsidR="008526C9" w:rsidRPr="00A01223" w:rsidTr="00A01223">
        <w:trPr>
          <w:trHeight w:val="315"/>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8526C9" w:rsidRPr="00A01223" w:rsidRDefault="008526C9" w:rsidP="008526C9">
            <w:pPr>
              <w:ind w:hanging="567"/>
              <w:jc w:val="both"/>
              <w:rPr>
                <w:b/>
                <w:bCs/>
                <w:color w:val="000000"/>
                <w:szCs w:val="22"/>
              </w:rPr>
            </w:pPr>
          </w:p>
        </w:tc>
        <w:tc>
          <w:tcPr>
            <w:tcW w:w="2239" w:type="dxa"/>
            <w:vMerge/>
            <w:tcBorders>
              <w:top w:val="single" w:sz="8" w:space="0" w:color="auto"/>
              <w:left w:val="single" w:sz="4" w:space="0" w:color="auto"/>
              <w:bottom w:val="single" w:sz="8" w:space="0" w:color="000000"/>
              <w:right w:val="single" w:sz="4" w:space="0" w:color="auto"/>
            </w:tcBorders>
            <w:vAlign w:val="center"/>
            <w:hideMark/>
          </w:tcPr>
          <w:p w:rsidR="008526C9" w:rsidRPr="00A01223" w:rsidRDefault="008526C9" w:rsidP="008526C9">
            <w:pPr>
              <w:ind w:hanging="567"/>
              <w:jc w:val="both"/>
              <w:rPr>
                <w:b/>
                <w:bCs/>
                <w:color w:val="000000"/>
                <w:szCs w:val="22"/>
              </w:rPr>
            </w:pPr>
          </w:p>
        </w:tc>
        <w:tc>
          <w:tcPr>
            <w:tcW w:w="970" w:type="dxa"/>
            <w:vMerge/>
            <w:tcBorders>
              <w:top w:val="single" w:sz="8" w:space="0" w:color="auto"/>
              <w:left w:val="single" w:sz="4" w:space="0" w:color="auto"/>
              <w:bottom w:val="single" w:sz="8" w:space="0" w:color="000000"/>
              <w:right w:val="single" w:sz="4" w:space="0" w:color="auto"/>
            </w:tcBorders>
            <w:vAlign w:val="center"/>
            <w:hideMark/>
          </w:tcPr>
          <w:p w:rsidR="008526C9" w:rsidRPr="00A01223" w:rsidRDefault="008526C9" w:rsidP="008526C9">
            <w:pPr>
              <w:ind w:hanging="567"/>
              <w:jc w:val="both"/>
              <w:rPr>
                <w:b/>
                <w:bCs/>
                <w:color w:val="000000"/>
                <w:szCs w:val="22"/>
              </w:rPr>
            </w:pPr>
          </w:p>
        </w:tc>
        <w:tc>
          <w:tcPr>
            <w:tcW w:w="1752" w:type="dxa"/>
            <w:tcBorders>
              <w:top w:val="nil"/>
              <w:left w:val="nil"/>
              <w:bottom w:val="single" w:sz="8" w:space="0" w:color="auto"/>
              <w:right w:val="single" w:sz="4" w:space="0" w:color="auto"/>
            </w:tcBorders>
            <w:shd w:val="clear" w:color="auto" w:fill="auto"/>
            <w:vAlign w:val="bottom"/>
            <w:hideMark/>
          </w:tcPr>
          <w:p w:rsidR="008526C9" w:rsidRPr="00A01223" w:rsidRDefault="008526C9" w:rsidP="008526C9">
            <w:pPr>
              <w:ind w:hanging="567"/>
              <w:jc w:val="both"/>
              <w:rPr>
                <w:b/>
                <w:bCs/>
                <w:color w:val="000000"/>
                <w:szCs w:val="22"/>
              </w:rPr>
            </w:pPr>
            <w:r w:rsidRPr="00A01223">
              <w:rPr>
                <w:b/>
                <w:bCs/>
                <w:color w:val="000000"/>
                <w:szCs w:val="22"/>
              </w:rPr>
              <w:t>R</w:t>
            </w:r>
          </w:p>
        </w:tc>
        <w:tc>
          <w:tcPr>
            <w:tcW w:w="1276" w:type="dxa"/>
            <w:tcBorders>
              <w:top w:val="nil"/>
              <w:left w:val="nil"/>
              <w:bottom w:val="single" w:sz="8" w:space="0" w:color="auto"/>
              <w:right w:val="single" w:sz="4" w:space="0" w:color="auto"/>
            </w:tcBorders>
            <w:shd w:val="clear" w:color="auto" w:fill="auto"/>
            <w:vAlign w:val="bottom"/>
            <w:hideMark/>
          </w:tcPr>
          <w:p w:rsidR="008526C9" w:rsidRPr="00A01223" w:rsidRDefault="008526C9" w:rsidP="008526C9">
            <w:pPr>
              <w:ind w:hanging="567"/>
              <w:jc w:val="both"/>
              <w:rPr>
                <w:color w:val="000000"/>
                <w:szCs w:val="22"/>
              </w:rPr>
            </w:pPr>
            <w:r w:rsidRPr="00A01223">
              <w:rPr>
                <w:color w:val="000000"/>
                <w:szCs w:val="22"/>
              </w:rPr>
              <w:t>R</w:t>
            </w:r>
          </w:p>
        </w:tc>
        <w:tc>
          <w:tcPr>
            <w:tcW w:w="1276" w:type="dxa"/>
            <w:tcBorders>
              <w:top w:val="nil"/>
              <w:left w:val="nil"/>
              <w:bottom w:val="single" w:sz="8" w:space="0" w:color="auto"/>
              <w:right w:val="single" w:sz="4" w:space="0" w:color="auto"/>
            </w:tcBorders>
            <w:shd w:val="clear" w:color="auto" w:fill="auto"/>
            <w:vAlign w:val="bottom"/>
            <w:hideMark/>
          </w:tcPr>
          <w:p w:rsidR="008526C9" w:rsidRPr="00A01223" w:rsidRDefault="008526C9" w:rsidP="008526C9">
            <w:pPr>
              <w:ind w:hanging="567"/>
              <w:jc w:val="both"/>
              <w:rPr>
                <w:color w:val="000000"/>
                <w:szCs w:val="22"/>
              </w:rPr>
            </w:pPr>
            <w:r w:rsidRPr="00A01223">
              <w:rPr>
                <w:color w:val="000000"/>
                <w:szCs w:val="22"/>
              </w:rPr>
              <w:t>R</w:t>
            </w:r>
          </w:p>
        </w:tc>
        <w:tc>
          <w:tcPr>
            <w:tcW w:w="1417" w:type="dxa"/>
            <w:tcBorders>
              <w:top w:val="nil"/>
              <w:left w:val="nil"/>
              <w:bottom w:val="single" w:sz="8" w:space="0" w:color="auto"/>
              <w:right w:val="single" w:sz="8" w:space="0" w:color="auto"/>
            </w:tcBorders>
            <w:shd w:val="clear" w:color="auto" w:fill="auto"/>
            <w:vAlign w:val="bottom"/>
            <w:hideMark/>
          </w:tcPr>
          <w:p w:rsidR="008526C9" w:rsidRPr="00A01223" w:rsidRDefault="008526C9" w:rsidP="008526C9">
            <w:pPr>
              <w:ind w:hanging="567"/>
              <w:jc w:val="both"/>
              <w:rPr>
                <w:szCs w:val="22"/>
              </w:rPr>
            </w:pPr>
            <w:r w:rsidRPr="00A01223">
              <w:rPr>
                <w:szCs w:val="22"/>
              </w:rPr>
              <w:t>R</w:t>
            </w:r>
          </w:p>
        </w:tc>
      </w:tr>
    </w:tbl>
    <w:p w:rsidR="008526C9" w:rsidRPr="00A01223" w:rsidRDefault="008526C9" w:rsidP="008526C9">
      <w:pPr>
        <w:pStyle w:val="BlockText"/>
        <w:ind w:left="0" w:hanging="567"/>
        <w:rPr>
          <w:rFonts w:ascii="Arial" w:hAnsi="Arial" w:cs="Arial"/>
          <w:bCs/>
          <w:sz w:val="22"/>
          <w:szCs w:val="22"/>
        </w:rPr>
      </w:pPr>
    </w:p>
    <w:tbl>
      <w:tblPr>
        <w:tblW w:w="9639" w:type="dxa"/>
        <w:tblInd w:w="699" w:type="dxa"/>
        <w:tblLook w:val="04A0" w:firstRow="1" w:lastRow="0" w:firstColumn="1" w:lastColumn="0" w:noHBand="0" w:noVBand="1"/>
      </w:tblPr>
      <w:tblGrid>
        <w:gridCol w:w="709"/>
        <w:gridCol w:w="3260"/>
        <w:gridCol w:w="1134"/>
        <w:gridCol w:w="567"/>
        <w:gridCol w:w="1339"/>
        <w:gridCol w:w="1247"/>
        <w:gridCol w:w="1383"/>
      </w:tblGrid>
      <w:tr w:rsidR="008526C9" w:rsidRPr="00A01223" w:rsidTr="00A01223">
        <w:trPr>
          <w:trHeight w:val="315"/>
        </w:trPr>
        <w:tc>
          <w:tcPr>
            <w:tcW w:w="709" w:type="dxa"/>
            <w:tcBorders>
              <w:top w:val="single" w:sz="4" w:space="0" w:color="auto"/>
              <w:left w:val="single" w:sz="8" w:space="0" w:color="auto"/>
              <w:bottom w:val="nil"/>
              <w:right w:val="single" w:sz="4" w:space="0" w:color="auto"/>
            </w:tcBorders>
            <w:shd w:val="clear" w:color="auto" w:fill="auto"/>
            <w:vAlign w:val="bottom"/>
            <w:hideMark/>
          </w:tcPr>
          <w:p w:rsidR="008526C9" w:rsidRPr="00A01223" w:rsidRDefault="008526C9" w:rsidP="00A01223">
            <w:pPr>
              <w:ind w:right="-189" w:hanging="85"/>
              <w:jc w:val="both"/>
              <w:rPr>
                <w:b/>
                <w:bCs/>
                <w:color w:val="000000"/>
                <w:szCs w:val="22"/>
              </w:rPr>
            </w:pPr>
            <w:r w:rsidRPr="00A01223">
              <w:rPr>
                <w:b/>
                <w:bCs/>
                <w:color w:val="000000"/>
                <w:szCs w:val="22"/>
              </w:rPr>
              <w:t>04</w:t>
            </w:r>
          </w:p>
        </w:tc>
        <w:tc>
          <w:tcPr>
            <w:tcW w:w="8930" w:type="dxa"/>
            <w:gridSpan w:val="6"/>
            <w:tcBorders>
              <w:top w:val="single" w:sz="8" w:space="0" w:color="auto"/>
              <w:left w:val="nil"/>
              <w:bottom w:val="nil"/>
              <w:right w:val="single" w:sz="8" w:space="0" w:color="000000"/>
            </w:tcBorders>
            <w:shd w:val="clear" w:color="auto" w:fill="auto"/>
            <w:vAlign w:val="bottom"/>
            <w:hideMark/>
          </w:tcPr>
          <w:p w:rsidR="008526C9" w:rsidRPr="00A01223" w:rsidRDefault="008526C9" w:rsidP="00A01223">
            <w:pPr>
              <w:ind w:right="-189" w:hanging="85"/>
              <w:jc w:val="both"/>
              <w:rPr>
                <w:b/>
                <w:bCs/>
                <w:i/>
                <w:iCs/>
                <w:szCs w:val="22"/>
              </w:rPr>
            </w:pPr>
            <w:r w:rsidRPr="00A01223">
              <w:rPr>
                <w:b/>
                <w:bCs/>
                <w:i/>
                <w:iCs/>
                <w:szCs w:val="22"/>
              </w:rPr>
              <w:t>Medical Reports - 100%</w:t>
            </w:r>
          </w:p>
        </w:tc>
      </w:tr>
      <w:tr w:rsidR="00A01223" w:rsidRPr="00A01223" w:rsidTr="00A01223">
        <w:trPr>
          <w:trHeight w:val="300"/>
        </w:trPr>
        <w:tc>
          <w:tcPr>
            <w:tcW w:w="709"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b/>
                <w:bCs/>
                <w:color w:val="000000"/>
                <w:szCs w:val="22"/>
              </w:rPr>
            </w:pPr>
            <w:r w:rsidRPr="00A01223">
              <w:rPr>
                <w:b/>
                <w:bCs/>
                <w:color w:val="000000"/>
                <w:szCs w:val="22"/>
              </w:rPr>
              <w:t>0410</w:t>
            </w:r>
          </w:p>
        </w:tc>
        <w:tc>
          <w:tcPr>
            <w:tcW w:w="3260" w:type="dxa"/>
            <w:tcBorders>
              <w:top w:val="single" w:sz="8" w:space="0" w:color="auto"/>
              <w:left w:val="nil"/>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b/>
                <w:bCs/>
                <w:color w:val="000000"/>
                <w:szCs w:val="22"/>
              </w:rPr>
            </w:pPr>
            <w:r w:rsidRPr="00A01223">
              <w:rPr>
                <w:b/>
                <w:bCs/>
                <w:color w:val="000000"/>
                <w:szCs w:val="22"/>
              </w:rPr>
              <w:t>Medical Report – Facility Fee</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b/>
                <w:bCs/>
                <w:color w:val="000000"/>
                <w:szCs w:val="22"/>
              </w:rPr>
            </w:pPr>
            <w:r w:rsidRPr="00A01223">
              <w:rPr>
                <w:b/>
                <w:bCs/>
                <w:color w:val="000000"/>
                <w:szCs w:val="22"/>
              </w:rPr>
              <w:t>Report</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szCs w:val="22"/>
              </w:rPr>
            </w:pPr>
            <w:r w:rsidRPr="00A01223">
              <w:rPr>
                <w:szCs w:val="22"/>
              </w:rPr>
              <w:t> </w:t>
            </w:r>
          </w:p>
        </w:tc>
        <w:tc>
          <w:tcPr>
            <w:tcW w:w="1339" w:type="dxa"/>
            <w:tcBorders>
              <w:top w:val="single" w:sz="8" w:space="0" w:color="auto"/>
              <w:left w:val="nil"/>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b/>
                <w:bCs/>
                <w:szCs w:val="22"/>
              </w:rPr>
            </w:pPr>
            <w:r w:rsidRPr="00A01223">
              <w:rPr>
                <w:b/>
                <w:bCs/>
                <w:szCs w:val="22"/>
              </w:rPr>
              <w:t>185</w:t>
            </w:r>
          </w:p>
        </w:tc>
        <w:tc>
          <w:tcPr>
            <w:tcW w:w="1247" w:type="dxa"/>
            <w:tcBorders>
              <w:top w:val="single" w:sz="8" w:space="0" w:color="auto"/>
              <w:left w:val="nil"/>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b/>
                <w:bCs/>
                <w:szCs w:val="22"/>
              </w:rPr>
            </w:pPr>
            <w:r w:rsidRPr="00A01223">
              <w:rPr>
                <w:b/>
                <w:bCs/>
                <w:szCs w:val="22"/>
              </w:rPr>
              <w:t>185</w:t>
            </w:r>
          </w:p>
        </w:tc>
        <w:tc>
          <w:tcPr>
            <w:tcW w:w="1383" w:type="dxa"/>
            <w:tcBorders>
              <w:top w:val="single" w:sz="8" w:space="0" w:color="auto"/>
              <w:left w:val="nil"/>
              <w:bottom w:val="single" w:sz="4" w:space="0" w:color="auto"/>
              <w:right w:val="single" w:sz="8" w:space="0" w:color="auto"/>
            </w:tcBorders>
            <w:shd w:val="clear" w:color="auto" w:fill="auto"/>
            <w:vAlign w:val="bottom"/>
            <w:hideMark/>
          </w:tcPr>
          <w:p w:rsidR="008526C9" w:rsidRPr="00A01223" w:rsidRDefault="008526C9" w:rsidP="00A01223">
            <w:pPr>
              <w:ind w:right="-189" w:hanging="85"/>
              <w:jc w:val="both"/>
              <w:rPr>
                <w:b/>
                <w:bCs/>
                <w:szCs w:val="22"/>
              </w:rPr>
            </w:pPr>
            <w:r w:rsidRPr="00A01223">
              <w:rPr>
                <w:b/>
                <w:bCs/>
                <w:szCs w:val="22"/>
              </w:rPr>
              <w:t>185</w:t>
            </w:r>
          </w:p>
        </w:tc>
      </w:tr>
      <w:tr w:rsidR="00A01223" w:rsidRPr="00A01223" w:rsidTr="00A01223">
        <w:trPr>
          <w:trHeight w:val="495"/>
        </w:trPr>
        <w:tc>
          <w:tcPr>
            <w:tcW w:w="709" w:type="dxa"/>
            <w:tcBorders>
              <w:top w:val="nil"/>
              <w:left w:val="single" w:sz="8" w:space="0" w:color="auto"/>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color w:val="000000"/>
                <w:szCs w:val="22"/>
              </w:rPr>
            </w:pPr>
            <w:r w:rsidRPr="00A01223">
              <w:rPr>
                <w:color w:val="000000"/>
                <w:szCs w:val="22"/>
              </w:rPr>
              <w:t>0411</w:t>
            </w:r>
          </w:p>
        </w:tc>
        <w:tc>
          <w:tcPr>
            <w:tcW w:w="3260" w:type="dxa"/>
            <w:tcBorders>
              <w:top w:val="nil"/>
              <w:left w:val="nil"/>
              <w:bottom w:val="single" w:sz="4" w:space="0" w:color="auto"/>
              <w:right w:val="single" w:sz="4" w:space="0" w:color="auto"/>
            </w:tcBorders>
            <w:shd w:val="clear" w:color="auto" w:fill="auto"/>
            <w:vAlign w:val="bottom"/>
            <w:hideMark/>
          </w:tcPr>
          <w:p w:rsidR="008526C9" w:rsidRPr="00A01223" w:rsidRDefault="008526C9" w:rsidP="00A01223">
            <w:pPr>
              <w:ind w:right="180" w:hanging="85"/>
              <w:jc w:val="both"/>
              <w:rPr>
                <w:color w:val="000000"/>
                <w:szCs w:val="22"/>
              </w:rPr>
            </w:pPr>
            <w:r w:rsidRPr="00A01223">
              <w:rPr>
                <w:color w:val="000000"/>
                <w:szCs w:val="22"/>
              </w:rPr>
              <w:t>Medical Report – General medical practitioner</w:t>
            </w:r>
          </w:p>
        </w:tc>
        <w:tc>
          <w:tcPr>
            <w:tcW w:w="1134" w:type="dxa"/>
            <w:tcBorders>
              <w:top w:val="nil"/>
              <w:left w:val="nil"/>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color w:val="000000"/>
                <w:szCs w:val="22"/>
              </w:rPr>
            </w:pPr>
            <w:r w:rsidRPr="00A01223">
              <w:rPr>
                <w:color w:val="000000"/>
                <w:szCs w:val="22"/>
              </w:rPr>
              <w:t>Report</w:t>
            </w:r>
          </w:p>
        </w:tc>
        <w:tc>
          <w:tcPr>
            <w:tcW w:w="567" w:type="dxa"/>
            <w:tcBorders>
              <w:top w:val="nil"/>
              <w:left w:val="nil"/>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b/>
                <w:bCs/>
                <w:szCs w:val="22"/>
              </w:rPr>
            </w:pPr>
            <w:r w:rsidRPr="00A01223">
              <w:rPr>
                <w:b/>
                <w:bCs/>
                <w:szCs w:val="22"/>
              </w:rPr>
              <w:t>435</w:t>
            </w:r>
          </w:p>
        </w:tc>
        <w:tc>
          <w:tcPr>
            <w:tcW w:w="1339" w:type="dxa"/>
            <w:tcBorders>
              <w:top w:val="nil"/>
              <w:left w:val="nil"/>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b/>
                <w:bCs/>
                <w:szCs w:val="22"/>
              </w:rPr>
            </w:pPr>
            <w:r w:rsidRPr="00A01223">
              <w:rPr>
                <w:b/>
                <w:bCs/>
                <w:szCs w:val="22"/>
              </w:rPr>
              <w:t> </w:t>
            </w:r>
          </w:p>
        </w:tc>
        <w:tc>
          <w:tcPr>
            <w:tcW w:w="1247" w:type="dxa"/>
            <w:tcBorders>
              <w:top w:val="nil"/>
              <w:left w:val="nil"/>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b/>
                <w:bCs/>
                <w:szCs w:val="22"/>
              </w:rPr>
            </w:pPr>
            <w:r w:rsidRPr="00A01223">
              <w:rPr>
                <w:b/>
                <w:bCs/>
                <w:szCs w:val="22"/>
              </w:rPr>
              <w:t> </w:t>
            </w:r>
          </w:p>
        </w:tc>
        <w:tc>
          <w:tcPr>
            <w:tcW w:w="1383" w:type="dxa"/>
            <w:tcBorders>
              <w:top w:val="nil"/>
              <w:left w:val="nil"/>
              <w:bottom w:val="single" w:sz="4" w:space="0" w:color="auto"/>
              <w:right w:val="single" w:sz="8" w:space="0" w:color="auto"/>
            </w:tcBorders>
            <w:shd w:val="clear" w:color="auto" w:fill="auto"/>
            <w:vAlign w:val="bottom"/>
            <w:hideMark/>
          </w:tcPr>
          <w:p w:rsidR="008526C9" w:rsidRPr="00A01223" w:rsidRDefault="008526C9" w:rsidP="00A01223">
            <w:pPr>
              <w:ind w:right="-189" w:hanging="85"/>
              <w:jc w:val="both"/>
              <w:rPr>
                <w:b/>
                <w:bCs/>
                <w:szCs w:val="22"/>
              </w:rPr>
            </w:pPr>
            <w:r w:rsidRPr="00A01223">
              <w:rPr>
                <w:b/>
                <w:bCs/>
                <w:szCs w:val="22"/>
              </w:rPr>
              <w:t> </w:t>
            </w:r>
          </w:p>
        </w:tc>
      </w:tr>
      <w:tr w:rsidR="00A01223" w:rsidRPr="00A01223" w:rsidTr="00A01223">
        <w:trPr>
          <w:trHeight w:val="510"/>
        </w:trPr>
        <w:tc>
          <w:tcPr>
            <w:tcW w:w="709" w:type="dxa"/>
            <w:tcBorders>
              <w:top w:val="nil"/>
              <w:left w:val="single" w:sz="8" w:space="0" w:color="auto"/>
              <w:bottom w:val="single" w:sz="8" w:space="0" w:color="auto"/>
              <w:right w:val="single" w:sz="4" w:space="0" w:color="auto"/>
            </w:tcBorders>
            <w:shd w:val="clear" w:color="auto" w:fill="auto"/>
            <w:vAlign w:val="bottom"/>
            <w:hideMark/>
          </w:tcPr>
          <w:p w:rsidR="008526C9" w:rsidRPr="00A01223" w:rsidRDefault="008526C9" w:rsidP="00A01223">
            <w:pPr>
              <w:ind w:right="-189" w:hanging="85"/>
              <w:jc w:val="both"/>
              <w:rPr>
                <w:color w:val="000000"/>
                <w:szCs w:val="22"/>
              </w:rPr>
            </w:pPr>
            <w:r w:rsidRPr="00A01223">
              <w:rPr>
                <w:color w:val="000000"/>
                <w:szCs w:val="22"/>
              </w:rPr>
              <w:t>0412</w:t>
            </w:r>
          </w:p>
        </w:tc>
        <w:tc>
          <w:tcPr>
            <w:tcW w:w="3260" w:type="dxa"/>
            <w:tcBorders>
              <w:top w:val="nil"/>
              <w:left w:val="nil"/>
              <w:bottom w:val="single" w:sz="8" w:space="0" w:color="auto"/>
              <w:right w:val="single" w:sz="4" w:space="0" w:color="auto"/>
            </w:tcBorders>
            <w:shd w:val="clear" w:color="auto" w:fill="auto"/>
            <w:vAlign w:val="bottom"/>
            <w:hideMark/>
          </w:tcPr>
          <w:p w:rsidR="008526C9" w:rsidRPr="00A01223" w:rsidRDefault="008526C9" w:rsidP="00A01223">
            <w:pPr>
              <w:ind w:right="180" w:hanging="85"/>
              <w:jc w:val="both"/>
              <w:rPr>
                <w:color w:val="000000"/>
                <w:szCs w:val="22"/>
              </w:rPr>
            </w:pPr>
            <w:r w:rsidRPr="00A01223">
              <w:rPr>
                <w:color w:val="000000"/>
                <w:szCs w:val="22"/>
              </w:rPr>
              <w:t>Medical Report – Specialist medical practitioner</w:t>
            </w:r>
          </w:p>
        </w:tc>
        <w:tc>
          <w:tcPr>
            <w:tcW w:w="1134" w:type="dxa"/>
            <w:tcBorders>
              <w:top w:val="nil"/>
              <w:left w:val="nil"/>
              <w:bottom w:val="single" w:sz="8" w:space="0" w:color="auto"/>
              <w:right w:val="single" w:sz="4" w:space="0" w:color="auto"/>
            </w:tcBorders>
            <w:shd w:val="clear" w:color="auto" w:fill="auto"/>
            <w:vAlign w:val="bottom"/>
            <w:hideMark/>
          </w:tcPr>
          <w:p w:rsidR="008526C9" w:rsidRPr="00A01223" w:rsidRDefault="008526C9" w:rsidP="00A01223">
            <w:pPr>
              <w:ind w:right="-189" w:hanging="85"/>
              <w:jc w:val="both"/>
              <w:rPr>
                <w:color w:val="000000"/>
                <w:szCs w:val="22"/>
              </w:rPr>
            </w:pPr>
            <w:r w:rsidRPr="00A01223">
              <w:rPr>
                <w:color w:val="000000"/>
                <w:szCs w:val="22"/>
              </w:rPr>
              <w:t>Report</w:t>
            </w:r>
          </w:p>
        </w:tc>
        <w:tc>
          <w:tcPr>
            <w:tcW w:w="567" w:type="dxa"/>
            <w:tcBorders>
              <w:top w:val="nil"/>
              <w:left w:val="nil"/>
              <w:bottom w:val="single" w:sz="8" w:space="0" w:color="auto"/>
              <w:right w:val="single" w:sz="4" w:space="0" w:color="auto"/>
            </w:tcBorders>
            <w:shd w:val="clear" w:color="auto" w:fill="auto"/>
            <w:vAlign w:val="bottom"/>
            <w:hideMark/>
          </w:tcPr>
          <w:p w:rsidR="008526C9" w:rsidRPr="00A01223" w:rsidRDefault="008526C9" w:rsidP="00A01223">
            <w:pPr>
              <w:ind w:right="-189" w:hanging="85"/>
              <w:jc w:val="both"/>
              <w:rPr>
                <w:b/>
                <w:bCs/>
                <w:szCs w:val="22"/>
              </w:rPr>
            </w:pPr>
            <w:r w:rsidRPr="00A01223">
              <w:rPr>
                <w:b/>
                <w:bCs/>
                <w:szCs w:val="22"/>
              </w:rPr>
              <w:t>435</w:t>
            </w:r>
          </w:p>
        </w:tc>
        <w:tc>
          <w:tcPr>
            <w:tcW w:w="1339" w:type="dxa"/>
            <w:tcBorders>
              <w:top w:val="nil"/>
              <w:left w:val="nil"/>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b/>
                <w:bCs/>
                <w:szCs w:val="22"/>
              </w:rPr>
            </w:pPr>
            <w:r w:rsidRPr="00A01223">
              <w:rPr>
                <w:b/>
                <w:bCs/>
                <w:szCs w:val="22"/>
              </w:rPr>
              <w:t> </w:t>
            </w:r>
          </w:p>
        </w:tc>
        <w:tc>
          <w:tcPr>
            <w:tcW w:w="1247" w:type="dxa"/>
            <w:tcBorders>
              <w:top w:val="nil"/>
              <w:left w:val="nil"/>
              <w:bottom w:val="single" w:sz="4" w:space="0" w:color="auto"/>
              <w:right w:val="single" w:sz="4" w:space="0" w:color="auto"/>
            </w:tcBorders>
            <w:shd w:val="clear" w:color="auto" w:fill="auto"/>
            <w:vAlign w:val="bottom"/>
            <w:hideMark/>
          </w:tcPr>
          <w:p w:rsidR="008526C9" w:rsidRPr="00A01223" w:rsidRDefault="008526C9" w:rsidP="00A01223">
            <w:pPr>
              <w:ind w:right="-189" w:hanging="85"/>
              <w:jc w:val="both"/>
              <w:rPr>
                <w:b/>
                <w:bCs/>
                <w:szCs w:val="22"/>
              </w:rPr>
            </w:pPr>
            <w:r w:rsidRPr="00A01223">
              <w:rPr>
                <w:b/>
                <w:bCs/>
                <w:szCs w:val="22"/>
              </w:rPr>
              <w:t> </w:t>
            </w:r>
          </w:p>
        </w:tc>
        <w:tc>
          <w:tcPr>
            <w:tcW w:w="1383" w:type="dxa"/>
            <w:tcBorders>
              <w:top w:val="nil"/>
              <w:left w:val="nil"/>
              <w:bottom w:val="single" w:sz="4" w:space="0" w:color="auto"/>
              <w:right w:val="single" w:sz="8" w:space="0" w:color="auto"/>
            </w:tcBorders>
            <w:shd w:val="clear" w:color="auto" w:fill="auto"/>
            <w:vAlign w:val="bottom"/>
            <w:hideMark/>
          </w:tcPr>
          <w:p w:rsidR="008526C9" w:rsidRPr="00A01223" w:rsidRDefault="008526C9" w:rsidP="00A01223">
            <w:pPr>
              <w:ind w:right="-189" w:hanging="85"/>
              <w:jc w:val="both"/>
              <w:rPr>
                <w:b/>
                <w:bCs/>
                <w:szCs w:val="22"/>
              </w:rPr>
            </w:pPr>
            <w:r w:rsidRPr="00A01223">
              <w:rPr>
                <w:b/>
                <w:bCs/>
                <w:szCs w:val="22"/>
              </w:rPr>
              <w:t> </w:t>
            </w:r>
          </w:p>
        </w:tc>
      </w:tr>
    </w:tbl>
    <w:p w:rsidR="008526C9" w:rsidRPr="008526C9" w:rsidRDefault="008526C9" w:rsidP="008526C9">
      <w:pPr>
        <w:pStyle w:val="BlockText"/>
        <w:ind w:hanging="567"/>
        <w:rPr>
          <w:rFonts w:ascii="Arial" w:hAnsi="Arial" w:cs="Arial"/>
          <w:bCs/>
          <w:szCs w:val="24"/>
        </w:rPr>
      </w:pPr>
    </w:p>
    <w:p w:rsidR="008526C9" w:rsidRPr="008526C9" w:rsidRDefault="008526C9" w:rsidP="00A01223">
      <w:pPr>
        <w:pStyle w:val="BlockText"/>
        <w:ind w:left="709" w:right="-2"/>
        <w:rPr>
          <w:rFonts w:ascii="Arial" w:hAnsi="Arial" w:cs="Arial"/>
          <w:bCs/>
          <w:szCs w:val="24"/>
        </w:rPr>
      </w:pPr>
      <w:r w:rsidRPr="008526C9">
        <w:rPr>
          <w:rFonts w:ascii="Arial" w:hAnsi="Arial" w:cs="Arial"/>
          <w:bCs/>
          <w:szCs w:val="24"/>
        </w:rPr>
        <w:t>Response from the Mpumalanga Health Department after consultation with Rob Ferreira Hospital on the process followed for Medical Reports and stamps:</w:t>
      </w:r>
    </w:p>
    <w:p w:rsidR="008526C9" w:rsidRPr="008526C9" w:rsidRDefault="008526C9" w:rsidP="00A01223">
      <w:pPr>
        <w:spacing w:before="100" w:beforeAutospacing="1" w:after="100" w:afterAutospacing="1"/>
        <w:jc w:val="both"/>
        <w:rPr>
          <w:sz w:val="24"/>
        </w:rPr>
      </w:pPr>
      <w:r w:rsidRPr="008526C9">
        <w:rPr>
          <w:sz w:val="24"/>
        </w:rPr>
        <w:t>The patient will request the completion of the medical report in writing or verbal. The Patient Accounts or Patient Admission will request payment upfront before the completion of the form, immediately payment is received, the form will be forwarded to the specific doctor for completion and the relevant section will stamp it after either Patient Admission or Accounts. The charging of the completion of the form is as per the UPFS tariffs regardless of the level of the hospital.</w:t>
      </w:r>
    </w:p>
    <w:p w:rsidR="008526C9" w:rsidRPr="00A01223" w:rsidRDefault="008526C9" w:rsidP="00A01223">
      <w:pPr>
        <w:pStyle w:val="BlockText"/>
        <w:ind w:left="0" w:right="-144"/>
        <w:rPr>
          <w:rFonts w:ascii="Arial" w:hAnsi="Arial" w:cs="Arial"/>
          <w:b w:val="0"/>
          <w:bCs/>
          <w:szCs w:val="24"/>
        </w:rPr>
      </w:pPr>
      <w:proofErr w:type="spellStart"/>
      <w:r w:rsidRPr="00A01223">
        <w:rPr>
          <w:rFonts w:ascii="Arial" w:hAnsi="Arial" w:cs="Arial"/>
          <w:b w:val="0"/>
          <w:bCs/>
          <w:szCs w:val="24"/>
        </w:rPr>
        <w:t>If</w:t>
      </w:r>
      <w:proofErr w:type="spellEnd"/>
      <w:r w:rsidRPr="00A01223">
        <w:rPr>
          <w:rFonts w:ascii="Arial" w:hAnsi="Arial" w:cs="Arial"/>
          <w:b w:val="0"/>
          <w:bCs/>
          <w:szCs w:val="24"/>
        </w:rPr>
        <w:t xml:space="preserve"> is difficult to reply to the question as more information is needed on the patient and exactly what form is referred too to give a more defined answer</w:t>
      </w:r>
    </w:p>
    <w:p w:rsidR="007C4CF5" w:rsidRPr="008526C9" w:rsidRDefault="007C4CF5" w:rsidP="008526C9">
      <w:pPr>
        <w:ind w:left="720" w:hanging="567"/>
        <w:jc w:val="both"/>
        <w:rPr>
          <w:sz w:val="24"/>
        </w:rPr>
      </w:pPr>
    </w:p>
    <w:p w:rsidR="007C4CF5" w:rsidRPr="008526C9" w:rsidRDefault="007C4CF5" w:rsidP="008526C9">
      <w:pPr>
        <w:pStyle w:val="BodyText"/>
        <w:ind w:hanging="567"/>
        <w:rPr>
          <w:sz w:val="24"/>
          <w:lang w:val="en-GB"/>
        </w:rPr>
      </w:pPr>
    </w:p>
    <w:p w:rsidR="00E238C2" w:rsidRPr="008526C9" w:rsidRDefault="00E238C2" w:rsidP="00A01223">
      <w:pPr>
        <w:pStyle w:val="BodyText"/>
        <w:rPr>
          <w:b/>
          <w:bCs/>
          <w:sz w:val="24"/>
          <w:lang w:val="en-GB"/>
        </w:rPr>
      </w:pPr>
      <w:bookmarkStart w:id="0" w:name="_GoBack"/>
      <w:bookmarkEnd w:id="0"/>
      <w:r w:rsidRPr="008526C9">
        <w:rPr>
          <w:sz w:val="24"/>
          <w:lang w:val="en-GB"/>
        </w:rPr>
        <w:t>END.</w:t>
      </w:r>
    </w:p>
    <w:sectPr w:rsidR="00E238C2" w:rsidRPr="008526C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CC" w:rsidRDefault="006C3ECC">
      <w:r>
        <w:separator/>
      </w:r>
    </w:p>
  </w:endnote>
  <w:endnote w:type="continuationSeparator" w:id="0">
    <w:p w:rsidR="006C3ECC" w:rsidRDefault="006C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09A" w:rsidRDefault="008200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9A" w:rsidRDefault="0082009A">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A01223">
      <w:rPr>
        <w:rStyle w:val="PageNumber"/>
        <w:noProof/>
        <w:lang w:val="en-US"/>
      </w:rPr>
      <w:t>2</w:t>
    </w:r>
    <w:r>
      <w:rPr>
        <w:rStyle w:val="PageNumber"/>
        <w:lang w:val="en-US"/>
      </w:rPr>
      <w:fldChar w:fldCharType="end"/>
    </w:r>
  </w:p>
  <w:p w:rsidR="0082009A" w:rsidRDefault="008200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CC" w:rsidRDefault="006C3ECC">
      <w:r>
        <w:separator/>
      </w:r>
    </w:p>
  </w:footnote>
  <w:footnote w:type="continuationSeparator" w:id="0">
    <w:p w:rsidR="006C3ECC" w:rsidRDefault="006C3E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1BD"/>
    <w:multiLevelType w:val="hybridMultilevel"/>
    <w:tmpl w:val="1D5C9848"/>
    <w:lvl w:ilvl="0" w:tplc="DFB82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D04A6"/>
    <w:multiLevelType w:val="hybridMultilevel"/>
    <w:tmpl w:val="144C1B42"/>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654F9"/>
    <w:multiLevelType w:val="hybridMultilevel"/>
    <w:tmpl w:val="16D8C730"/>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E5194"/>
    <w:multiLevelType w:val="hybridMultilevel"/>
    <w:tmpl w:val="3FD422FE"/>
    <w:lvl w:ilvl="0" w:tplc="04090001">
      <w:start w:val="1"/>
      <w:numFmt w:val="bullet"/>
      <w:lvlText w:val=""/>
      <w:lvlJc w:val="left"/>
      <w:pPr>
        <w:ind w:left="720" w:hanging="360"/>
      </w:pPr>
      <w:rPr>
        <w:rFonts w:ascii="Symbol" w:hAnsi="Symbol" w:hint="default"/>
      </w:rPr>
    </w:lvl>
    <w:lvl w:ilvl="1" w:tplc="92B497C0">
      <w:start w:val="1"/>
      <w:numFmt w:val="decimal"/>
      <w:lvlText w:val="%2."/>
      <w:lvlJc w:val="left"/>
      <w:pPr>
        <w:ind w:left="1440" w:hanging="360"/>
      </w:pPr>
    </w:lvl>
    <w:lvl w:ilvl="2" w:tplc="1C090017">
      <w:start w:val="1"/>
      <w:numFmt w:val="lowerLetter"/>
      <w:lvlText w:val="%3)"/>
      <w:lvlJc w:val="left"/>
      <w:pPr>
        <w:ind w:left="2160" w:hanging="18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15:restartNumberingAfterBreak="0">
    <w:nsid w:val="57AF1F33"/>
    <w:multiLevelType w:val="hybridMultilevel"/>
    <w:tmpl w:val="098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37C22"/>
    <w:rsid w:val="0004183B"/>
    <w:rsid w:val="00056AD2"/>
    <w:rsid w:val="0005758A"/>
    <w:rsid w:val="00064CF9"/>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25AEF"/>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8733B"/>
    <w:rsid w:val="001934EC"/>
    <w:rsid w:val="001976A7"/>
    <w:rsid w:val="001A5759"/>
    <w:rsid w:val="001A5BBB"/>
    <w:rsid w:val="001A6132"/>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3ED5"/>
    <w:rsid w:val="0024216E"/>
    <w:rsid w:val="002519F4"/>
    <w:rsid w:val="00256F40"/>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B606C"/>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3602C"/>
    <w:rsid w:val="0034705D"/>
    <w:rsid w:val="003548B4"/>
    <w:rsid w:val="00355BB7"/>
    <w:rsid w:val="00357A10"/>
    <w:rsid w:val="00360D5F"/>
    <w:rsid w:val="00366B08"/>
    <w:rsid w:val="00366E06"/>
    <w:rsid w:val="0036751E"/>
    <w:rsid w:val="00371538"/>
    <w:rsid w:val="003715DB"/>
    <w:rsid w:val="00382D92"/>
    <w:rsid w:val="003879CB"/>
    <w:rsid w:val="0039184B"/>
    <w:rsid w:val="00393BA7"/>
    <w:rsid w:val="003A1B0E"/>
    <w:rsid w:val="003B0600"/>
    <w:rsid w:val="003B0C88"/>
    <w:rsid w:val="003B66B2"/>
    <w:rsid w:val="003C14D9"/>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1D0E"/>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591"/>
    <w:rsid w:val="004A26E8"/>
    <w:rsid w:val="004A3D93"/>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177E"/>
    <w:rsid w:val="00615FCD"/>
    <w:rsid w:val="00616273"/>
    <w:rsid w:val="006175C7"/>
    <w:rsid w:val="00623C5C"/>
    <w:rsid w:val="00623E12"/>
    <w:rsid w:val="00635745"/>
    <w:rsid w:val="00635890"/>
    <w:rsid w:val="00637291"/>
    <w:rsid w:val="0063794C"/>
    <w:rsid w:val="00646F50"/>
    <w:rsid w:val="00652778"/>
    <w:rsid w:val="00664A63"/>
    <w:rsid w:val="006664AE"/>
    <w:rsid w:val="00673272"/>
    <w:rsid w:val="00673398"/>
    <w:rsid w:val="006779D4"/>
    <w:rsid w:val="00683343"/>
    <w:rsid w:val="006930ED"/>
    <w:rsid w:val="006A34EA"/>
    <w:rsid w:val="006A5B0A"/>
    <w:rsid w:val="006B1A27"/>
    <w:rsid w:val="006B5E48"/>
    <w:rsid w:val="006B750D"/>
    <w:rsid w:val="006C3B39"/>
    <w:rsid w:val="006C3ECC"/>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4B97"/>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C4CF5"/>
    <w:rsid w:val="007D20BE"/>
    <w:rsid w:val="007D69C3"/>
    <w:rsid w:val="007E2A6D"/>
    <w:rsid w:val="007E4D93"/>
    <w:rsid w:val="007E6493"/>
    <w:rsid w:val="007E6896"/>
    <w:rsid w:val="007E6A29"/>
    <w:rsid w:val="007F19E9"/>
    <w:rsid w:val="007F44EC"/>
    <w:rsid w:val="007F547F"/>
    <w:rsid w:val="007F6D34"/>
    <w:rsid w:val="00802311"/>
    <w:rsid w:val="008027EE"/>
    <w:rsid w:val="008067F9"/>
    <w:rsid w:val="0081272C"/>
    <w:rsid w:val="00813788"/>
    <w:rsid w:val="00815128"/>
    <w:rsid w:val="00815BE6"/>
    <w:rsid w:val="00816881"/>
    <w:rsid w:val="0082009A"/>
    <w:rsid w:val="00827A03"/>
    <w:rsid w:val="0084076E"/>
    <w:rsid w:val="00846CD4"/>
    <w:rsid w:val="00852234"/>
    <w:rsid w:val="008526C9"/>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0C0C"/>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2E0B"/>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B7BB6"/>
    <w:rsid w:val="009C00C3"/>
    <w:rsid w:val="009C4234"/>
    <w:rsid w:val="009D2E42"/>
    <w:rsid w:val="009D3DA5"/>
    <w:rsid w:val="009D62A1"/>
    <w:rsid w:val="009D7850"/>
    <w:rsid w:val="009E05A5"/>
    <w:rsid w:val="009E0F43"/>
    <w:rsid w:val="009E6D1C"/>
    <w:rsid w:val="009E6EF2"/>
    <w:rsid w:val="009E7C2F"/>
    <w:rsid w:val="009F075E"/>
    <w:rsid w:val="009F0BA7"/>
    <w:rsid w:val="009F299A"/>
    <w:rsid w:val="00A01223"/>
    <w:rsid w:val="00A02F20"/>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268B1"/>
    <w:rsid w:val="00A346DA"/>
    <w:rsid w:val="00A4066B"/>
    <w:rsid w:val="00A41FC8"/>
    <w:rsid w:val="00A42F9C"/>
    <w:rsid w:val="00A431D7"/>
    <w:rsid w:val="00A50E3A"/>
    <w:rsid w:val="00A51CEC"/>
    <w:rsid w:val="00A60052"/>
    <w:rsid w:val="00A6048F"/>
    <w:rsid w:val="00A7509E"/>
    <w:rsid w:val="00A76B2C"/>
    <w:rsid w:val="00A77AE7"/>
    <w:rsid w:val="00A80F10"/>
    <w:rsid w:val="00A82D5D"/>
    <w:rsid w:val="00A87CFA"/>
    <w:rsid w:val="00A93CDF"/>
    <w:rsid w:val="00AA6504"/>
    <w:rsid w:val="00AA7AC6"/>
    <w:rsid w:val="00AB0EAC"/>
    <w:rsid w:val="00AB1AB1"/>
    <w:rsid w:val="00AB3C74"/>
    <w:rsid w:val="00AB514C"/>
    <w:rsid w:val="00AC37C9"/>
    <w:rsid w:val="00AC48AC"/>
    <w:rsid w:val="00AC6AC3"/>
    <w:rsid w:val="00AD200E"/>
    <w:rsid w:val="00AD3D0F"/>
    <w:rsid w:val="00AD5F10"/>
    <w:rsid w:val="00AD6B02"/>
    <w:rsid w:val="00AE3C22"/>
    <w:rsid w:val="00AF43A2"/>
    <w:rsid w:val="00B0762E"/>
    <w:rsid w:val="00B2423A"/>
    <w:rsid w:val="00B2718E"/>
    <w:rsid w:val="00B30D8D"/>
    <w:rsid w:val="00B33E9A"/>
    <w:rsid w:val="00B34C0F"/>
    <w:rsid w:val="00B353AB"/>
    <w:rsid w:val="00B37F60"/>
    <w:rsid w:val="00B41548"/>
    <w:rsid w:val="00B4399F"/>
    <w:rsid w:val="00B519E0"/>
    <w:rsid w:val="00B52875"/>
    <w:rsid w:val="00B561F9"/>
    <w:rsid w:val="00B6102B"/>
    <w:rsid w:val="00B612C9"/>
    <w:rsid w:val="00B6157A"/>
    <w:rsid w:val="00B61A27"/>
    <w:rsid w:val="00B63222"/>
    <w:rsid w:val="00B63926"/>
    <w:rsid w:val="00B64EBD"/>
    <w:rsid w:val="00B70010"/>
    <w:rsid w:val="00B84CFA"/>
    <w:rsid w:val="00B85B77"/>
    <w:rsid w:val="00B87D92"/>
    <w:rsid w:val="00B90E23"/>
    <w:rsid w:val="00B9163D"/>
    <w:rsid w:val="00B9358D"/>
    <w:rsid w:val="00BA29AA"/>
    <w:rsid w:val="00BB0549"/>
    <w:rsid w:val="00BB311A"/>
    <w:rsid w:val="00BB5A2A"/>
    <w:rsid w:val="00BB727B"/>
    <w:rsid w:val="00BC04F9"/>
    <w:rsid w:val="00BC4703"/>
    <w:rsid w:val="00BC4B13"/>
    <w:rsid w:val="00BC6E9C"/>
    <w:rsid w:val="00BC7E1F"/>
    <w:rsid w:val="00BD027B"/>
    <w:rsid w:val="00BD4034"/>
    <w:rsid w:val="00BE5AF9"/>
    <w:rsid w:val="00BF35AB"/>
    <w:rsid w:val="00BF5A35"/>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2042"/>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03E8"/>
    <w:rsid w:val="00D127F7"/>
    <w:rsid w:val="00D13B48"/>
    <w:rsid w:val="00D21320"/>
    <w:rsid w:val="00D218C7"/>
    <w:rsid w:val="00D21DC3"/>
    <w:rsid w:val="00D22145"/>
    <w:rsid w:val="00D223AF"/>
    <w:rsid w:val="00D23E84"/>
    <w:rsid w:val="00D271FB"/>
    <w:rsid w:val="00D40471"/>
    <w:rsid w:val="00D45BA5"/>
    <w:rsid w:val="00D50BCC"/>
    <w:rsid w:val="00D53121"/>
    <w:rsid w:val="00D5344B"/>
    <w:rsid w:val="00D5360E"/>
    <w:rsid w:val="00D60EC4"/>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551DC"/>
    <w:rsid w:val="00E55565"/>
    <w:rsid w:val="00E61438"/>
    <w:rsid w:val="00E61656"/>
    <w:rsid w:val="00E6419C"/>
    <w:rsid w:val="00E64D2A"/>
    <w:rsid w:val="00E65552"/>
    <w:rsid w:val="00E70BD1"/>
    <w:rsid w:val="00E82ED2"/>
    <w:rsid w:val="00E85240"/>
    <w:rsid w:val="00EA05F0"/>
    <w:rsid w:val="00EA40E2"/>
    <w:rsid w:val="00EA464E"/>
    <w:rsid w:val="00EA7CB0"/>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31B2"/>
    <w:rsid w:val="00F24479"/>
    <w:rsid w:val="00F31C6A"/>
    <w:rsid w:val="00F3238C"/>
    <w:rsid w:val="00F4489B"/>
    <w:rsid w:val="00F450DC"/>
    <w:rsid w:val="00F454C0"/>
    <w:rsid w:val="00F4587B"/>
    <w:rsid w:val="00F467DC"/>
    <w:rsid w:val="00F50DC8"/>
    <w:rsid w:val="00F50E33"/>
    <w:rsid w:val="00F54CEC"/>
    <w:rsid w:val="00F611E2"/>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412D"/>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D38AA"/>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2019-11-07T11:56:00Z</cp:lastPrinted>
  <dcterms:created xsi:type="dcterms:W3CDTF">2019-11-16T16:48:00Z</dcterms:created>
  <dcterms:modified xsi:type="dcterms:W3CDTF">2019-11-22T18:10:00Z</dcterms:modified>
</cp:coreProperties>
</file>